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版本号：DHY-2026-HZ00420260324001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佛坪县岳坝镇全域土地综合整治山水工程生态补偿一体化项目监理服务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DHY-2026-HZ004</w:t>
      </w:r>
      <w:r>
        <w:br/>
      </w:r>
      <w:r>
        <w:br/>
      </w:r>
      <w:r>
        <w:br/>
      </w:r>
    </w:p>
    <w:p>
      <w:pPr>
        <w:pStyle w:val="null3"/>
        <w:jc w:val="center"/>
        <w:outlineLvl w:val="2"/>
      </w:pPr>
      <w:r>
        <w:rPr>
          <w:rFonts w:ascii="仿宋_GB2312" w:hAnsi="仿宋_GB2312" w:cs="仿宋_GB2312" w:eastAsia="仿宋_GB2312"/>
          <w:sz w:val="28"/>
          <w:b/>
        </w:rPr>
        <w:t>佛坪县自然资源局（县不动产登记局）</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佛坪县自然资源局（县不动产登记局）</w:t>
      </w:r>
      <w:r>
        <w:rPr>
          <w:rFonts w:ascii="仿宋_GB2312" w:hAnsi="仿宋_GB2312" w:cs="仿宋_GB2312" w:eastAsia="仿宋_GB2312"/>
        </w:rPr>
        <w:t>委托，拟对</w:t>
      </w:r>
      <w:r>
        <w:rPr>
          <w:rFonts w:ascii="仿宋_GB2312" w:hAnsi="仿宋_GB2312" w:cs="仿宋_GB2312" w:eastAsia="仿宋_GB2312"/>
        </w:rPr>
        <w:t>佛坪县岳坝镇全域土地综合整治山水工程生态补偿一体化项目监理服务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DHY-2026-HZ004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佛坪县岳坝镇全域土地综合整治山水工程生态补偿一体化项目监理服务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实施农用地整治89.6718公顷，建设用地整理0.408公顷，生态保护修复1053.5948公顷，拟产生新增耕地13.4069公顷，拟打造2个“百亩方”。项目实施后，将优化农村地区国土空间布局，改善农村生态环境和农民生产生活条件，助推农村一二三产业融合发展和乡村振兴，着力实现耕地有增加、山水有景观、生态有改善、文化有传承的综合目标。现需加强工程质量和施工安全管理，做好隐蔽工程质量验收和资料管理，确保高质量完成全域土地综合整治/山水工程/生态补偿一体化项目项目绩效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采购包1（佛坪县岳坝镇全域土地综合整治山水工程生态补偿一体化项目监理服务）：属于专门面向中小企业采购。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2、授权代表身份证明：法定代表人授权书（附法定代表人身份证复印件）及被授权人身份证（法定代表人直接参加磋商的只需提供法定代表人身份证）；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4、供应商资质证明：供应商须具备建设行政主管部门颁发的工程监理综合资质或市政公用工程或水利工程监理乙级及以上（含乙级）资质；</w:t>
      </w:r>
    </w:p>
    <w:p>
      <w:pPr>
        <w:pStyle w:val="null3"/>
      </w:pPr>
      <w:r>
        <w:rPr>
          <w:rFonts w:ascii="仿宋_GB2312" w:hAnsi="仿宋_GB2312" w:cs="仿宋_GB2312" w:eastAsia="仿宋_GB2312"/>
        </w:rPr>
        <w:t>5、拟派总监理工程师专业与要求：拟任项目总监须具有住建部颁发的国家注册监理工程师注册执业证书（市政公用工程专业/水利工程专业）且在本单位注册并未担任其他在建项目的总监理工程师 (提供承诺书）；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佛坪县自然资源局（县不动产登记局）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佛坪县振兴北路33号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佛坪县国土资源局（县不动产登记局）经办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13571620101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陕西省汉中市汉台区滨江印象西门五楼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采购包1：402,135.00元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供应商按《国家计委关于印发&lt;磋商代理服务收费管理暂行办法&gt;的通知》（计价格[2002]1980号）、发改价格〔2011〕534号文及《陕西省住房和城乡建设厅文件陕价行发【2014】88号》文收费标准向采购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佛坪县自然资源局（县不动产登记局）</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佛坪县自然资源局（县不动产登记局）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佛坪县自然资源局（县不动产登记局）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地址：陕西省汉中市汉台区滨江印象西门五楼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实施农用地整治89.6718公顷，建设用地整理0.408公顷，生态保护修复1053.5948公顷，拟产生新增耕地13.4069公顷，拟打造2个“百亩方”。项目实施后，将优化农村地区国土空间布局，改善农村生态环境和农民生产生活条件，助推农村一二三产业融合发展和乡村振兴，着力实现耕地有增加、山水有景观、生态有改善、文化有传承的综合目标。现需加强工程质量和施工安全管理，做好隐蔽工程质量验收和资料管理，确保高质量完成全域土地综合整治/山水工程/生态补偿一体化项目项目绩效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402,135.00</w:t>
      </w:r>
    </w:p>
    <w:p>
      <w:pPr>
        <w:pStyle w:val="null3"/>
      </w:pPr>
      <w:r>
        <w:rPr>
          <w:rFonts w:ascii="仿宋_GB2312" w:hAnsi="仿宋_GB2312" w:cs="仿宋_GB2312" w:eastAsia="仿宋_GB2312"/>
        </w:rPr>
        <w:t>采购包最高限价（元）: 402,135.00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402,135.00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color w:val="333333"/>
              </w:rPr>
              <w:t>一、监理内容</w:t>
            </w:r>
          </w:p>
          <w:p>
            <w:pPr>
              <w:pStyle w:val="null3"/>
              <w:ind w:firstLine="480"/>
              <w:jc w:val="both"/>
            </w:pPr>
            <w:r>
              <w:rPr>
                <w:rFonts w:ascii="仿宋_GB2312" w:hAnsi="仿宋_GB2312" w:cs="仿宋_GB2312" w:eastAsia="仿宋_GB2312"/>
                <w:sz w:val="21"/>
                <w:color w:val="333333"/>
              </w:rPr>
              <w:t>（1）质量控制：必须严格依照国家有关规定，检查施工单位所施工的项目是否符合预定的质量要求，而且整个监理工作中应强调对工程质量的事前控制、事中监管和事后评估。</w:t>
            </w:r>
          </w:p>
          <w:p>
            <w:pPr>
              <w:pStyle w:val="null3"/>
              <w:ind w:firstLine="480"/>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2）进度控制：在工程实施过程中，监理工程师严格按照招标文件、合同、施工进度计划的要求，对施工进度进行跟进，确保整体施工有序进行。确保工程开、竣工时间进度计划按时完成。</w:t>
            </w:r>
          </w:p>
          <w:p>
            <w:pPr>
              <w:pStyle w:val="null3"/>
              <w:ind w:firstLine="480"/>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ind w:firstLine="480"/>
              <w:jc w:val="both"/>
            </w:pPr>
            <w:r>
              <w:rPr>
                <w:rFonts w:ascii="仿宋_GB2312" w:hAnsi="仿宋_GB2312" w:cs="仿宋_GB2312" w:eastAsia="仿宋_GB2312"/>
                <w:sz w:val="21"/>
                <w:color w:val="333333"/>
              </w:rPr>
              <w:t>（4）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ind w:firstLine="480"/>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4）所有程序必须符合国家相关监理规定和国家工程质量验收合格标准。</w:t>
            </w:r>
          </w:p>
          <w:p>
            <w:pPr>
              <w:pStyle w:val="null3"/>
              <w:ind w:firstLine="480"/>
              <w:jc w:val="both"/>
            </w:pPr>
            <w:r>
              <w:rPr>
                <w:rFonts w:ascii="仿宋_GB2312" w:hAnsi="仿宋_GB2312" w:cs="仿宋_GB2312" w:eastAsia="仿宋_GB2312"/>
                <w:sz w:val="21"/>
                <w:color w:val="333333"/>
              </w:rPr>
              <w:t>二、技术标准：</w:t>
            </w:r>
          </w:p>
          <w:p>
            <w:pPr>
              <w:pStyle w:val="null3"/>
              <w:ind w:firstLine="480"/>
              <w:jc w:val="both"/>
            </w:pPr>
            <w:r>
              <w:rPr>
                <w:rFonts w:ascii="仿宋_GB2312" w:hAnsi="仿宋_GB2312" w:cs="仿宋_GB2312" w:eastAsia="仿宋_GB2312"/>
                <w:sz w:val="21"/>
                <w:color w:val="333333"/>
              </w:rPr>
              <w:t>（1）工程监理标准应执行国家最新频布的《建设工程监理规范》及省、市或行业的相关规定。工程质量要求应达到国家质量检验与评定标准合格质量等级，具体以采购人与供应商签订的合同为准</w:t>
            </w:r>
          </w:p>
          <w:p>
            <w:pPr>
              <w:pStyle w:val="null3"/>
              <w:ind w:firstLine="480"/>
              <w:jc w:val="both"/>
            </w:pPr>
            <w:r>
              <w:rPr>
                <w:rFonts w:ascii="仿宋_GB2312" w:hAnsi="仿宋_GB2312" w:cs="仿宋_GB2312" w:eastAsia="仿宋_GB2312"/>
                <w:sz w:val="21"/>
                <w:color w:val="333333"/>
              </w:rPr>
              <w:t>三、监理服务周期要求：</w:t>
            </w:r>
          </w:p>
          <w:p>
            <w:pPr>
              <w:pStyle w:val="null3"/>
            </w:pPr>
            <w:r>
              <w:rPr>
                <w:rFonts w:ascii="仿宋_GB2312" w:hAnsi="仿宋_GB2312" w:cs="仿宋_GB2312" w:eastAsia="仿宋_GB2312"/>
                <w:sz w:val="21"/>
                <w:color w:val="333333"/>
              </w:rPr>
              <w:t xml:space="preserve">    （1）从工程施工之日起至竣工验收、资料归档备案、保修期满之日止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为保证本项目的顺利实施，响应供应商应满足国家相关法律法规要求，配备具有相关专业的技术人员；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为保证本项目的顺利实施，响应供应商应满足国家相关法律法规要求，须保证所涉及本项目设备设施来源渠道合法，配置参数达到相应的标准要求的设备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从工程施工之日起至竣工验收、资料归档备案、保修期满之日止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建设工程施工地点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符合国家现行有关施工质量验收规范“合格”要求，满足合同约定和设计文件要求(如图纸、技术交底、变更单等)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监理进场</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1份(以U盘为载体，PDF格式)，纸质响应文件均须A4纸打印，分别各自装订成册并编制目录和页码。线下递交响应文件地点:陕西鼎慧源工程项目管理有限公司(汉中市汉台区滨江印象西门五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本项目采购标的所属行业为：其他未列明行业；根据《政府采购促进中小企 业发展管理办法》（财库﹝2020﹞46号）第十 一条相关规定。中小企业参加政府采购活动， 应当出具有效的《中小企业声明函》，才可以 通过资格审查并享受中小企业扶持政策（声明 函附进磋商响应文件正副本内）。 注：供应商 对所提交的《中小企业声明函》声明内容的真 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技术要求偏离表.docx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供应商资质证明</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供应商须具备建设行政主管部门颁发的工程监理综合资质或市政公用工程或水利工程监理乙级及以上（含乙级）资质；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拟派总监理工程师专业与要求</w:t>
            </w:r>
          </w:p>
        </w:tc>
        <w:tc>
          <w:tcPr>
            <w:tcW w:type="dxa" w:w="3322"/>
          </w:tcPr>
          <w:p>
            <w:pPr>
              <w:pStyle w:val="null3"/>
            </w:pPr>
            <w:r>
              <w:rPr>
                <w:rFonts w:ascii="仿宋_GB2312" w:hAnsi="仿宋_GB2312" w:cs="仿宋_GB2312" w:eastAsia="仿宋_GB2312"/>
              </w:rPr>
              <w:t>拟任项目总监须具有住建部颁发的国家注册监理工程师注册执业证书（市政公用工程专业/水利工程专业）且在本单位注册并未担任其他在建项目的总监理工程师 (提供承诺书）；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供应商业绩证明</w:t>
            </w:r>
          </w:p>
        </w:tc>
        <w:tc>
          <w:tcPr>
            <w:tcW w:type="dxa" w:w="2492"/>
          </w:tcPr>
          <w:p>
            <w:pPr>
              <w:pStyle w:val="null3"/>
            </w:pPr>
            <w:r>
              <w:rPr>
                <w:rFonts w:ascii="仿宋_GB2312" w:hAnsi="仿宋_GB2312" w:cs="仿宋_GB2312" w:eastAsia="仿宋_GB2312"/>
              </w:rPr>
              <w:t>供应商提供 2022 年 1 月 1 日至今完成的类似业绩证明，每提供一份计2.5 分，最高计 5.0 分；（以合同签订日期为准） 备注：业绩须是供应商完成的类似项目，以成交通知书或协议书（合同）原件或加盖公章的复印件为准。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拟派总监理工程师</w:t>
            </w:r>
          </w:p>
        </w:tc>
        <w:tc>
          <w:tcPr>
            <w:tcW w:type="dxa" w:w="2492"/>
          </w:tcPr>
          <w:p>
            <w:pPr>
              <w:pStyle w:val="null3"/>
            </w:pPr>
            <w:r>
              <w:rPr>
                <w:rFonts w:ascii="仿宋_GB2312" w:hAnsi="仿宋_GB2312" w:cs="仿宋_GB2312" w:eastAsia="仿宋_GB2312"/>
              </w:rPr>
              <w:t>1、职称：拟派项目总监理工程师具备高级职称的得 6分，中级职称的得 3 分， 其他不得分。 评审依据：提供拟派项目负责人职称复印件或扫描件。 2、履历经验：提供自 2022 年 1 月 1 日至今拟派项目负责人完成类 似项目业绩证明材料，每提供 1 份 ，得 4分，最多得 4 分。 评审依据：类似业绩证明材料以合同或中标通知书为准。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提出适用于本项目的项目团队人员配置方案，包括但不限于①团队组织人员配置明细；②团队人员管理制度；③各专业岗位配置；④配置人员相关证书证件；⑤提供人员到场及不更换人员承诺。以上各项内容全面明确、阐述条理清晰得 15 分，每缺一项扣 3 分，每项中的内容存在缺陷，扣 0.1-2.9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监理方案</w:t>
            </w:r>
          </w:p>
        </w:tc>
        <w:tc>
          <w:tcPr>
            <w:tcW w:type="dxa" w:w="2492"/>
          </w:tcPr>
          <w:p>
            <w:pPr>
              <w:pStyle w:val="null3"/>
            </w:pPr>
            <w:r>
              <w:rPr>
                <w:rFonts w:ascii="仿宋_GB2312" w:hAnsi="仿宋_GB2312" w:cs="仿宋_GB2312" w:eastAsia="仿宋_GB2312"/>
              </w:rPr>
              <w:t>供应商针对本项目提出适用于本项目的实施方案。包括但不限于：①监理工作总体思路；②具体服务实施内容；③验收交付方案；④针对本项目特点、难点的认识及对策措施；⑤投资控制目标及措施；⑥合同与信息管理方案； 以上各项内容全面明确、阐述条理清晰得 30 分，每缺一项扣 5 分，每项中的内容存在缺陷，扣 0.1-4.9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供应商针对本项目提出适用于本项目的质量保证方案。包括但不限于： ①质量保证体系；②质量保证的具体措施。 以上各项内容全面明确、阐述条理清晰得 10 分，每缺一项扣 5 分，每项中的内容存在缺陷，扣 0.1-4.9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供应商针对本项目提出适用于本项目的实施进度方案，包括但不限于: ①进度计划；②进度保障的具体措施。 以上各项内容全面明确、阐述条理清晰得 10 分，每缺一项扣 5 分，每项中的内容存在缺陷，扣 0.1-4.9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安全保障 措施</w:t>
            </w:r>
          </w:p>
        </w:tc>
        <w:tc>
          <w:tcPr>
            <w:tcW w:type="dxa" w:w="2492"/>
          </w:tcPr>
          <w:p>
            <w:pPr>
              <w:pStyle w:val="null3"/>
            </w:pPr>
            <w:r>
              <w:rPr>
                <w:rFonts w:ascii="仿宋_GB2312" w:hAnsi="仿宋_GB2312" w:cs="仿宋_GB2312" w:eastAsia="仿宋_GB2312"/>
              </w:rPr>
              <w:t>供应商针对本项目有具体的安全保障措施。包括但不限于：①安全保证体系；②安全保证的具体措施。 以上各项内容全面明确、阐述条理清晰得 10 分，每缺一项扣 5 分，每项中的内容存在缺陷，扣 0.1-4.9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详见附件：供应商相关证明材料及服务方案.docx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详见附件：空白合同（模版）.docx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