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版本号：ZTDJ-HZCG-2026032420260329001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佛坪中心敬老院2026年度生活物资采购项目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ZTDJ-HZCG-20260324</w:t>
      </w:r>
      <w:r>
        <w:br/>
      </w:r>
      <w:r>
        <w:br/>
      </w:r>
      <w:r>
        <w:br/>
      </w:r>
    </w:p>
    <w:p>
      <w:pPr>
        <w:pStyle w:val="null3"/>
        <w:jc w:val="center"/>
        <w:outlineLvl w:val="2"/>
      </w:pPr>
      <w:r>
        <w:rPr>
          <w:rFonts w:ascii="仿宋_GB2312" w:hAnsi="仿宋_GB2312" w:cs="仿宋_GB2312" w:eastAsia="仿宋_GB2312"/>
          <w:sz w:val="28"/>
          <w:b/>
        </w:rPr>
        <w:t>佛坪县中心敬老院</w:t>
      </w:r>
    </w:p>
    <w:p>
      <w:pPr>
        <w:pStyle w:val="null3"/>
        <w:jc w:val="center"/>
        <w:outlineLvl w:val="2"/>
      </w:pPr>
      <w:r>
        <w:rPr>
          <w:rFonts w:ascii="仿宋_GB2312" w:hAnsi="仿宋_GB2312" w:cs="仿宋_GB2312" w:eastAsia="仿宋_GB2312"/>
          <w:sz w:val="28"/>
          <w:b/>
        </w:rPr>
        <w:t>中拓达建项目管理有限公司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中拓达建项目管理有限公司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佛坪县中心敬老院</w:t>
      </w:r>
      <w:r>
        <w:rPr>
          <w:rFonts w:ascii="仿宋_GB2312" w:hAnsi="仿宋_GB2312" w:cs="仿宋_GB2312" w:eastAsia="仿宋_GB2312"/>
        </w:rPr>
        <w:t>委托，拟对</w:t>
      </w:r>
      <w:r>
        <w:rPr>
          <w:rFonts w:ascii="仿宋_GB2312" w:hAnsi="仿宋_GB2312" w:cs="仿宋_GB2312" w:eastAsia="仿宋_GB2312"/>
        </w:rPr>
        <w:t>佛坪中心敬老院2026年度生活物资采购项目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ZTDJ-HZCG-20260324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佛坪中心敬老院2026年度生活物资采购项目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2026年-2027年一年的蔬菜水果大肉米面粮油等185名老人日常生活必需品供给。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2、法定代表人身份证明：须出具法定代表人身份证扫描件并与营业执照上信息一致。</w:t>
      </w:r>
    </w:p>
    <w:p>
      <w:pPr>
        <w:pStyle w:val="null3"/>
      </w:pPr>
      <w:r>
        <w:rPr>
          <w:rFonts w:ascii="仿宋_GB2312" w:hAnsi="仿宋_GB2312" w:cs="仿宋_GB2312" w:eastAsia="仿宋_GB2312"/>
        </w:rPr>
        <w:t>3、资格承诺：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4、投标人资格要求：投标人为生产厂家的须提供《食品生产许可证》、《食品经营许可证》及《陕西省生鲜肉经营备案表》；投标人为代理商的须提供《食品经营许可证》及《陕西省生鲜肉经营备案表》。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佛坪县长角坝镇教场坝村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0916-8993060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中拓达建项目管理有限公司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汉中市汉台区海德理想城西门临街商铺二楼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郭凌云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15771668755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开户名称：中拓达建项目管理有限公司汉中分公司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银行账号：61050165910000001072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 办法》和国家发展改革委办公厅（发改办价格【2003】857号）和国家发展改革委（发改价格 【2011】534号）文件的相关规定收取。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佛坪县中心敬老院</w:t>
      </w:r>
      <w:r>
        <w:rPr>
          <w:rFonts w:ascii="仿宋_GB2312" w:hAnsi="仿宋_GB2312" w:cs="仿宋_GB2312" w:eastAsia="仿宋_GB2312"/>
        </w:rPr>
        <w:t>和</w:t>
      </w:r>
      <w:r>
        <w:rPr>
          <w:rFonts w:ascii="仿宋_GB2312" w:hAnsi="仿宋_GB2312" w:cs="仿宋_GB2312" w:eastAsia="仿宋_GB2312"/>
        </w:rPr>
        <w:t>中拓达建项目管理有限公司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中拓达建项目管理有限公司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中拓达建项目管理有限公司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符合国家相关标准及甲方要求。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联系人：郭凌云</w:t>
      </w:r>
    </w:p>
    <w:p>
      <w:pPr>
        <w:pStyle w:val="null3"/>
      </w:pPr>
      <w:r>
        <w:rPr>
          <w:rFonts w:ascii="仿宋_GB2312" w:hAnsi="仿宋_GB2312" w:cs="仿宋_GB2312" w:eastAsia="仿宋_GB2312"/>
        </w:rPr>
        <w:t>联系电话：15771668755</w:t>
      </w:r>
    </w:p>
    <w:p>
      <w:pPr>
        <w:pStyle w:val="null3"/>
      </w:pPr>
      <w:r>
        <w:rPr>
          <w:rFonts w:ascii="仿宋_GB2312" w:hAnsi="仿宋_GB2312" w:cs="仿宋_GB2312" w:eastAsia="仿宋_GB2312"/>
        </w:rPr>
        <w:t>地址：汉中市汉台区海德理想城西门临街商铺二楼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2026年2027年一年的蔬菜水果大肉米面粮油等185名老人日常生活必需品供给。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鲜肉类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禽类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鱼类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奶粉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水果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鸡蛋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大米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蔬菜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日常生活用品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标的名称：鲜肉类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1.肌肉有光泽，色泽鲜红或深红；脂肪呈乳白色或黄色； 2.外表微干有风干膜，不粘手； 3.具有鲜肉正常气味； 4.当天送货时必须具备“两证两章”，即动物检疫合格证明、肉品品质检验合格证。</w:t>
            </w:r>
          </w:p>
        </w:tc>
      </w:tr>
    </w:tbl>
    <w:p>
      <w:pPr>
        <w:pStyle w:val="null3"/>
      </w:pPr>
      <w:r>
        <w:rPr>
          <w:rFonts w:ascii="仿宋_GB2312" w:hAnsi="仿宋_GB2312" w:cs="仿宋_GB2312" w:eastAsia="仿宋_GB2312"/>
        </w:rPr>
        <w:t>标的名称：禽类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1.杜绝注水禽类； 2.体表色泽洁白，肉质紧密，角膜有弹性，不粘手，指压不留陷窝； 3.具有该禽类所固有的气味，无其他异味； 4.腔内无杂物。</w:t>
            </w:r>
          </w:p>
        </w:tc>
      </w:tr>
    </w:tbl>
    <w:p>
      <w:pPr>
        <w:pStyle w:val="null3"/>
      </w:pPr>
      <w:r>
        <w:rPr>
          <w:rFonts w:ascii="仿宋_GB2312" w:hAnsi="仿宋_GB2312" w:cs="仿宋_GB2312" w:eastAsia="仿宋_GB2312"/>
        </w:rPr>
        <w:t>标的名称：鱼类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1.鱼眼突出，角膜清晰透明； 2.体表面色泽鲜明，鳞完整或稍有花鳞，鳞片紧粘皮上不易剥落，有透明粘液； 3.鳃鲜红，鳃丝鲜红或紫红，鳃盖禁闭易揭开，肉质坚实，有弹性，骨肉不分离； 4.淡水鱼实行活鱼供应，具有鲜鱼固有的鲜明色泽，粘度透明； 5.具有鲜鱼虾的正常腥味，无异臭味。</w:t>
            </w:r>
          </w:p>
        </w:tc>
      </w:tr>
    </w:tbl>
    <w:p>
      <w:pPr>
        <w:pStyle w:val="null3"/>
      </w:pPr>
      <w:r>
        <w:rPr>
          <w:rFonts w:ascii="仿宋_GB2312" w:hAnsi="仿宋_GB2312" w:cs="仿宋_GB2312" w:eastAsia="仿宋_GB2312"/>
        </w:rPr>
        <w:t>标的名称：奶粉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包装完整，无破损。有产品名称、数量、检验合格证、生产日期，厂家地址。</w:t>
            </w:r>
          </w:p>
        </w:tc>
      </w:tr>
    </w:tbl>
    <w:p>
      <w:pPr>
        <w:pStyle w:val="null3"/>
      </w:pPr>
      <w:r>
        <w:rPr>
          <w:rFonts w:ascii="仿宋_GB2312" w:hAnsi="仿宋_GB2312" w:cs="仿宋_GB2312" w:eastAsia="仿宋_GB2312"/>
        </w:rPr>
        <w:t>标的名称：水果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产品新鲜，有水果应有的颜色；发育充分，无刀伤，无腐烂部位，无农药气味，无臭味；农药残留不超标；成箱包装的品相大小保持一致。</w:t>
            </w:r>
          </w:p>
        </w:tc>
      </w:tr>
    </w:tbl>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蛋壳清洁完整，色泽鲜明，无破损、裂纹，无霉斑，灯光透视时，整个蛋呈桔黄色至橙红色，蛋黄不见或略见阴影，没有霉味、酸味，臭味等不良气味，打开后蛋黄凸起、完整、有韧性，蛋白澄清、透明、稀稠分明，无异味。</w:t>
            </w:r>
          </w:p>
        </w:tc>
      </w:tr>
    </w:tbl>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包装规格</w:t>
            </w:r>
            <w:r>
              <w:rPr>
                <w:rFonts w:ascii="仿宋_GB2312" w:hAnsi="仿宋_GB2312" w:cs="仿宋_GB2312" w:eastAsia="仿宋_GB2312"/>
                <w:sz w:val="24"/>
              </w:rPr>
              <w:t xml:space="preserve"> 25KG/袋，且大米要求精制，家常免淘洗，颗粒饱满、没有生霉，无掺杂、无沙石，碎米少，无黄粒米；大米袋上有注册商标及 QS 标注，印有大米品名、等级、数量、检验合格证、生产日期，厂家地址；有合格检测报告，保质期从送货之日起计算不少于十个月。</w:t>
            </w:r>
          </w:p>
        </w:tc>
      </w:tr>
    </w:tbl>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包装规格</w:t>
            </w:r>
            <w:r>
              <w:rPr>
                <w:rFonts w:ascii="仿宋_GB2312" w:hAnsi="仿宋_GB2312" w:cs="仿宋_GB2312" w:eastAsia="仿宋_GB2312"/>
                <w:sz w:val="24"/>
              </w:rPr>
              <w:t xml:space="preserve"> 25KG/袋，满足国家标准，外包装袋上有注册商标。</w:t>
            </w:r>
          </w:p>
        </w:tc>
      </w:tr>
    </w:tbl>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包装要求：独立包装，每桶</w:t>
            </w:r>
            <w:r>
              <w:rPr>
                <w:rFonts w:ascii="仿宋_GB2312" w:hAnsi="仿宋_GB2312" w:cs="仿宋_GB2312" w:eastAsia="仿宋_GB2312"/>
                <w:sz w:val="24"/>
              </w:rPr>
              <w:t xml:space="preserve"> 15L/桶。非转基因压榨食用油，不得采用化学浸出工艺生产。原料为 100%非转基因油菜籽，外包装上必须标明生产日期，保质期，执行标准，储存条件，生产厂家，产地等。</w:t>
            </w:r>
          </w:p>
        </w:tc>
      </w:tr>
    </w:tbl>
    <w:p>
      <w:pPr>
        <w:pStyle w:val="null3"/>
      </w:pPr>
      <w:r>
        <w:rPr>
          <w:rFonts w:ascii="仿宋_GB2312" w:hAnsi="仿宋_GB2312" w:cs="仿宋_GB2312" w:eastAsia="仿宋_GB2312"/>
        </w:rPr>
        <w:t>标的名称：蔬菜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蔬菜无腐烂，无黄叶，蔬菜必须新鲜等。</w:t>
            </w:r>
          </w:p>
        </w:tc>
      </w:tr>
    </w:tbl>
    <w:p>
      <w:pPr>
        <w:pStyle w:val="null3"/>
      </w:pPr>
      <w:r>
        <w:rPr>
          <w:rFonts w:ascii="仿宋_GB2312" w:hAnsi="仿宋_GB2312" w:cs="仿宋_GB2312" w:eastAsia="仿宋_GB2312"/>
        </w:rPr>
        <w:t>标的名称：日常生活用品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包装完整，无破损。有产品名称、数量、检验合格证、生产日期，厂家地址。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佛坪县中心敬老院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供货6个月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供货9个月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供货12个月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（1）定型包装食品，检验包装标识是否标出品名、产地、厂名、生产日期、批号或者代号、规格、配方或者主要成份、保质期限、食用或者使用方法等，防止购进假冒伪劣产品，禁止“三无”产品进入食堂； （2）主要食材中的定型包装食品，如米面油类，供应商需要提供三证，即生产厂家的卫生许可证（若非从厂家直接采购的还需同时提供供货单位的卫生许可证）复印件；批次产品卫生主管部门检验报告；送货人员的健康证明； （3）包装污秽不洁、严重破损、运输工具不洁等造成污染的产品不予验收入库；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值班厨师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 （7）产品供应渠道正常、稳定且质量有保证，检验手续合法有效，具备完善的管理制度流程，确保食品安全，需提供检验报告等证明材料。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1.所供食材到货时的保质期期限不少于标注保质期三分之二； 2.不合格产品立即更换。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①按《中华人民共和国民法典》中的相关条款执行。②乙方未按合同要求提供货物或货物质量不能满足国家标准，甲方有权单方解除合同，乙方应按照合同总金额的20%向甲方支付违约金。③如有纠纷，双方友好协商解决，协商不成时可诉讼到甲方所在地人民法院解决。 解决争议的方法：①合同一经签订，不得随意变更、中止或终止。对确需变更、调整或者中止、终止合同的，应按规定履行相应的手续。②凡与本合同有关而引起的一切争议，采购人与中标人双方应首先通过友好协商解决，如经协商后仍不能达成协议时，任何一方可以向采购人所在地法院提出诉讼。③本合同的诉讼管辖地采购人所在地的法院。④在进行法院审理期间，除提交法院审理的事项外，合同其他部分仍应继续履行。⑤本合同按照中华人民共和国的法律进行解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具体付款方式以下列内容为准：采购人根据实际用量、验收单，采用银行转账的形式按月据实结算，中标人需提供货款金额符合税法规定的正规发票，达到付款条件后7日内支付当期货款金额的全部费用（节假日顺延）。本项目采购预算金额为总金额，合同金额据实结算。 2、本项目价格分为折扣率报价，投标人按折扣率报价，折扣率=（零售价-结算价）/零售价×100% （折扣率低于0% 的报价为无效报价，按废标处理） 3、供应商必须按照采购人要求的种类、规格进行供货，满足采购人使用需求。所有食材采购均以采购人通知为准，采购人有权根据实际需求量随时调整采购计划及供货时间段。 配送时间：每天为一个配送周期；当天上午06:30前配送到指定位置；如遇特殊情况，采购人确需多次供货的，供应商应按照采购人要求及时将所需货物配送到位。 4、按照采购人的要求能够及时补充货源，有丰富的供货经验。 5、配送方式：供应商自备送货车，安排专人及时供货，装卸费、送货费用及运输安全由供货方承担；供应商使用专用冷链车（需要时）进行配送，并指定1名联络人（联络及配送人员须提供健康证），采购人每天下午19：30前将次日食品需求清单电话、微信或邮箱通知供应商。供应商按照需求清单及相关要求，将所需产品准时送至配送地点。供应商送货时需附经公司盖章的送货机打清单。指定联络人组织食堂验收人员按照产品质量标准要求，对照需求清单组织产品验收，经验收合格后，在供应商提供的送货清单上签字确认。送货清单一式叁份，供应商一份，采购人留存两份，用于月底清算配送费用，配送人员需有相应的配送业务经历，便于业务沟通。 6、要求： （1）提供生产企业的资质证明（首次供应时提供）：《营业执照》、《食品生产许可证》、《产品质量检验报告》。 （2）首次配送时，应向甲方提供所有参与配送人员有效健康证；更换人员时需另附有效健康证。 （3）若供应商不能按时、按质、按量供货，导致采购人无法正常供应伙食的，采购人有权自行采购同等质量的货物，由此造成的经济损失和责任均由供应商承担，并承担违约责任。 （4）供应商应针对本项目提供物流配送、车辆数量、人员安排等服务方案，肉蛋有冷链冷藏运输机制。 （5）交货时提供本批次《检验报告》合格报告单。肉类、水产等产品必须具有动物检验检疫合格证明或化验单。 （6）果蔬必须保证新鲜，按供货批次提供蔬菜农药检测结果，且符合食品卫生安全法要求。 （7）供应商对提供的所有品类必须在供货清单上加盖单位公章。 （8）供应商负责供货产品的食品安全，必须做到来源可溯。 （9）因产品质量问题出现安全事故，供应方应在2 小时内到达现场处理，主动做好协调、救援、安抚、善后等工作。若出现群体呕吐、腹泻等其他情况，经相关职能部门或机构检测确系产品质量问题导致的，由供应商负全责，采购方有权终止合同，且履约保证金不退还，所造成的一切经济损失和法律责任由供应方自行承担。 （10）供应商主要负责人和相关主管人员必须到现场指导、处理，慰问，做好安抚工作和善后处理，并承担一切责任和产生的一切费用。 （11）供应商自身具有食材快速检测的能力，拥有快速检测设备，提供购置发票或者租赁合同或承诺函，承诺函内容“若我公司中标，签订合同前项采购人提供购置发票或租赁合同”。 （12）退换货要求：对短斤少两、外包装破损、污损的产品应立即告知供应商配送人员，安排退换。对不符合采购要求的产品，由采购人提出清退，并更换为符合采购要求的产品。 7、本项目《标的清单》和《开标一览表》为系统固定格式，因陕西省政府采购综合管理平台系统设置原因，现日常生活用品《标的清单》中标的物不明确，【规格型号】、【品牌】、【产地】、【制造商名称】四栏可填写“/”，其他标的物【规格型号】、【品牌】不明确可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w:t>
            </w:r>
          </w:p>
        </w:tc>
        <w:tc>
          <w:tcPr>
            <w:tcW w:type="dxa" w:w="3322"/>
          </w:tcPr>
          <w:p>
            <w:pPr>
              <w:pStyle w:val="null3"/>
            </w:pPr>
            <w:r>
              <w:rPr>
                <w:rFonts w:ascii="仿宋_GB2312" w:hAnsi="仿宋_GB2312" w:cs="仿宋_GB2312" w:eastAsia="仿宋_GB2312"/>
              </w:rPr>
              <w:t>须出具法定代表人身份证扫描件并与营业执照上信息一致。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投标人为生产厂家的须提供《食品生产许可证》、《食品经营许可证》及《陕西省生鲜肉经营备案表》；投标人为代理商的须提供《食品经营许可证》及《陕西省生鲜肉经营备案表》。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投标文件的电子签章</w:t>
            </w:r>
          </w:p>
        </w:tc>
        <w:tc>
          <w:tcPr>
            <w:tcW w:type="dxa" w:w="3322"/>
          </w:tcPr>
          <w:p>
            <w:pPr>
              <w:pStyle w:val="null3"/>
            </w:pPr>
            <w:r>
              <w:rPr>
                <w:rFonts w:ascii="仿宋_GB2312" w:hAnsi="仿宋_GB2312" w:cs="仿宋_GB2312" w:eastAsia="仿宋_GB2312"/>
              </w:rPr>
              <w:t>投标文件按招标要求进行电子签章</w:t>
            </w:r>
          </w:p>
        </w:tc>
        <w:tc>
          <w:tcPr>
            <w:tcW w:type="dxa" w:w="1661"/>
          </w:tcPr>
          <w:p>
            <w:pPr>
              <w:pStyle w:val="null3"/>
            </w:pPr>
            <w:r>
              <w:rPr>
                <w:rFonts w:ascii="仿宋_GB2312" w:hAnsi="仿宋_GB2312" w:cs="仿宋_GB2312" w:eastAsia="仿宋_GB2312"/>
              </w:rPr>
              <w:t>非联合体书面声明.docx 开标一览表 中小企业声明函 商务应答表 类似项目业绩表.docx 产品技术参数表 投标人应提交的相关资格证明材料.docx 投标函 残疾人福利性单位声明函 供货方案.docx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符合招标文件要求，响应文件内容齐全、无遗漏</w:t>
            </w:r>
          </w:p>
        </w:tc>
        <w:tc>
          <w:tcPr>
            <w:tcW w:type="dxa" w:w="1661"/>
          </w:tcPr>
          <w:p>
            <w:pPr>
              <w:pStyle w:val="null3"/>
            </w:pPr>
            <w:r>
              <w:rPr>
                <w:rFonts w:ascii="仿宋_GB2312" w:hAnsi="仿宋_GB2312" w:cs="仿宋_GB2312" w:eastAsia="仿宋_GB2312"/>
              </w:rPr>
              <w:t>开标一览表 产品技术参数表 投标人应提交的相关资格证明材料.docx 投标函 其他补充资料.docx 商务应答表 供货方案.docx 标的清单 类似项目业绩表.docx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报价唯一，未超出采购预算或招标文件规定的 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不存在其他不符合法律法规或招标文件规定的 响应无效条款的情形</w:t>
            </w:r>
          </w:p>
        </w:tc>
        <w:tc>
          <w:tcPr>
            <w:tcW w:type="dxa" w:w="1661"/>
          </w:tcPr>
          <w:p>
            <w:pPr>
              <w:pStyle w:val="null3"/>
            </w:pPr>
            <w:r>
              <w:rPr>
                <w:rFonts w:ascii="仿宋_GB2312" w:hAnsi="仿宋_GB2312" w:cs="仿宋_GB2312" w:eastAsia="仿宋_GB2312"/>
              </w:rPr>
              <w:t>非联合体书面声明.docx 开标一览表 中小企业声明函 商务应答表 类似项目业绩表.docx 产品技术参数表 投标人应提交的相关资格证明材料.docx 投标函 残疾人福利性单位声明函 供货方案.docx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供应商具备独立的符合国家标准的仓储场地。提供证明材料得2分，未提供不得分。 备注：证明材料包括但不限于场地产权证明或租赁协议复印件。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运输车辆配备情况，包括但不限于车辆类型、数量、用途、配置说明、保温保鲜条件、使用年限、车况等，提供车辆证明材料得2分，未提供不得分。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自有或租赁冷库</w:t>
            </w:r>
          </w:p>
        </w:tc>
        <w:tc>
          <w:tcPr>
            <w:tcW w:type="dxa" w:w="2492"/>
          </w:tcPr>
          <w:p>
            <w:pPr>
              <w:pStyle w:val="null3"/>
            </w:pPr>
            <w:r>
              <w:rPr>
                <w:rFonts w:ascii="仿宋_GB2312" w:hAnsi="仿宋_GB2312" w:cs="仿宋_GB2312" w:eastAsia="仿宋_GB2312"/>
              </w:rPr>
              <w:t>供应商具备自有或租赁冷库，提供冷库具体地址和以下A或B任意一项的得2分，其他0分； A：自有冷库的：提供冷库所有权证明扫描件，所有权人应为投标人； B：租赁冷库的：提供冷库租赁合同扫描件和冷库所有权证明扫描件（所有权人应为出租人） 。本项中“冷库”是指用于食品冷冻和冷藏的建筑物，它是通过人工制冷的方法，使库内保持一定的低温。冰箱、冰柜等制冷设备不属于冷库；未提供不计分。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提供供应商2023年1月1日至投标截止时间前(以合同签订时间为准)同类项目业绩，每提供一份有效业绩证明材料，得2.5分，满分共5分。（注：业绩证明材料以投标文件中所附的合同复印件加盖公章为准。）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鲜肉类、奶粉、大米、面粉、食用油产品供应渠道正规、稳定，提供所投产品来源渠道证明（不限于销售协议或代理协议或购销合同或购货发票等）。每种产品提供一份有效证明材料得1分，满分共5分。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根据本项目的实际需求指定项目管理制度，包含①组织架构②规章制度③职责分工④监督机制等。 以上４项内容完整、不存在瑕疵，得8分；每缺一项扣2分，存在瑕疵的一项扣1分，扣完为止。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根据投标人提供的产品的质量保证措施，包括但不限于： 1、质量保证方案；2、管理规范、团队规范； 以上各项内容全面详细、阐述条理清晰详尽、符合本项目采购需求，能有效保障本项目实施的得10分，每缺一项扣5分，每项中的内容存在缺陷，扣0.1-2.4分，扣完为止。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根据招标要求和投标技术响应情况，对投标人提供的配送方案进行评审，包括但不限于： 1、配送方式及配送工作计划； 2、货物交接的具体技术方案； 3、配送应急预案； 4、持证上岗流程控制； 5、食材数量及总类管理； 6、采购计划单及配送时间管理； 7、配送过程中、冷藏保鲜措施满足保鲜保质要求； 以上各项内容全面详细、阐述条理清晰详尽、符合本项目采购需求，功能配置合理，能有效保障本项目实施的得14分，每缺一项扣2分，每项中的内容存在缺陷，扣0.1-1.9分，扣完为止。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根据本项目要求，对投标人提供的售后服务方案进行评审，包括但不限于： 1、售后服务承诺及保障措施； 2、售后响应及处理周期； 3、退换货问题； 4、售后服务方式； 5、售后服务网点整体情况：如售后服务网点，服务人员数量等（注：须提供售后服务网点证明材料（包括不限于购买合同或租赁合同及实景照片等）。提供售后服务人员身份证。） 以上各项内容全面详细、阐述条理清晰详尽、符合本项目采购需求，功能配置合理，能有效保障本项目实施的得10分，每缺一项扣2分，每项中的内容存在缺陷，扣0.1-1.9分，扣完为止。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针对本项目可能出现的问题及突发事件，有具体可行的应急措施和解决方案，内容包括但不限于①特殊紧急情况下保证日常供给②需要加急配送③出现质量问题能及时更换等 以上3项内容完整、不存在瑕疵，得12分；每缺一项扣4分，存在瑕疵的一项扣2分，扣完为止。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1、价格分统一采用低价优先法计算，即满足招标文件要求且投标折扣率率最高的投标报价为评标基准价，其价格分为满分。2、其他投标人的价格分统一按照下列公式计算： 投标报价得分=(投标报价／评标基准价)×30；3、计算分数时四舍五入取小数点后两位。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详见附件：非联合体书面声明.docx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详见附件：其他补充资料.docx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