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版本号：SCZB2026-CS-0595-00220260330001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佛坪县县域医共体中心(云)药房系统建设项目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SCZB2026-CS-0595-002</w:t>
      </w:r>
      <w:r>
        <w:br/>
      </w:r>
      <w:r>
        <w:br/>
      </w:r>
      <w:r>
        <w:br/>
      </w:r>
    </w:p>
    <w:p>
      <w:pPr>
        <w:pStyle w:val="null3"/>
        <w:jc w:val="center"/>
        <w:outlineLvl w:val="2"/>
      </w:pPr>
      <w:r>
        <w:rPr>
          <w:rFonts w:ascii="仿宋_GB2312" w:hAnsi="仿宋_GB2312" w:cs="仿宋_GB2312" w:eastAsia="仿宋_GB2312"/>
          <w:sz w:val="28"/>
          <w:b/>
        </w:rPr>
        <w:t>佛坪县人民医院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佛坪县人民医院</w:t>
      </w:r>
      <w:r>
        <w:rPr>
          <w:rFonts w:ascii="仿宋_GB2312" w:hAnsi="仿宋_GB2312" w:cs="仿宋_GB2312" w:eastAsia="仿宋_GB2312"/>
        </w:rPr>
        <w:t>委托，拟对</w:t>
      </w:r>
      <w:r>
        <w:rPr>
          <w:rFonts w:ascii="仿宋_GB2312" w:hAnsi="仿宋_GB2312" w:cs="仿宋_GB2312" w:eastAsia="仿宋_GB2312"/>
        </w:rPr>
        <w:t>佛坪县县域医共体中心(云)药房系统建设项目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SCZB2026-CS-0595-002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佛坪县县域医共体中心(云)药房系统建设项目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佛坪县县域医共体中心（云）药房系统建设，具体详见磋商文件。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采购包1（佛坪县县域医共体中心(云)药房系统建设项目）：属于专门面向中小企业采购。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4、施工资质：具备建设行政主管部门核发的建筑工程施工总承包三级及以上资质或建筑装修装饰工程专业承包二级及以上资质；且具备有效的安全生产许可证；</w:t>
      </w:r>
    </w:p>
    <w:p>
      <w:pPr>
        <w:pStyle w:val="null3"/>
      </w:pPr>
      <w:r>
        <w:rPr>
          <w:rFonts w:ascii="仿宋_GB2312" w:hAnsi="仿宋_GB2312" w:cs="仿宋_GB2312" w:eastAsia="仿宋_GB2312"/>
        </w:rPr>
        <w:t>5、本项目接受联合体响应：接受联合体，属于联合体的提供联合体协议书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陕西省汉中市佛坪县袁家庄镇黄家湾路8号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0916-89672182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杨叶、年婷婷、刘艳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采购包1：1,013,246.39元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银行账号：102061182893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依据国家计委颁发的《关于印发招标代理服务收费管理暂行办法》的通知（计价格〔2002〕1980号）和国家发展和改革委员会颁发的《关于降低部分建设项目收费标准规范收费行为等有关问题的通知》（发改价格〔2011〕534号）规定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佛坪县县域医共体中心（云）药房系统建设。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1,013,246.39</w:t>
      </w:r>
    </w:p>
    <w:p>
      <w:pPr>
        <w:pStyle w:val="null3"/>
      </w:pPr>
      <w:r>
        <w:rPr>
          <w:rFonts w:ascii="仿宋_GB2312" w:hAnsi="仿宋_GB2312" w:cs="仿宋_GB2312" w:eastAsia="仿宋_GB2312"/>
        </w:rPr>
        <w:t>采购包最高限价（元）: 1,013,246.39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中心（云）药房系统建设项目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1,013,246.39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标的名称：中心（云）药房系统建设项目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建设内容</w:t>
            </w:r>
          </w:p>
          <w:p>
            <w:pPr>
              <w:pStyle w:val="null3"/>
            </w:pPr>
            <w:r>
              <w:rPr>
                <w:rFonts w:ascii="仿宋_GB2312" w:hAnsi="仿宋_GB2312" w:cs="仿宋_GB2312" w:eastAsia="仿宋_GB2312"/>
                <w:b/>
              </w:rPr>
              <w:t>一、中心（云）药房管理系统。</w:t>
            </w:r>
          </w:p>
          <w:p>
            <w:pPr>
              <w:pStyle w:val="null3"/>
              <w:ind w:left="420"/>
            </w:pPr>
            <w:r>
              <w:rPr>
                <w:rFonts w:ascii="仿宋_GB2312" w:hAnsi="仿宋_GB2312" w:cs="仿宋_GB2312" w:eastAsia="仿宋_GB2312"/>
              </w:rPr>
              <w:t>(1)建立医共体用药目录，依托省药采平台搭建云端药房管理系统，实现药品统一调度、统一采购、共享库存、智能补货和处方高效流转，提升县域药学服务协同能力。</w:t>
            </w:r>
          </w:p>
          <w:p>
            <w:pPr>
              <w:pStyle w:val="null3"/>
              <w:ind w:left="420"/>
            </w:pPr>
            <w:r>
              <w:rPr>
                <w:rFonts w:ascii="仿宋_GB2312" w:hAnsi="仿宋_GB2312" w:cs="仿宋_GB2312" w:eastAsia="仿宋_GB2312"/>
              </w:rPr>
              <w:t>(2)建设内容：药品字典管理:维护药品统一目录信息。</w:t>
            </w:r>
          </w:p>
          <w:p>
            <w:pPr>
              <w:pStyle w:val="null3"/>
              <w:ind w:left="420"/>
            </w:pPr>
            <w:r>
              <w:rPr>
                <w:rFonts w:ascii="仿宋_GB2312" w:hAnsi="仿宋_GB2312" w:cs="仿宋_GB2312" w:eastAsia="仿宋_GB2312"/>
              </w:rPr>
              <w:t>(3)供应商管理:对采购供应商进行管理。</w:t>
            </w:r>
          </w:p>
          <w:p>
            <w:pPr>
              <w:pStyle w:val="null3"/>
              <w:ind w:left="420"/>
            </w:pPr>
            <w:r>
              <w:rPr>
                <w:rFonts w:ascii="仿宋_GB2312" w:hAnsi="仿宋_GB2312" w:cs="仿宋_GB2312" w:eastAsia="仿宋_GB2312"/>
              </w:rPr>
              <w:t>(4)采购渠道管理:设置药品采购渠道。</w:t>
            </w:r>
          </w:p>
          <w:p>
            <w:pPr>
              <w:pStyle w:val="null3"/>
              <w:ind w:left="420"/>
            </w:pPr>
            <w:r>
              <w:rPr>
                <w:rFonts w:ascii="仿宋_GB2312" w:hAnsi="仿宋_GB2312" w:cs="仿宋_GB2312" w:eastAsia="仿宋_GB2312"/>
              </w:rPr>
              <w:t>(5)药品上下限管理:实现药品库存上下限管理。</w:t>
            </w:r>
          </w:p>
          <w:p>
            <w:pPr>
              <w:pStyle w:val="null3"/>
              <w:ind w:left="420"/>
            </w:pPr>
            <w:r>
              <w:rPr>
                <w:rFonts w:ascii="仿宋_GB2312" w:hAnsi="仿宋_GB2312" w:cs="仿宋_GB2312" w:eastAsia="仿宋_GB2312"/>
              </w:rPr>
              <w:t>(6)采购计划管理:制定并上报采购计划。</w:t>
            </w:r>
          </w:p>
          <w:p>
            <w:pPr>
              <w:pStyle w:val="null3"/>
              <w:ind w:left="420"/>
            </w:pPr>
            <w:r>
              <w:rPr>
                <w:rFonts w:ascii="仿宋_GB2312" w:hAnsi="仿宋_GB2312" w:cs="仿宋_GB2312" w:eastAsia="仿宋_GB2312"/>
              </w:rPr>
              <w:t>(7)药品采购:向供应商下单进行药品采购。</w:t>
            </w:r>
          </w:p>
          <w:p>
            <w:pPr>
              <w:pStyle w:val="null3"/>
              <w:ind w:left="420"/>
            </w:pPr>
            <w:r>
              <w:rPr>
                <w:rFonts w:ascii="仿宋_GB2312" w:hAnsi="仿宋_GB2312" w:cs="仿宋_GB2312" w:eastAsia="仿宋_GB2312"/>
              </w:rPr>
              <w:t>(8)药品验收:对供应商配送的药品进行验收。</w:t>
            </w:r>
          </w:p>
          <w:p>
            <w:pPr>
              <w:pStyle w:val="null3"/>
              <w:ind w:left="420"/>
            </w:pPr>
            <w:r>
              <w:rPr>
                <w:rFonts w:ascii="仿宋_GB2312" w:hAnsi="仿宋_GB2312" w:cs="仿宋_GB2312" w:eastAsia="仿宋_GB2312"/>
              </w:rPr>
              <w:t>(9)药品入库:实现对供应商配送的药品进行入库。</w:t>
            </w:r>
          </w:p>
          <w:p>
            <w:pPr>
              <w:pStyle w:val="null3"/>
              <w:ind w:left="420"/>
            </w:pPr>
            <w:r>
              <w:rPr>
                <w:rFonts w:ascii="仿宋_GB2312" w:hAnsi="仿宋_GB2312" w:cs="仿宋_GB2312" w:eastAsia="仿宋_GB2312"/>
              </w:rPr>
              <w:t>(10)药品出库:实现药品出库业务。</w:t>
            </w:r>
          </w:p>
          <w:p>
            <w:pPr>
              <w:pStyle w:val="null3"/>
              <w:ind w:left="420"/>
            </w:pPr>
            <w:r>
              <w:rPr>
                <w:rFonts w:ascii="仿宋_GB2312" w:hAnsi="仿宋_GB2312" w:cs="仿宋_GB2312" w:eastAsia="仿宋_GB2312"/>
              </w:rPr>
              <w:t>(11)库房盘点:实现药房日常盘点业务。</w:t>
            </w:r>
          </w:p>
          <w:p>
            <w:pPr>
              <w:pStyle w:val="null3"/>
              <w:ind w:left="420"/>
            </w:pPr>
            <w:r>
              <w:rPr>
                <w:rFonts w:ascii="仿宋_GB2312" w:hAnsi="仿宋_GB2312" w:cs="仿宋_GB2312" w:eastAsia="仿宋_GB2312"/>
              </w:rPr>
              <w:t>(12)药品养护:实现药品养护记录管理。</w:t>
            </w:r>
          </w:p>
          <w:p>
            <w:pPr>
              <w:pStyle w:val="null3"/>
              <w:ind w:left="420"/>
            </w:pPr>
            <w:r>
              <w:rPr>
                <w:rFonts w:ascii="仿宋_GB2312" w:hAnsi="仿宋_GB2312" w:cs="仿宋_GB2312" w:eastAsia="仿宋_GB2312"/>
              </w:rPr>
              <w:t>(13)缺药登记:对药房缺少的药品信息进行登记，便于以后纳入采购。</w:t>
            </w:r>
          </w:p>
          <w:p>
            <w:pPr>
              <w:pStyle w:val="null3"/>
              <w:ind w:left="420"/>
            </w:pPr>
            <w:r>
              <w:rPr>
                <w:rFonts w:ascii="仿宋_GB2312" w:hAnsi="仿宋_GB2312" w:cs="仿宋_GB2312" w:eastAsia="仿宋_GB2312"/>
              </w:rPr>
              <w:t>(14)药品编码采集:对药品编码信息进行采集录入系统。</w:t>
            </w:r>
          </w:p>
          <w:p>
            <w:pPr>
              <w:pStyle w:val="null3"/>
              <w:ind w:left="420"/>
            </w:pPr>
            <w:r>
              <w:rPr>
                <w:rFonts w:ascii="仿宋_GB2312" w:hAnsi="仿宋_GB2312" w:cs="仿宋_GB2312" w:eastAsia="仿宋_GB2312"/>
              </w:rPr>
              <w:t>(15)箱码解析:对配送的包装箱箱码进行解析。</w:t>
            </w:r>
          </w:p>
          <w:p>
            <w:pPr>
              <w:pStyle w:val="null3"/>
              <w:ind w:left="420"/>
            </w:pPr>
            <w:r>
              <w:rPr>
                <w:rFonts w:ascii="仿宋_GB2312" w:hAnsi="仿宋_GB2312" w:cs="仿宋_GB2312" w:eastAsia="仿宋_GB2312"/>
              </w:rPr>
              <w:t>(16)库位管理:实现药房及货位统一管理。</w:t>
            </w:r>
          </w:p>
          <w:p>
            <w:pPr>
              <w:pStyle w:val="null3"/>
              <w:ind w:left="420"/>
            </w:pPr>
            <w:r>
              <w:rPr>
                <w:rFonts w:ascii="仿宋_GB2312" w:hAnsi="仿宋_GB2312" w:cs="仿宋_GB2312" w:eastAsia="仿宋_GB2312"/>
              </w:rPr>
              <w:t>(17)系统预警管理:实现近效期预警、缺货预警、证照预警功能。</w:t>
            </w:r>
          </w:p>
          <w:p>
            <w:pPr>
              <w:pStyle w:val="null3"/>
            </w:pPr>
            <w:r>
              <w:rPr>
                <w:rFonts w:ascii="仿宋_GB2312" w:hAnsi="仿宋_GB2312" w:cs="仿宋_GB2312" w:eastAsia="仿宋_GB2312"/>
              </w:rPr>
              <w:t>2、中心库房完善药库功能布局，实现仓储规范、温湿度环境智能监控、出入库精细化管理，提升库房标准化智能化水平。</w:t>
            </w:r>
          </w:p>
          <w:p>
            <w:pPr>
              <w:pStyle w:val="null3"/>
              <w:ind w:left="420"/>
            </w:pPr>
            <w:r>
              <w:rPr>
                <w:rFonts w:ascii="仿宋_GB2312" w:hAnsi="仿宋_GB2312" w:cs="仿宋_GB2312" w:eastAsia="仿宋_GB2312"/>
              </w:rPr>
              <w:t>(1)基础建设：改造库房3个，审方中心一个。建筑面积412平方米。包含空调（四间库房利用原有的中央空调接口）、弱电、监控、烟感、消防广播等公共基础附属设施接入医院原有的系统。</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改造示意图</w:t>
            </w:r>
          </w:p>
          <w:p>
            <w:pPr>
              <w:pStyle w:val="null3"/>
              <w:jc w:val="center"/>
            </w:pPr>
            <w:r>
              <w:drawing>
                <wp:inline distT="0" distR="0" distB="0" distL="0">
                  <wp:extent cx="1621155" cy="12089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08996"/>
                          </a:xfrm>
                          <a:prstGeom prst="rect">
                            <a:avLst/>
                          </a:prstGeom>
                        </pic:spPr>
                      </pic:pic>
                    </a:graphicData>
                  </a:graphic>
                </wp:inline>
              </w:drawing>
            </w:r>
          </w:p>
          <w:p>
            <w:pPr>
              <w:pStyle w:val="null3"/>
              <w:jc w:val="center"/>
            </w:pPr>
            <w:r>
              <w:rPr>
                <w:rFonts w:ascii="仿宋_GB2312" w:hAnsi="仿宋_GB2312" w:cs="仿宋_GB2312" w:eastAsia="仿宋_GB2312"/>
              </w:rPr>
              <w:t>清单</w:t>
            </w:r>
          </w:p>
          <w:tbl>
            <w:tblPr>
              <w:tblBorders>
                <w:top w:val="single"/>
                <w:left w:val="single"/>
                <w:bottom w:val="single"/>
                <w:right w:val="single"/>
                <w:insideH w:val="single"/>
                <w:insideV w:val="single"/>
              </w:tblBorders>
            </w:tblPr>
            <w:tblGrid>
              <w:gridCol w:w="311"/>
              <w:gridCol w:w="488"/>
              <w:gridCol w:w="311"/>
              <w:gridCol w:w="311"/>
              <w:gridCol w:w="1131"/>
            </w:tblGrid>
            <w:tr>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名称</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项目内容　</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计量单位</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工程数量</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规格及材质</w:t>
                  </w:r>
                </w:p>
              </w:tc>
            </w:tr>
            <w:tr>
              <w:tc>
                <w:tcPr>
                  <w:tcW w:type="dxa" w:w="31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照明及普通弱电工程</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成套配电箱</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APEsg 500*350*200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接线端子板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WDZ-BYJ-4</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配管</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491.6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SC25</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配管</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171.5</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SC20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1474.8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WDZN-BYJ-4</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495.6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WDZN-BYJ-2.5</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普通灯具</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带雷达感应吸顶灯</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开关、按钮</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单联开关</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开关、按钮</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三联开关</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开关、按钮</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单联双控开关</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普通插座</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单项二三级组合插座</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空调插座</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单项二三级组合插座</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接线盒</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86接线盒</w:t>
                  </w:r>
                </w:p>
              </w:tc>
            </w:tr>
            <w:tr>
              <w:tc>
                <w:tcPr>
                  <w:tcW w:type="dxa" w:w="31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库房改造建筑与装饰工程</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土石方工程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基础人工土方</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114.74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人工开挖</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回填方</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74.02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素土</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余方弃置</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40.72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运距5KM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砌筑工程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砖基础</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20.14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240*115*53mmM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实心砖墙</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6.7</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混凝土实心砖</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砌块墙</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38.47</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加气混凝土砌块隔墙</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混凝土及钢筋混凝土工程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条形基础</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14.34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商品砼</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水泥砂浆楼地面</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100厚C20细石混凝土</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水泥砂浆楼地面</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129.28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100厚C20细石混凝土</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块料楼地面</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20.36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800*800=640000地面地砖</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平面吊顶天棚</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129.28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硅钙板吊顶</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油漆、涂料、裱糊工程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抹灰面油漆</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512.31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水性腻子2遍</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抹灰面油漆</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278.22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地面地坪漆</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拆除120mm厚C20混凝土地面混凝土及外运，运距25km以内</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107.72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运距25KM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构造柱</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商品砼C25</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圈梁</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12.48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商品砼C25</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过梁</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m3</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0.35</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商品砼C25</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基础模板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14.34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条形基础</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构造柱模板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复合模版</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圈梁模板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12.48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复合模版</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过梁模板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0.35</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复合模版</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现浇构件钢筋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t</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0.356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钢筋HPB300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现浇构件钢筋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t</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0.9</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带肋钢筋HRB400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门窗工程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钢质防火门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25.83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钢质乙级防火门</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防火钢塑钢、断桥)窗</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17.28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推拉式断桥铝合金窗，玻璃中空</w:t>
                  </w:r>
                </w:p>
              </w:tc>
            </w:tr>
            <w:tr>
              <w:tc>
                <w:tcPr>
                  <w:tcW w:type="dxa" w:w="31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通风工程</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通风机1型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L=3381m³/h，H=218Pa(全压）N=0.25kw/380v,转速：2900rpm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通风机2型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L=4555m³/h，H=242Pa(全压）N=0.37kw/380v,转速：2900rpm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通风机3型</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L=2384m³/h，H=1722Pa(全压）N=0.18kw/380v,转速：2900rpm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一般钢结构刷油</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kg</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14.76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除锈调和漆</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风阀</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70度防火阀250*200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设备支吊架</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Kg</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防火阀支吊架</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风口、散流器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防雨百叶风口500*320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风口、散流器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防雨百叶风口250*200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风口、散流器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双层百叶风口630*400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风口、散流器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双层百叶风口320*200</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柔性接口及伸缩节</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m2</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0.86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制作安装</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小型电动机</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3KW及以下</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通风空调工程检测、调试</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系统</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应急照明工程</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配管</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66.4</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钢管SC15，镀锌钢管，直径15mm，管壁厚度≥2.0mm。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132.8</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WDZN-RVS2*2.5标准</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智能应急灯具及标志灯</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11192D"/>
                    </w:rPr>
                    <w:t>续供电≥90分钟、亮度≥50cd/m²、响应时间≤5秒、标志信息清晰可辨且具备方向引导功能</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接线盒</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b/>
                      <w:color w:val="333333"/>
                    </w:rPr>
                    <w:t>铁方盒</w:t>
                  </w:r>
                  <w:r>
                    <w:rPr>
                      <w:rFonts w:ascii="仿宋_GB2312" w:hAnsi="仿宋_GB2312" w:cs="仿宋_GB2312" w:eastAsia="仿宋_GB2312"/>
                      <w:b/>
                      <w:color w:val="333333"/>
                    </w:rPr>
                    <w:t>：边长86mm*86mm，深度为40mm</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消防应急灯具专用电源</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color w:val="000000"/>
                    </w:rPr>
                    <w:t>输入电压：通常为 AC220V/50Hz，允许在一定范围内波动（如85%~110%），以适应电网不稳定情况 ；输出电压：DC24V。输出功率：500W。应急时间：标准要求不少于 90分钟，部分重要场所（如医疗、高层建筑）要求达到 180分钟 。电池类型：采用高能量密度和更长循环寿命 。转换时间：主电中断后切换至应急供电的时间应极短，一般要求 ≤0.5秒，部分高要求场景需在 0.25秒以内 。输出回路数：常见为 2~8个回路，可连接多个应急灯具并实现独立保护 。防护等级：外壳防护等级通常不低于IP42 。通讯方式：支持 RS485、无极性二线制总线 等，便于与消防控制系统联动，实现集中监控 。工作环境：温度范围一般为 0℃~55℃，相对湿度 ≤95%（无凝露）</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智能应急照明及疏散指示系统调试</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系统</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消控室设备</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火灾报单区火灾报警控制器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控制器具有汉字液晶显示，可同时显示≥两种信息。引入消防防火分区的概念，可自动识别总线设备并具有自动分区功能，每一分区均具有预警功能。控制器容量：≥128个总线设备，≥8个警报器发生火警时可自动联动本区和公共区域的警报器，采用电池的供电方式。</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应急照明控制器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参数（符合国家标准 GB 17945-2010）；输入电源：AC220V ±10%，50Hz；应急时间：≥180分钟（3小时）；防护等级：IP30～IP54；运行环境温度：-20℃～+60℃；通信接口支持：RS232、RS485、CAN、USB、RJ45 ；最大回路容量：≥60回路；总线通信距离：≥1200米 ；响应时间：≤5秒（接收火警信号后生成疏散方案）</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感烟探测器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color w:val="000000"/>
                    </w:rPr>
                    <w:t>工作电压：总线24V（允许范围16V～28V）；监视电流：≤0.6mA；报警确认灯：红色LED，巡检时闪烁，报警时常亮；编码方式：十进制电子编码（编码范围1～242）；使用环境温度：-10℃ ～ +55℃；相对湿度：≤95%，不结露；外壳防护等级：IP32。</w:t>
                  </w:r>
                </w:p>
              </w:tc>
            </w:tr>
            <w:tr>
              <w:tc>
                <w:tcPr>
                  <w:tcW w:type="dxa" w:w="31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火灾报警工程</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声光报警器</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color w:val="000000"/>
                    </w:rPr>
                    <w:t>工作电压：信号总线电压 DC24V（允许范围 16V～28V）；监视电流：≤ 0.25mA；线制：两线制，无极性信号二总线连接16；火警声：80dB～115dB（正前方3m处，A计权）；</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按钮</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color w:val="000000"/>
                    </w:rPr>
                    <w:t>工作电压：总线 DC24V（允许范围 16V～28V）；执行标准：GB19880-2024；外壳防护等级：IP33；启动方式：人工按下按片；复位方式：需使用专用工具（钥匙）复位；适用环境：温度：-10℃ ～ +55℃，相对湿度：≤95%，不结露。</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配管</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20.63</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color w:val="000000"/>
                    </w:rPr>
                    <w:t>套接扣压式薄壁钢导管，薄壁镀锌钢管，套接扣压式连接，管壁≥20mm；达到国标 GB/T 20041.1。</w:t>
                  </w:r>
                </w:p>
              </w:tc>
            </w:tr>
            <w:tr>
              <w:tc>
                <w:tcPr>
                  <w:tcW w:type="dxa" w:w="311"/>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配线</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m</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41.26</w:t>
                  </w:r>
                </w:p>
              </w:tc>
              <w:tc>
                <w:tcPr>
                  <w:tcW w:type="dxa" w:w="1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color w:val="000000"/>
                    </w:rPr>
                    <w:t>导体材质：多股软铜线，适合需要弯曲的场合。导体截面积：1.5平方毫米，额定电流一般在10安左右；额定电压：450/750伏，可以满足一般家庭用电需求。绝缘材料：聚氯乙烯（PVC），具有较好的绝缘性和耐热性。工作温度：长期允许工作温度是70度，短时最高可到160度。</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二、追溯码管理</w:t>
            </w:r>
          </w:p>
          <w:p>
            <w:pPr>
              <w:pStyle w:val="null3"/>
              <w:ind w:left="420"/>
            </w:pPr>
            <w:r>
              <w:rPr>
                <w:rFonts w:ascii="仿宋_GB2312" w:hAnsi="仿宋_GB2312" w:cs="仿宋_GB2312" w:eastAsia="仿宋_GB2312"/>
              </w:rPr>
              <w:t>1)核心定位；药品追溯码是药品“电子身份证”，一物一码、唯一标识，实现来源可溯、去向可追、责任可究陕西省政府。</w:t>
            </w:r>
          </w:p>
          <w:p>
            <w:pPr>
              <w:pStyle w:val="null3"/>
              <w:ind w:left="420"/>
            </w:pPr>
            <w:r>
              <w:rPr>
                <w:rFonts w:ascii="仿宋_GB2312" w:hAnsi="仿宋_GB2312" w:cs="仿宋_GB2312" w:eastAsia="仿宋_GB2312"/>
              </w:rPr>
              <w:t>2)政策依据：国家医保局等四部门《关于加强药品追溯码在医疗保障和工伤保险领域采集应用的通知》、陕西省《医保药品耗材追溯信息采集工作实施方案》。</w:t>
            </w:r>
          </w:p>
          <w:p>
            <w:pPr>
              <w:pStyle w:val="null3"/>
              <w:ind w:left="420"/>
            </w:pPr>
            <w:r>
              <w:rPr>
                <w:rFonts w:ascii="仿宋_GB2312" w:hAnsi="仿宋_GB2312" w:cs="仿宋_GB2312" w:eastAsia="仿宋_GB2312"/>
              </w:rPr>
              <w:t>3)同一个患者同一个处方，同一张入库单据上的药品追溯码可一次性扫码，系统自动匹配相应药品。</w:t>
            </w:r>
          </w:p>
          <w:p>
            <w:pPr>
              <w:pStyle w:val="null3"/>
              <w:ind w:left="420"/>
            </w:pPr>
            <w:r>
              <w:rPr>
                <w:rFonts w:ascii="仿宋_GB2312" w:hAnsi="仿宋_GB2312" w:cs="仿宋_GB2312" w:eastAsia="仿宋_GB2312"/>
              </w:rPr>
              <w:t>4)支持追溯码实现扫码与未扫码之间有颜色区分。</w:t>
            </w:r>
          </w:p>
          <w:p>
            <w:pPr>
              <w:pStyle w:val="null3"/>
              <w:ind w:left="420"/>
            </w:pPr>
            <w:r>
              <w:rPr>
                <w:rFonts w:ascii="仿宋_GB2312" w:hAnsi="仿宋_GB2312" w:cs="仿宋_GB2312" w:eastAsia="仿宋_GB2312"/>
              </w:rPr>
              <w:t>5)追溯码扫描错误药品需要有弹窗提醒。</w:t>
            </w:r>
          </w:p>
          <w:p>
            <w:pPr>
              <w:pStyle w:val="null3"/>
              <w:ind w:left="420"/>
            </w:pPr>
            <w:r>
              <w:rPr>
                <w:rFonts w:ascii="仿宋_GB2312" w:hAnsi="仿宋_GB2312" w:cs="仿宋_GB2312" w:eastAsia="仿宋_GB2312"/>
              </w:rPr>
              <w:t>6)追溯码未上传成功，有未上传成功的原因弹窗提醒，且可快速定位到错误信息。</w:t>
            </w:r>
          </w:p>
          <w:p>
            <w:pPr>
              <w:pStyle w:val="null3"/>
              <w:ind w:left="420"/>
            </w:pPr>
            <w:r>
              <w:rPr>
                <w:rFonts w:ascii="仿宋_GB2312" w:hAnsi="仿宋_GB2312" w:cs="仿宋_GB2312" w:eastAsia="仿宋_GB2312"/>
              </w:rPr>
              <w:t>7)上传追溯码界面需要有筛选功能可方便快速查找某条未上传成功信息。</w:t>
            </w:r>
          </w:p>
          <w:p>
            <w:pPr>
              <w:pStyle w:val="null3"/>
              <w:ind w:left="420"/>
            </w:pPr>
            <w:r>
              <w:rPr>
                <w:rFonts w:ascii="仿宋_GB2312" w:hAnsi="仿宋_GB2312" w:cs="仿宋_GB2312" w:eastAsia="仿宋_GB2312"/>
              </w:rPr>
              <w:t>8)支持批量扫码设备能实现大批量扫码，药房2台，库房1台，大批量扫码设备需附带有无线扫码枪，方便不能随意移动的大输液等的扫码。</w:t>
            </w:r>
          </w:p>
          <w:p>
            <w:pPr>
              <w:pStyle w:val="null3"/>
              <w:ind w:left="420"/>
            </w:pPr>
            <w:r>
              <w:rPr>
                <w:rFonts w:ascii="仿宋_GB2312" w:hAnsi="仿宋_GB2312" w:cs="仿宋_GB2312" w:eastAsia="仿宋_GB2312"/>
              </w:rPr>
              <w:t>9)支持西药库房退还供方退库功能增加扫码界面。</w:t>
            </w:r>
          </w:p>
          <w:p>
            <w:pPr>
              <w:pStyle w:val="null3"/>
              <w:ind w:left="420"/>
            </w:pPr>
            <w:r>
              <w:rPr>
                <w:rFonts w:ascii="仿宋_GB2312" w:hAnsi="仿宋_GB2312" w:cs="仿宋_GB2312" w:eastAsia="仿宋_GB2312"/>
              </w:rPr>
              <w:t>10)支持库房扫码界面默认选择键不能放在退出选项，避免在操作扫码枪时扫码界面意外退出。</w:t>
            </w:r>
          </w:p>
          <w:p>
            <w:pPr>
              <w:pStyle w:val="null3"/>
              <w:ind w:left="420"/>
            </w:pPr>
            <w:r>
              <w:rPr>
                <w:rFonts w:ascii="仿宋_GB2312" w:hAnsi="仿宋_GB2312" w:cs="仿宋_GB2312" w:eastAsia="仿宋_GB2312"/>
              </w:rPr>
              <w:t>11)西药房和西药库房需要有追溯码补扫界面，方便意外扫码意外退出后的补救。</w:t>
            </w:r>
          </w:p>
          <w:p>
            <w:pPr>
              <w:pStyle w:val="null3"/>
              <w:ind w:left="420"/>
            </w:pPr>
            <w:r>
              <w:rPr>
                <w:rFonts w:ascii="仿宋_GB2312" w:hAnsi="仿宋_GB2312" w:cs="仿宋_GB2312" w:eastAsia="仿宋_GB2312"/>
              </w:rPr>
              <w:t>12)支持追溯码重复扫描需要有弹窗提醒。</w:t>
            </w:r>
          </w:p>
          <w:p>
            <w:pPr>
              <w:pStyle w:val="null3"/>
            </w:pPr>
            <w:r>
              <w:rPr>
                <w:rFonts w:ascii="仿宋_GB2312" w:hAnsi="仿宋_GB2312" w:cs="仿宋_GB2312" w:eastAsia="仿宋_GB2312"/>
              </w:rPr>
              <w:t>13)支持申请两台药品用法用量标签机，方便打印药品用法用量标签，提高工作效率。</w:t>
            </w:r>
          </w:p>
          <w:p>
            <w:pPr>
              <w:pStyle w:val="null3"/>
            </w:pPr>
            <w:r>
              <w:rPr>
                <w:rFonts w:ascii="仿宋_GB2312" w:hAnsi="仿宋_GB2312" w:cs="仿宋_GB2312" w:eastAsia="仿宋_GB2312"/>
              </w:rPr>
              <w:t>硬件支持：</w:t>
            </w:r>
          </w:p>
          <w:p>
            <w:pPr>
              <w:pStyle w:val="null3"/>
              <w:ind w:left="420"/>
            </w:pPr>
            <w:r>
              <w:rPr>
                <w:rFonts w:ascii="仿宋_GB2312" w:hAnsi="仿宋_GB2312" w:cs="仿宋_GB2312" w:eastAsia="仿宋_GB2312"/>
              </w:rPr>
              <w:t>1)图像分辦率：≥1920*1200，230万像素自动变焦镜头。帧率≥120FPS。</w:t>
            </w:r>
          </w:p>
          <w:p>
            <w:pPr>
              <w:pStyle w:val="null3"/>
              <w:ind w:left="420"/>
            </w:pPr>
            <w:r>
              <w:rPr>
                <w:rFonts w:ascii="仿宋_GB2312" w:hAnsi="仿宋_GB2312" w:cs="仿宋_GB2312" w:eastAsia="仿宋_GB2312"/>
              </w:rPr>
              <w:t>2)最大视野：≥430*270mm。</w:t>
            </w:r>
          </w:p>
          <w:p>
            <w:pPr>
              <w:pStyle w:val="null3"/>
              <w:ind w:left="420"/>
            </w:pPr>
            <w:r>
              <w:rPr>
                <w:rFonts w:ascii="仿宋_GB2312" w:hAnsi="仿宋_GB2312" w:cs="仿宋_GB2312" w:eastAsia="仿宋_GB2312"/>
              </w:rPr>
              <w:t>3)触发模式：连续触发、硬件触发、网络触发、感应触发。</w:t>
            </w:r>
          </w:p>
          <w:p>
            <w:pPr>
              <w:pStyle w:val="null3"/>
              <w:ind w:left="420"/>
            </w:pPr>
            <w:r>
              <w:rPr>
                <w:rFonts w:ascii="仿宋_GB2312" w:hAnsi="仿宋_GB2312" w:cs="仿宋_GB2312" w:eastAsia="仿宋_GB2312"/>
              </w:rPr>
              <w:t>4)支持条码去重功能，防止重复录入。</w:t>
            </w:r>
          </w:p>
          <w:p>
            <w:pPr>
              <w:pStyle w:val="null3"/>
              <w:ind w:left="420"/>
            </w:pPr>
            <w:r>
              <w:rPr>
                <w:rFonts w:ascii="仿宋_GB2312" w:hAnsi="仿宋_GB2312" w:cs="仿宋_GB2312" w:eastAsia="仿宋_GB2312"/>
              </w:rPr>
              <w:t>5)条码类型：一维码:Code39、Code93、Code128、EAN-8、EAN-13、Interleaved2of5.UPC、Pharmacode二维码:MicroQR、QRcode、DataMatrix、PDF417。</w:t>
            </w:r>
          </w:p>
          <w:p>
            <w:pPr>
              <w:pStyle w:val="null3"/>
              <w:ind w:left="420"/>
            </w:pPr>
            <w:r>
              <w:rPr>
                <w:rFonts w:ascii="仿宋_GB2312" w:hAnsi="仿宋_GB2312" w:cs="仿宋_GB2312" w:eastAsia="仿宋_GB2312"/>
              </w:rPr>
              <w:t>6)支持语音数量播报。</w:t>
            </w:r>
          </w:p>
          <w:p>
            <w:pPr>
              <w:pStyle w:val="null3"/>
              <w:ind w:left="420"/>
            </w:pPr>
            <w:r>
              <w:rPr>
                <w:rFonts w:ascii="仿宋_GB2312" w:hAnsi="仿宋_GB2312" w:cs="仿宋_GB2312" w:eastAsia="仿宋_GB2312"/>
              </w:rPr>
              <w:t>7)支持读码成功/失败指示。</w:t>
            </w:r>
          </w:p>
          <w:p>
            <w:pPr>
              <w:pStyle w:val="null3"/>
              <w:ind w:left="420"/>
            </w:pPr>
            <w:r>
              <w:rPr>
                <w:rFonts w:ascii="仿宋_GB2312" w:hAnsi="仿宋_GB2312" w:cs="仿宋_GB2312" w:eastAsia="仿宋_GB2312"/>
              </w:rPr>
              <w:t>8)光源：柔和白光，支持无光源读取光源。</w:t>
            </w:r>
          </w:p>
          <w:p>
            <w:pPr>
              <w:pStyle w:val="null3"/>
              <w:ind w:left="420"/>
            </w:pPr>
            <w:r>
              <w:rPr>
                <w:rFonts w:ascii="仿宋_GB2312" w:hAnsi="仿宋_GB2312" w:cs="仿宋_GB2312" w:eastAsia="仿宋_GB2312"/>
              </w:rPr>
              <w:t>9)支持网口、串口、USB。</w:t>
            </w:r>
          </w:p>
          <w:p>
            <w:pPr>
              <w:pStyle w:val="null3"/>
              <w:ind w:left="420"/>
            </w:pPr>
            <w:r>
              <w:rPr>
                <w:rFonts w:ascii="仿宋_GB2312" w:hAnsi="仿宋_GB2312" w:cs="仿宋_GB2312" w:eastAsia="仿宋_GB2312"/>
              </w:rPr>
              <w:t>10)▲针对本项目提供不低于3年的原厂质保。</w:t>
            </w:r>
          </w:p>
          <w:p>
            <w:pPr>
              <w:pStyle w:val="null3"/>
            </w:pPr>
            <w:r>
              <w:rPr>
                <w:rFonts w:ascii="仿宋_GB2312" w:hAnsi="仿宋_GB2312" w:cs="仿宋_GB2312" w:eastAsia="仿宋_GB2312"/>
                <w:b/>
              </w:rPr>
              <w:t>三、秦智医接口</w:t>
            </w:r>
          </w:p>
          <w:p>
            <w:pPr>
              <w:pStyle w:val="null3"/>
              <w:ind w:left="420"/>
            </w:pPr>
            <w:r>
              <w:rPr>
                <w:rFonts w:ascii="仿宋_GB2312" w:hAnsi="仿宋_GB2312" w:cs="仿宋_GB2312" w:eastAsia="仿宋_GB2312"/>
              </w:rPr>
              <w:t>接口核心目标：</w:t>
            </w:r>
          </w:p>
          <w:p>
            <w:pPr>
              <w:pStyle w:val="null3"/>
              <w:ind w:left="420"/>
            </w:pPr>
            <w:r>
              <w:rPr>
                <w:rFonts w:ascii="仿宋_GB2312" w:hAnsi="仿宋_GB2312" w:cs="仿宋_GB2312" w:eastAsia="仿宋_GB2312"/>
              </w:rPr>
              <w:t>(1)实现基层医疗、公卫、医保、监管数据统一采集、标准上报、互联互通。</w:t>
            </w:r>
          </w:p>
          <w:p>
            <w:pPr>
              <w:pStyle w:val="null3"/>
              <w:ind w:left="420"/>
            </w:pPr>
            <w:r>
              <w:rPr>
                <w:rFonts w:ascii="仿宋_GB2312" w:hAnsi="仿宋_GB2312" w:cs="仿宋_GB2312" w:eastAsia="仿宋_GB2312"/>
              </w:rPr>
              <w:t>(2)满足基层卫生综合监管、电子病历、医保结算等业务联动。</w:t>
            </w:r>
          </w:p>
          <w:p>
            <w:pPr>
              <w:pStyle w:val="null3"/>
              <w:ind w:left="420"/>
            </w:pPr>
            <w:r>
              <w:rPr>
                <w:rFonts w:ascii="仿宋_GB2312" w:hAnsi="仿宋_GB2312" w:cs="仿宋_GB2312" w:eastAsia="仿宋_GB2312"/>
              </w:rPr>
              <w:t>(3)支持基础数据同步：科室、人员、药品、诊疗项目、字典映射。</w:t>
            </w:r>
          </w:p>
          <w:p>
            <w:pPr>
              <w:pStyle w:val="null3"/>
              <w:ind w:left="420"/>
            </w:pPr>
            <w:r>
              <w:rPr>
                <w:rFonts w:ascii="仿宋_GB2312" w:hAnsi="仿宋_GB2312" w:cs="仿宋_GB2312" w:eastAsia="仿宋_GB2312"/>
              </w:rPr>
              <w:t>(4)支持患者与就诊：建档、挂号、就诊记录、电子病历（EMR）上报。</w:t>
            </w:r>
          </w:p>
          <w:p>
            <w:pPr>
              <w:pStyle w:val="null3"/>
              <w:ind w:left="420"/>
            </w:pPr>
            <w:r>
              <w:rPr>
                <w:rFonts w:ascii="仿宋_GB2312" w:hAnsi="仿宋_GB2312" w:cs="仿宋_GB2312" w:eastAsia="仿宋_GB2312"/>
              </w:rPr>
              <w:t>(5)支持医疗服务：检验/检查/心电/影像结果上报（如医院有相关系统）。</w:t>
            </w:r>
          </w:p>
          <w:p>
            <w:pPr>
              <w:pStyle w:val="null3"/>
              <w:ind w:left="420"/>
            </w:pPr>
            <w:r>
              <w:rPr>
                <w:rFonts w:ascii="仿宋_GB2312" w:hAnsi="仿宋_GB2312" w:cs="仿宋_GB2312" w:eastAsia="仿宋_GB2312"/>
              </w:rPr>
              <w:t>(6)按照政策要求执行。</w:t>
            </w:r>
          </w:p>
          <w:p>
            <w:pPr>
              <w:pStyle w:val="null3"/>
            </w:pPr>
            <w:r>
              <w:rPr>
                <w:rFonts w:ascii="仿宋_GB2312" w:hAnsi="仿宋_GB2312" w:cs="仿宋_GB2312" w:eastAsia="仿宋_GB2312"/>
                <w:b/>
              </w:rPr>
              <w:t>四、医共体审方中心（本次建设内容为软件，硬件利旧）</w:t>
            </w:r>
          </w:p>
          <w:p>
            <w:pPr>
              <w:pStyle w:val="null3"/>
            </w:pPr>
            <w:r>
              <w:rPr>
                <w:rFonts w:ascii="仿宋_GB2312" w:hAnsi="仿宋_GB2312" w:cs="仿宋_GB2312" w:eastAsia="仿宋_GB2312"/>
              </w:rPr>
              <w:t>区域药师前置审方干预功能要求</w:t>
            </w:r>
          </w:p>
          <w:p>
            <w:pPr>
              <w:pStyle w:val="null3"/>
            </w:pPr>
            <w:r>
              <w:rPr>
                <w:rFonts w:ascii="仿宋_GB2312" w:hAnsi="仿宋_GB2312" w:cs="仿宋_GB2312" w:eastAsia="仿宋_GB2312"/>
              </w:rPr>
              <w:t>1)审方干预功能。</w:t>
            </w:r>
          </w:p>
          <w:p>
            <w:pPr>
              <w:pStyle w:val="null3"/>
            </w:pPr>
            <w:r>
              <w:rPr>
                <w:rFonts w:ascii="仿宋_GB2312" w:hAnsi="仿宋_GB2312" w:cs="仿宋_GB2312" w:eastAsia="仿宋_GB2312"/>
              </w:rPr>
              <w:t>2)审方时机和过程：系统可以为药师提供专门的审方工作平台，帮助门诊药师在患者缴费前完成门诊处方实时审查、住院药师在护士领药前完成住院医嘱审查。系统先自动审查出问题处方（医嘱），再由药师人工审查，审查过程中药师可以与医生实时互动，直到处方（医嘱）通过。必要时，药师可同时接收门诊、住院任务。</w:t>
            </w:r>
          </w:p>
          <w:p>
            <w:pPr>
              <w:pStyle w:val="null3"/>
            </w:pPr>
            <w:r>
              <w:rPr>
                <w:rFonts w:ascii="仿宋_GB2312" w:hAnsi="仿宋_GB2312" w:cs="仿宋_GB2312" w:eastAsia="仿宋_GB2312"/>
              </w:rPr>
              <w:t>3)▲系统可主动分配任务给药师，任务来临时可用弹框提醒药师，点击弹框后即可跳转至审方页面。</w:t>
            </w:r>
          </w:p>
          <w:p>
            <w:pPr>
              <w:pStyle w:val="null3"/>
            </w:pPr>
            <w:r>
              <w:rPr>
                <w:rFonts w:ascii="仿宋_GB2312" w:hAnsi="仿宋_GB2312" w:cs="仿宋_GB2312" w:eastAsia="仿宋_GB2312"/>
              </w:rPr>
              <w:t>4)药师审查时，可在审查界面一体化查看当前处方（医嘱）历史干预记录，如医生操作、用药理由等。</w:t>
            </w:r>
          </w:p>
          <w:p>
            <w:pPr>
              <w:pStyle w:val="null3"/>
            </w:pPr>
            <w:r>
              <w:rPr>
                <w:rFonts w:ascii="仿宋_GB2312" w:hAnsi="仿宋_GB2312" w:cs="仿宋_GB2312" w:eastAsia="仿宋_GB2312"/>
              </w:rPr>
              <w:t>5)药师审查时可查看当前处方（医嘱）历史修改版本信息。</w:t>
            </w:r>
          </w:p>
          <w:p>
            <w:pPr>
              <w:pStyle w:val="null3"/>
            </w:pPr>
            <w:r>
              <w:rPr>
                <w:rFonts w:ascii="仿宋_GB2312" w:hAnsi="仿宋_GB2312" w:cs="仿宋_GB2312" w:eastAsia="仿宋_GB2312"/>
              </w:rPr>
              <w:t>6)▲药师可以根据不同任务情况选择医生处方（医嘱）直接双签通过还是需要药师复核。</w:t>
            </w:r>
          </w:p>
          <w:p>
            <w:pPr>
              <w:pStyle w:val="null3"/>
            </w:pPr>
            <w:r>
              <w:rPr>
                <w:rFonts w:ascii="仿宋_GB2312" w:hAnsi="仿宋_GB2312" w:cs="仿宋_GB2312" w:eastAsia="仿宋_GB2312"/>
              </w:rPr>
              <w:t>7)▲系统支持根据医生提交至药师处的中药处方智能检索近似经典方剂供药师参考。</w:t>
            </w:r>
          </w:p>
          <w:p>
            <w:pPr>
              <w:pStyle w:val="null3"/>
            </w:pPr>
            <w:r>
              <w:rPr>
                <w:rFonts w:ascii="仿宋_GB2312" w:hAnsi="仿宋_GB2312" w:cs="仿宋_GB2312" w:eastAsia="仿宋_GB2312"/>
              </w:rPr>
              <w:t>患者信息查看：</w:t>
            </w:r>
          </w:p>
          <w:p>
            <w:pPr>
              <w:pStyle w:val="null3"/>
            </w:pPr>
            <w:r>
              <w:rPr>
                <w:rFonts w:ascii="仿宋_GB2312" w:hAnsi="仿宋_GB2312" w:cs="仿宋_GB2312" w:eastAsia="仿宋_GB2312"/>
              </w:rPr>
              <w:t>1）药师审方界面：可查看患者基本信息、患者过敏史、手术信息、检验检查信息、会诊信息，检验结果异常项可单独显示。可链接EMR系统查看患者详细信息。</w:t>
            </w:r>
          </w:p>
          <w:p>
            <w:pPr>
              <w:pStyle w:val="null3"/>
            </w:pPr>
            <w:r>
              <w:rPr>
                <w:rFonts w:ascii="仿宋_GB2312" w:hAnsi="仿宋_GB2312" w:cs="仿宋_GB2312" w:eastAsia="仿宋_GB2312"/>
              </w:rPr>
              <w:t>2）可标记门诊特殊病人。</w:t>
            </w:r>
          </w:p>
          <w:p>
            <w:pPr>
              <w:pStyle w:val="null3"/>
            </w:pPr>
            <w:r>
              <w:rPr>
                <w:rFonts w:ascii="仿宋_GB2312" w:hAnsi="仿宋_GB2312" w:cs="仿宋_GB2312" w:eastAsia="仿宋_GB2312"/>
              </w:rPr>
              <w:t>3）可标记慢病处方。</w:t>
            </w:r>
          </w:p>
          <w:p>
            <w:pPr>
              <w:pStyle w:val="null3"/>
            </w:pPr>
            <w:r>
              <w:rPr>
                <w:rFonts w:ascii="仿宋_GB2312" w:hAnsi="仿宋_GB2312" w:cs="仿宋_GB2312" w:eastAsia="仿宋_GB2312"/>
              </w:rPr>
              <w:t>4）药师审查时可查看当前患者的其他处方。</w:t>
            </w:r>
          </w:p>
          <w:p>
            <w:pPr>
              <w:pStyle w:val="null3"/>
            </w:pPr>
            <w:r>
              <w:rPr>
                <w:rFonts w:ascii="仿宋_GB2312" w:hAnsi="仿宋_GB2312" w:cs="仿宋_GB2312" w:eastAsia="仿宋_GB2312"/>
              </w:rPr>
              <w:t>系统审查：</w:t>
            </w:r>
          </w:p>
          <w:p>
            <w:pPr>
              <w:pStyle w:val="null3"/>
            </w:pPr>
            <w:r>
              <w:rPr>
                <w:rFonts w:ascii="仿宋_GB2312" w:hAnsi="仿宋_GB2312" w:cs="仿宋_GB2312" w:eastAsia="仿宋_GB2312"/>
              </w:rPr>
              <w:t>1)系统审查项目、规则等应与医生端审方系统保持一致，并能实现无缝对接，即药师端可查看医生端审方系统的详细审查结果信息，同时药师审核问题标准可按医生端审方系统的审查项目和问题级别进行设置。</w:t>
            </w:r>
          </w:p>
          <w:p>
            <w:pPr>
              <w:pStyle w:val="null3"/>
            </w:pPr>
            <w:r>
              <w:rPr>
                <w:rFonts w:ascii="仿宋_GB2312" w:hAnsi="仿宋_GB2312" w:cs="仿宋_GB2312" w:eastAsia="仿宋_GB2312"/>
              </w:rPr>
              <w:t>2)审方干预自定义功能。</w:t>
            </w:r>
          </w:p>
          <w:p>
            <w:pPr>
              <w:pStyle w:val="null3"/>
            </w:pPr>
            <w:r>
              <w:rPr>
                <w:rFonts w:ascii="仿宋_GB2312" w:hAnsi="仿宋_GB2312" w:cs="仿宋_GB2312" w:eastAsia="仿宋_GB2312"/>
              </w:rPr>
              <w:t>3)审方时限设置：支持全院和分科室审方时限设置。超过规定时限，待审查任务自动通过。</w:t>
            </w:r>
          </w:p>
          <w:p>
            <w:pPr>
              <w:pStyle w:val="null3"/>
            </w:pPr>
            <w:r>
              <w:rPr>
                <w:rFonts w:ascii="仿宋_GB2312" w:hAnsi="仿宋_GB2312" w:cs="仿宋_GB2312" w:eastAsia="仿宋_GB2312"/>
              </w:rPr>
              <w:t>4)用户可以设置需要药师人工审查的问题处方（医嘱）审查项目和问题严重程度，可以设置医生双签即可通过的问题处方（医嘱）审查项目和问题严重程度。</w:t>
            </w:r>
          </w:p>
          <w:p>
            <w:pPr>
              <w:pStyle w:val="null3"/>
            </w:pPr>
            <w:r>
              <w:rPr>
                <w:rFonts w:ascii="仿宋_GB2312" w:hAnsi="仿宋_GB2312" w:cs="仿宋_GB2312" w:eastAsia="仿宋_GB2312"/>
              </w:rPr>
              <w:t>5)▲用户可将任意科室、医生、患者、疾病、药品设置为重点关注，可按科室、医生、患者、疾病、药品、问题类型、警示级别多条件组合设置重点关注，包含重点关注信息的处方由药师进行全面审查。</w:t>
            </w:r>
          </w:p>
          <w:p>
            <w:pPr>
              <w:pStyle w:val="null3"/>
            </w:pPr>
            <w:r>
              <w:rPr>
                <w:rFonts w:ascii="仿宋_GB2312" w:hAnsi="仿宋_GB2312" w:cs="仿宋_GB2312" w:eastAsia="仿宋_GB2312"/>
              </w:rPr>
              <w:t>6)药师审方来源设置：可对每个药师负责的审查科室、药房进行设置。</w:t>
            </w:r>
          </w:p>
          <w:p>
            <w:pPr>
              <w:pStyle w:val="null3"/>
            </w:pPr>
            <w:r>
              <w:rPr>
                <w:rFonts w:ascii="仿宋_GB2312" w:hAnsi="仿宋_GB2312" w:cs="仿宋_GB2312" w:eastAsia="仿宋_GB2312"/>
              </w:rPr>
              <w:t>7)用户可设置双盲审方、单盲审方，在需要时隐藏医生、药师信息。</w:t>
            </w:r>
          </w:p>
          <w:p>
            <w:pPr>
              <w:pStyle w:val="null3"/>
            </w:pPr>
            <w:r>
              <w:rPr>
                <w:rFonts w:ascii="仿宋_GB2312" w:hAnsi="仿宋_GB2312" w:cs="仿宋_GB2312" w:eastAsia="仿宋_GB2312"/>
              </w:rPr>
              <w:t>8)用户可根据使用习惯进行个性化设置，如任务提示音（支持上传），处置按钮顺序及样式，审方界面字体及颜色，发送给医生的常用语等。</w:t>
            </w:r>
          </w:p>
          <w:p>
            <w:pPr>
              <w:pStyle w:val="null3"/>
            </w:pPr>
            <w:r>
              <w:rPr>
                <w:rFonts w:ascii="仿宋_GB2312" w:hAnsi="仿宋_GB2312" w:cs="仿宋_GB2312" w:eastAsia="仿宋_GB2312"/>
              </w:rPr>
              <w:t>9)用户可对重复问题进行过滤设置。</w:t>
            </w:r>
          </w:p>
          <w:p>
            <w:pPr>
              <w:pStyle w:val="null3"/>
            </w:pPr>
            <w:r>
              <w:rPr>
                <w:rFonts w:ascii="仿宋_GB2312" w:hAnsi="仿宋_GB2312" w:cs="仿宋_GB2312" w:eastAsia="仿宋_GB2312"/>
              </w:rPr>
              <w:t>10)▲用户可设置自动干预模式，并设置医生填写用药理由的模式。药师不在岗时，系统自动干预，医生填写用药理由后方可执行，支持全院和分科室设置。</w:t>
            </w:r>
          </w:p>
          <w:p>
            <w:pPr>
              <w:pStyle w:val="null3"/>
            </w:pPr>
            <w:r>
              <w:rPr>
                <w:rFonts w:ascii="仿宋_GB2312" w:hAnsi="仿宋_GB2312" w:cs="仿宋_GB2312" w:eastAsia="仿宋_GB2312"/>
              </w:rPr>
              <w:t>统计分析</w:t>
            </w:r>
          </w:p>
          <w:p>
            <w:pPr>
              <w:pStyle w:val="null3"/>
            </w:pPr>
            <w:r>
              <w:rPr>
                <w:rFonts w:ascii="仿宋_GB2312" w:hAnsi="仿宋_GB2312" w:cs="仿宋_GB2312" w:eastAsia="仿宋_GB2312"/>
              </w:rPr>
              <w:t>1)可以分别统计门诊、住院任务的审核率、干预率、合格率等重要指标，并可提供统计图。可按照科室、医生、药品、药师、药物类进行干预情况分类统计。</w:t>
            </w:r>
          </w:p>
          <w:p>
            <w:pPr>
              <w:pStyle w:val="null3"/>
            </w:pPr>
            <w:r>
              <w:rPr>
                <w:rFonts w:ascii="仿宋_GB2312" w:hAnsi="仿宋_GB2312" w:cs="仿宋_GB2312" w:eastAsia="仿宋_GB2312"/>
              </w:rPr>
              <w:t>2)可以统计每个药师的监测时长、审核工作量、干预工作量和干预有效率，并可提供统计图。</w:t>
            </w:r>
          </w:p>
          <w:p>
            <w:pPr>
              <w:pStyle w:val="null3"/>
            </w:pPr>
            <w:r>
              <w:rPr>
                <w:rFonts w:ascii="仿宋_GB2312" w:hAnsi="仿宋_GB2312" w:cs="仿宋_GB2312" w:eastAsia="仿宋_GB2312"/>
              </w:rPr>
              <w:t>3)可以提供不合理问题统计分析，支持按时间、问题类型、警示等级等条件进行统计，并可生成统计图。可以查看在人工审方时药师主动添加的问题的发生次数、发生率。</w:t>
            </w:r>
          </w:p>
          <w:p>
            <w:pPr>
              <w:pStyle w:val="null3"/>
            </w:pPr>
            <w:r>
              <w:rPr>
                <w:rFonts w:ascii="仿宋_GB2312" w:hAnsi="仿宋_GB2312" w:cs="仿宋_GB2312" w:eastAsia="仿宋_GB2312"/>
              </w:rPr>
              <w:t>4)可以分科室、医生、药品、问题类型提供干预效果追踪，并以统计图的方式体现干预效果。</w:t>
            </w:r>
          </w:p>
          <w:p>
            <w:pPr>
              <w:pStyle w:val="null3"/>
            </w:pPr>
            <w:r>
              <w:rPr>
                <w:rFonts w:ascii="仿宋_GB2312" w:hAnsi="仿宋_GB2312" w:cs="仿宋_GB2312" w:eastAsia="仿宋_GB2312"/>
              </w:rPr>
              <w:t>5)可按不同的处方（医嘱）通过状态进行统计，并可生成统计图。</w:t>
            </w:r>
          </w:p>
          <w:p>
            <w:pPr>
              <w:pStyle w:val="null3"/>
            </w:pPr>
            <w:r>
              <w:rPr>
                <w:rFonts w:ascii="仿宋_GB2312" w:hAnsi="仿宋_GB2312" w:cs="仿宋_GB2312" w:eastAsia="仿宋_GB2312"/>
              </w:rPr>
              <w:t>6)医生端可通过用药自查，查看自身任务的审核干预相关统计数据。</w:t>
            </w:r>
          </w:p>
          <w:p>
            <w:pPr>
              <w:pStyle w:val="null3"/>
            </w:pPr>
            <w:r>
              <w:rPr>
                <w:rFonts w:ascii="仿宋_GB2312" w:hAnsi="仿宋_GB2312" w:cs="仿宋_GB2312" w:eastAsia="仿宋_GB2312"/>
              </w:rPr>
              <w:t>7)处方（医嘱）查询。</w:t>
            </w:r>
          </w:p>
          <w:p>
            <w:pPr>
              <w:pStyle w:val="null3"/>
            </w:pPr>
            <w:r>
              <w:rPr>
                <w:rFonts w:ascii="仿宋_GB2312" w:hAnsi="仿宋_GB2312" w:cs="仿宋_GB2312" w:eastAsia="仿宋_GB2312"/>
              </w:rPr>
              <w:t>8)系统应提供查看历史处方（医嘱）以及药师干预记录功能，可以查看任务提交时间，可以按时间线查看任务流程，各个时间点的任务详情都可点击查看。</w:t>
            </w:r>
          </w:p>
          <w:p>
            <w:pPr>
              <w:pStyle w:val="null3"/>
            </w:pPr>
            <w:r>
              <w:rPr>
                <w:rFonts w:ascii="仿宋_GB2312" w:hAnsi="仿宋_GB2312" w:cs="仿宋_GB2312" w:eastAsia="仿宋_GB2312"/>
              </w:rPr>
              <w:t>9)可筛选系统审核后医生主动修改、药师已收藏、拒绝发药、重点关注、有药师备注、有用药评估单的案例，可按处方类型、药房、病区、诊断等条件进行处方或医嘱查询。</w:t>
            </w:r>
          </w:p>
          <w:p>
            <w:pPr>
              <w:pStyle w:val="null3"/>
            </w:pPr>
            <w:r>
              <w:rPr>
                <w:rFonts w:ascii="仿宋_GB2312" w:hAnsi="仿宋_GB2312" w:cs="仿宋_GB2312" w:eastAsia="仿宋_GB2312"/>
              </w:rPr>
              <w:t>10)可以设置处方查询权限。</w:t>
            </w:r>
          </w:p>
          <w:p>
            <w:pPr>
              <w:pStyle w:val="null3"/>
            </w:pPr>
            <w:r>
              <w:rPr>
                <w:rFonts w:ascii="仿宋_GB2312" w:hAnsi="仿宋_GB2312" w:cs="仿宋_GB2312" w:eastAsia="仿宋_GB2312"/>
              </w:rPr>
              <w:t>质量评价功能</w:t>
            </w:r>
          </w:p>
          <w:p>
            <w:pPr>
              <w:pStyle w:val="null3"/>
            </w:pPr>
            <w:r>
              <w:rPr>
                <w:rFonts w:ascii="仿宋_GB2312" w:hAnsi="仿宋_GB2312" w:cs="仿宋_GB2312" w:eastAsia="仿宋_GB2312"/>
              </w:rPr>
              <w:t>1)系统提供多种筛选方案设置功能，进行待评价任务筛选。评价人可对每个任务输入审核意见并打分。系统可自动生成任务评分表，并可导出到Excel。</w:t>
            </w:r>
          </w:p>
          <w:p>
            <w:pPr>
              <w:pStyle w:val="null3"/>
            </w:pPr>
            <w:r>
              <w:rPr>
                <w:rFonts w:ascii="仿宋_GB2312" w:hAnsi="仿宋_GB2312" w:cs="仿宋_GB2312" w:eastAsia="仿宋_GB2312"/>
              </w:rPr>
              <w:t>2)评价人可评估历史审核任务并设置问题推荐处置方案，供审方药师审核同一问题时参考。</w:t>
            </w:r>
          </w:p>
          <w:p>
            <w:pPr>
              <w:pStyle w:val="null3"/>
            </w:pPr>
            <w:r>
              <w:rPr>
                <w:rFonts w:ascii="仿宋_GB2312" w:hAnsi="仿宋_GB2312" w:cs="仿宋_GB2312" w:eastAsia="仿宋_GB2312"/>
              </w:rPr>
              <w:t>区域审方</w:t>
            </w:r>
          </w:p>
          <w:p>
            <w:pPr>
              <w:pStyle w:val="null3"/>
            </w:pPr>
            <w:r>
              <w:rPr>
                <w:rFonts w:ascii="仿宋_GB2312" w:hAnsi="仿宋_GB2312" w:cs="仿宋_GB2312" w:eastAsia="仿宋_GB2312"/>
              </w:rPr>
              <w:t>1)支持审方中心的药师收到多家机构的处方/医嘱，进行集中审方。</w:t>
            </w:r>
          </w:p>
          <w:p>
            <w:pPr>
              <w:pStyle w:val="null3"/>
            </w:pPr>
            <w:r>
              <w:rPr>
                <w:rFonts w:ascii="仿宋_GB2312" w:hAnsi="仿宋_GB2312" w:cs="仿宋_GB2312" w:eastAsia="仿宋_GB2312"/>
              </w:rPr>
              <w:t>2)药师审方时，可查看患者在区域内其他机构就诊的处方，并且可查看到审方处置意见推荐。</w:t>
            </w:r>
          </w:p>
          <w:p>
            <w:pPr>
              <w:pStyle w:val="null3"/>
            </w:pPr>
            <w:r>
              <w:rPr>
                <w:rFonts w:ascii="仿宋_GB2312" w:hAnsi="仿宋_GB2312" w:cs="仿宋_GB2312" w:eastAsia="仿宋_GB2312"/>
              </w:rPr>
              <w:t>3)可对区域内药师审方结果进行质量评价和一致性评价。</w:t>
            </w:r>
          </w:p>
          <w:p>
            <w:pPr>
              <w:pStyle w:val="null3"/>
            </w:pPr>
            <w:r>
              <w:rPr>
                <w:rFonts w:ascii="仿宋_GB2312" w:hAnsi="仿宋_GB2312" w:cs="仿宋_GB2312" w:eastAsia="仿宋_GB2312"/>
              </w:rPr>
              <w:t>4)支持区域审方情况数据合并统计，也支持分机构单独统计。</w:t>
            </w:r>
          </w:p>
          <w:p>
            <w:pPr>
              <w:pStyle w:val="null3"/>
            </w:pPr>
            <w:r>
              <w:rPr>
                <w:rFonts w:ascii="仿宋_GB2312" w:hAnsi="仿宋_GB2312" w:cs="仿宋_GB2312" w:eastAsia="仿宋_GB2312"/>
              </w:rPr>
              <w:t>审方数据中心大屏功能要求</w:t>
            </w:r>
          </w:p>
          <w:p>
            <w:pPr>
              <w:pStyle w:val="null3"/>
            </w:pPr>
            <w:r>
              <w:rPr>
                <w:rFonts w:ascii="仿宋_GB2312" w:hAnsi="仿宋_GB2312" w:cs="仿宋_GB2312" w:eastAsia="仿宋_GB2312"/>
              </w:rPr>
              <w:t>1)合理用药数据中心。</w:t>
            </w:r>
          </w:p>
          <w:p>
            <w:pPr>
              <w:pStyle w:val="null3"/>
            </w:pPr>
            <w:r>
              <w:rPr>
                <w:rFonts w:ascii="仿宋_GB2312" w:hAnsi="仿宋_GB2312" w:cs="仿宋_GB2312" w:eastAsia="仿宋_GB2312"/>
              </w:rPr>
              <w:t>2)区域内不合理问题数排名前十医院：根据区域内合理用药监测系统在医生工作站弹窗提示数量统计，按照数量由高到底对区域内不合理问题数排名前十的医疗机构进行展示。</w:t>
            </w:r>
          </w:p>
          <w:p>
            <w:pPr>
              <w:pStyle w:val="null3"/>
            </w:pPr>
            <w:r>
              <w:rPr>
                <w:rFonts w:ascii="仿宋_GB2312" w:hAnsi="仿宋_GB2312" w:cs="仿宋_GB2312" w:eastAsia="仿宋_GB2312"/>
              </w:rPr>
              <w:t>3)区域内问题级别排名前五医院：根据区域内合理用药监测系统在医生工作站弹窗提示数量统计，按照数量由高到底对区域内问题级别排名前五的医院进行展示。</w:t>
            </w:r>
          </w:p>
          <w:p>
            <w:pPr>
              <w:pStyle w:val="null3"/>
            </w:pPr>
            <w:r>
              <w:rPr>
                <w:rFonts w:ascii="仿宋_GB2312" w:hAnsi="仿宋_GB2312" w:cs="仿宋_GB2312" w:eastAsia="仿宋_GB2312"/>
              </w:rPr>
              <w:t>4)区域内问题类型统计：根据区域内合理用药监测系统在医生工作站弹窗提示数量统计，按照问题数量由高到底展示问题类型分布。</w:t>
            </w:r>
          </w:p>
          <w:p>
            <w:pPr>
              <w:pStyle w:val="null3"/>
            </w:pPr>
            <w:r>
              <w:rPr>
                <w:rFonts w:ascii="仿宋_GB2312" w:hAnsi="仿宋_GB2312" w:cs="仿宋_GB2312" w:eastAsia="仿宋_GB2312"/>
              </w:rPr>
              <w:t>5)区域前置审方数据中心。</w:t>
            </w:r>
          </w:p>
          <w:p>
            <w:pPr>
              <w:pStyle w:val="null3"/>
            </w:pPr>
            <w:r>
              <w:rPr>
                <w:rFonts w:ascii="仿宋_GB2312" w:hAnsi="仿宋_GB2312" w:cs="仿宋_GB2312" w:eastAsia="仿宋_GB2312"/>
              </w:rPr>
              <w:t>6)门诊处方审方统计：根据审方药师在线情况，实时显示当日门诊总任务数、人工已审核门诊任务数。</w:t>
            </w:r>
          </w:p>
          <w:p>
            <w:pPr>
              <w:pStyle w:val="null3"/>
            </w:pPr>
            <w:r>
              <w:rPr>
                <w:rFonts w:ascii="仿宋_GB2312" w:hAnsi="仿宋_GB2312" w:cs="仿宋_GB2312" w:eastAsia="仿宋_GB2312"/>
              </w:rPr>
              <w:t>7)住院医嘱审方统计：根据审方药师在线情况，实时显示当日住院总任务数、人工已审核任务数。</w:t>
            </w:r>
          </w:p>
          <w:p>
            <w:pPr>
              <w:pStyle w:val="null3"/>
            </w:pPr>
            <w:r>
              <w:rPr>
                <w:rFonts w:ascii="仿宋_GB2312" w:hAnsi="仿宋_GB2312" w:cs="仿宋_GB2312" w:eastAsia="仿宋_GB2312"/>
              </w:rPr>
              <w:t>8)▲与院内系统数据完成对接。</w:t>
            </w:r>
          </w:p>
          <w:p>
            <w:pPr>
              <w:pStyle w:val="null3"/>
              <w:jc w:val="center"/>
            </w:pPr>
            <w:r>
              <w:rPr>
                <w:rFonts w:ascii="仿宋_GB2312" w:hAnsi="仿宋_GB2312" w:cs="仿宋_GB2312" w:eastAsia="仿宋_GB2312"/>
              </w:rPr>
              <w:t>审方中心硬件</w:t>
            </w:r>
          </w:p>
          <w:tbl>
            <w:tblPr>
              <w:tblInd w:type="dxa" w:w="120"/>
              <w:tblBorders>
                <w:top w:val="none" w:color="000000" w:sz="4"/>
                <w:left w:val="none" w:color="000000" w:sz="4"/>
                <w:bottom w:val="none" w:color="000000" w:sz="4"/>
                <w:right w:val="none" w:color="000000" w:sz="4"/>
                <w:insideH w:val="none"/>
                <w:insideV w:val="none"/>
              </w:tblBorders>
            </w:tblPr>
            <w:tblGrid>
              <w:gridCol w:w="213"/>
              <w:gridCol w:w="1329"/>
              <w:gridCol w:w="272"/>
              <w:gridCol w:w="213"/>
              <w:gridCol w:w="512"/>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产品名称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≥80寸电视机：操作系统：Android 12/64位电视系统</w:t>
                  </w:r>
                </w:p>
                <w:p>
                  <w:pPr>
                    <w:pStyle w:val="null3"/>
                    <w:jc w:val="both"/>
                  </w:pPr>
                  <w:r>
                    <w:rPr>
                      <w:rFonts w:ascii="仿宋_GB2312" w:hAnsi="仿宋_GB2312" w:cs="仿宋_GB2312" w:eastAsia="仿宋_GB2312"/>
                      <w:sz w:val="19"/>
                    </w:rPr>
                    <w:t>CPU：A55*8 @4*1.5G/4*1.2G</w:t>
                  </w:r>
                </w:p>
                <w:p>
                  <w:pPr>
                    <w:pStyle w:val="null3"/>
                    <w:jc w:val="both"/>
                  </w:pPr>
                  <w:r>
                    <w:rPr>
                      <w:rFonts w:ascii="仿宋_GB2312" w:hAnsi="仿宋_GB2312" w:cs="仿宋_GB2312" w:eastAsia="仿宋_GB2312"/>
                      <w:sz w:val="19"/>
                    </w:rPr>
                    <w:t>GPU：G52*2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3"/>
                  <w:vMerge/>
                  <w:tcBorders>
                    <w:top w:val="none" w:color="000000" w:sz="4"/>
                    <w:left w:val="single" w:color="000000" w:sz="4"/>
                    <w:bottom w:val="single" w:color="000000" w:sz="4"/>
                    <w:right w:val="single" w:color="000000" w:sz="4"/>
                  </w:tcBorders>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电脑：主频≥ 2.5G 核心≥10 内存≥16GB DDR5 /512GB SSD M.2 主机保三年有限上门/显示器23.8</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审方中心两台；库房管理</w:t>
                  </w:r>
                </w:p>
              </w:tc>
            </w:tr>
            <w:tr>
              <w:tc>
                <w:tcPr>
                  <w:tcW w:type="dxa" w:w="213"/>
                  <w:vMerge/>
                  <w:tcBorders>
                    <w:top w:val="none" w:color="000000" w:sz="4"/>
                    <w:left w:val="single" w:color="000000" w:sz="4"/>
                    <w:bottom w:val="single" w:color="000000" w:sz="4"/>
                    <w:right w:val="single" w:color="000000" w:sz="4"/>
                  </w:tcBorders>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办公桌椅</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3"/>
                  <w:vMerge/>
                  <w:tcBorders>
                    <w:top w:val="none" w:color="000000" w:sz="4"/>
                    <w:left w:val="single" w:color="000000" w:sz="4"/>
                    <w:bottom w:val="single" w:color="000000" w:sz="4"/>
                    <w:right w:val="single" w:color="000000" w:sz="4"/>
                  </w:tcBorders>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打印机：打印速度18/分钟</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依据竞争性磋商文件、磋商响应文件、成交通知书、合同文件及国家相关规范及标准进行验收。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异常低价审查 评审中出现下列情形之一的，评标委员会应当启动异常低价响应审查程序： ①供应商最终响应报价低于全部通过符合性审查供应商最终响应报价平均值50%的，即最终响应报价&lt;全部通过符合性审查供应商最终响应报价平均值×50%； ②供应商最终响应报价低于通过符合性审查的次低报价供应商最终响应报价50%的，即最终响应报价&lt;通过符合性审查的次低报价供应商最终响应报价×50%； ③最终响应报价低于采购项目最高限价45%的，即最终响应报价&lt;采购项目最高限价×45%； ④评标委员会基于专业判断，认为供应商报价过低，有可能影响产品质量或者不能诚信履约的其他情形。 相关法律法规对供应商报价有规定的，从其规定。 评标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供应商需在项目电子化交易系统中按要求填写《响应函》完成承诺并在资格证明材料中进行响应，同时进行电子签章。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资信证明须为递交响应文件截止时间前三个月内由供应商基本账户开户银行出具（须提供基本开户信息）。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供应商需在项目电子化交易系统中按要求填写《响应函》完成承诺并在资格证明材料中进行响应，同时进行电子签章。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具备建设行政主管部门核发的建筑工程施工总承包三级及以上资质或建筑装修装饰工程专业承包二级及以上资质；且具备有效的安全生产许可证；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本项目接受联合体响应</w:t>
            </w:r>
          </w:p>
        </w:tc>
        <w:tc>
          <w:tcPr>
            <w:tcW w:type="dxa" w:w="3322"/>
          </w:tcPr>
          <w:p>
            <w:pPr>
              <w:pStyle w:val="null3"/>
            </w:pPr>
            <w:r>
              <w:rPr>
                <w:rFonts w:ascii="仿宋_GB2312" w:hAnsi="仿宋_GB2312" w:cs="仿宋_GB2312" w:eastAsia="仿宋_GB2312"/>
              </w:rPr>
              <w:t>接受联合体，属于联合体的提供联合体协议书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磋商保证金.docx 服务内容及服务邀请应答表 中小企业声明函 商务应答表 供应商认为需要说明的其他内容.docx 汉中市政府采购供应商资格承诺函.docx 响应文件封面 分项报价表.docx 供应商应提交的相关资格证明材料.docx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磋商保证金.docx 服务内容及服务邀请应答表 中小企业声明函 商务应答表 供应商认为需要说明的其他内容.docx 汉中市政府采购供应商资格承诺函.docx 响应文件封面 分项报价表.docx 供应商应提交的相关资格证明材料.docx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服务内容及服务邀请应答表 商务应答表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产品技术参数每有一项负偏离的扣1分，满分7分，扣完为止。注：须提供证明材料，不限于：产品实物照片、软件界面照片、制造商出具的产品规格表、产品宣传彩页、技术白皮书、制造商官方网站发布的产品信息、说明书、软件测试报告、产品检测合格证、承诺书等相关证明材料。参数未提供有效证明文件的其参数评审按负偏离计。参数的技术支持资料需在产品技术参数表中标注页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药品追溯政策合规性</w:t>
            </w:r>
          </w:p>
        </w:tc>
        <w:tc>
          <w:tcPr>
            <w:tcW w:type="dxa" w:w="2492"/>
          </w:tcPr>
          <w:p>
            <w:pPr>
              <w:pStyle w:val="null3"/>
            </w:pPr>
            <w:r>
              <w:rPr>
                <w:rFonts w:ascii="仿宋_GB2312" w:hAnsi="仿宋_GB2312" w:cs="仿宋_GB2312" w:eastAsia="仿宋_GB2312"/>
              </w:rPr>
              <w:t>1.完全响应国家医保局等四部门《关于加强药品追溯码在医疗保障和工伤保险领域采集应用的通知》、陕西省《医保药品耗材追溯信息采集工作实施方案》及陕西省政府采购相关政策所有条款，明确方案与政策条款的对应关系，得3分；2.无核心条款，得2分；3.响应不足或未响应，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云端架构与智能性</w:t>
            </w:r>
          </w:p>
        </w:tc>
        <w:tc>
          <w:tcPr>
            <w:tcW w:type="dxa" w:w="2492"/>
          </w:tcPr>
          <w:p>
            <w:pPr>
              <w:pStyle w:val="null3"/>
            </w:pPr>
            <w:r>
              <w:rPr>
                <w:rFonts w:ascii="仿宋_GB2312" w:hAnsi="仿宋_GB2312" w:cs="仿宋_GB2312" w:eastAsia="仿宋_GB2312"/>
              </w:rPr>
              <w:t>1.云端架构设计合理，支持医共体多机构统一调度、统一采购、共享库存、智能补货，具备温湿度智能监控、出入库精细化管理功能，符合陕西省医共体信息化建设要求，得3分；2.云端架构合理，覆盖核心智能功能（统一调度、智能补货），得2分；3.有云端架构设计，但智能功能不完善，得1分；4.无云端架构设计，仅支持基础本地管理，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硬件适配性与参数匹配</w:t>
            </w:r>
          </w:p>
        </w:tc>
        <w:tc>
          <w:tcPr>
            <w:tcW w:type="dxa" w:w="2492"/>
          </w:tcPr>
          <w:p>
            <w:pPr>
              <w:pStyle w:val="null3"/>
            </w:pPr>
            <w:r>
              <w:rPr>
                <w:rFonts w:ascii="仿宋_GB2312" w:hAnsi="仿宋_GB2312" w:cs="仿宋_GB2312" w:eastAsia="仿宋_GB2312"/>
              </w:rPr>
              <w:t>硬件参数需完全匹配要求（批量扫码设备、标签机），符合陕西省政府采购货物采购参数规范：1.批量扫码设备参数全部达标，得2分；每有1项参数不达标，扣0.5分，扣完为止；2.标签机满足药品用法用量标签打印需求且性能稳定，得1分；不满足得0分；3. 未明确硬件选型，得0分。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系统功能完整性</w:t>
            </w:r>
          </w:p>
        </w:tc>
        <w:tc>
          <w:tcPr>
            <w:tcW w:type="dxa" w:w="2492"/>
          </w:tcPr>
          <w:p>
            <w:pPr>
              <w:pStyle w:val="null3"/>
            </w:pPr>
            <w:r>
              <w:rPr>
                <w:rFonts w:ascii="仿宋_GB2312" w:hAnsi="仿宋_GB2312" w:cs="仿宋_GB2312" w:eastAsia="仿宋_GB2312"/>
              </w:rPr>
              <w:t>评审内容：根据供应商针对本项目核心功能的覆盖情况进行评审，要求功能描述详细完整、逻辑严谨清晰，核心系统包括但不限于：①中心（云）药房管理系统； ②追溯码管理系统； ③秦智医接口与医共体审方中心。评审标准：上述每个系统内容无缺陷得6分，满分为18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改造方案可行性</w:t>
            </w:r>
          </w:p>
        </w:tc>
        <w:tc>
          <w:tcPr>
            <w:tcW w:type="dxa" w:w="2492"/>
          </w:tcPr>
          <w:p>
            <w:pPr>
              <w:pStyle w:val="null3"/>
            </w:pPr>
            <w:r>
              <w:rPr>
                <w:rFonts w:ascii="仿宋_GB2312" w:hAnsi="仿宋_GB2312" w:cs="仿宋_GB2312" w:eastAsia="仿宋_GB2312"/>
              </w:rPr>
              <w:t>评审内容：根据供应商针对本项目提供的改造方案，包括但不限于：①施工工艺明确；②质量控制措施完善；③安全保障到位，完全符合建筑、消防规范。评审标准：上述每项方案内容无缺陷得2分，满分为6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实施团队配置</w:t>
            </w:r>
          </w:p>
        </w:tc>
        <w:tc>
          <w:tcPr>
            <w:tcW w:type="dxa" w:w="2492"/>
          </w:tcPr>
          <w:p>
            <w:pPr>
              <w:pStyle w:val="null3"/>
            </w:pPr>
            <w:r>
              <w:rPr>
                <w:rFonts w:ascii="仿宋_GB2312" w:hAnsi="仿宋_GB2312" w:cs="仿宋_GB2312" w:eastAsia="仿宋_GB2312"/>
              </w:rPr>
              <w:t>1、供应商拟投入本项目的技术人员：（1）具备数据库系统工程师中级及以上证书的，每有一人得1分，本项最多得3分；（2）具备系统集成项目管理工程师中级及以上证书的，每有一人得1分，本项最多得3分。（3）具备软件设计师中级及以上证书的，每有一人得1分，本项最多得3分。（4）具备软件评测师中级及以上证书的，每有一人得1分，本项最多得3分。提供相关人员证书及上述人员为供应商本单位在职人员的证明材料（如社保证明或劳动（务）合同或银行工资发放流水等其他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风险管控方案</w:t>
            </w:r>
          </w:p>
        </w:tc>
        <w:tc>
          <w:tcPr>
            <w:tcW w:type="dxa" w:w="2492"/>
          </w:tcPr>
          <w:p>
            <w:pPr>
              <w:pStyle w:val="null3"/>
            </w:pPr>
            <w:r>
              <w:rPr>
                <w:rFonts w:ascii="仿宋_GB2312" w:hAnsi="仿宋_GB2312" w:cs="仿宋_GB2312" w:eastAsia="仿宋_GB2312"/>
              </w:rPr>
              <w:t>根据供应商针对本项目提供的覆盖核心风险方案，包括但不限于：①技术对接风险；②工程施工风险；③数据安全风险；④政策调整风险。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根据供应商针对本项目提供的人员的培训计划及培训方案，包含但不限于①培训目的；②培训对象；③培训方式；④培训队伍；⑤培训内容等。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评审内容：根据供应商针对本项目提供的售后服务方案，包含但不限于①售后服务人员配置；②明确质保期内、外的售后服务响应机制；③定期巡检安排；④应急预案等内容。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供应商2023年1月至今具有类似项目业绩，每提供1个得1分，满分2分。 评审依据：以合同签订时间为准，提供合同复印件加盖公章。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20（磋商小组认为供应商的最终报价明显低于其他通过符合性审查供应商的报价，有可能影响服务质量或者不能诚信履约的，应当在磋商现场提供书面说明及相关证明材料。供应商不能证明其报价合理性的，为无效磋商） 注：本项目已专门面向小微企业，对小微企业、监狱企业、残疾人福利性单位不再给予价格扣除，供应商需如实填写《中小企业声明函》。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