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版本号：HWHZ-202600920260318001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佛坪县租赁性保障房建设项目电梯采购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HWHZ-2026009</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佛坪县租赁性保障房建设项目电梯采购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佛坪县租赁性保障房建设项目电梯采购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采购两部9层住宅电梯，两部18层住宅电梯。包括货物购买及安装到位，通过验收并正常投入使用。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4、资格证明要求：①投标人若为电梯生产制造商，须提供《中华人民共和国特种设备 生产许可证》电梯制造(含安装、修理、改造)(或有效期内的旧证); ②投标人若为电梯经销商(代理商),须提供《中华人民共和国特 种设备生产许可证》电梯安装(含修理)及电梯生产制造商的《中华人民 共和国特种设备生产许可证》电梯制造(含安装、修理、改造)(或有效 期内的旧证); ③拟派电梯安装项目负责人须具备特种设备作业人员证(电梯专业 )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0916-8916398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说明：项目签订合同后，投标供应商向采购人缴纳履约保证金。项目所有设备安装调试完毕，且由特种设备质检部门验收合格后（以检验报告为准），采购人向供货商退还履约保证金。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采购两部9层住宅电梯，两部18层住宅电梯。包括货物购买及安装到位，通过验收并正常投入使用。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佛坪县租赁性保障房建设项目电梯采购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标的名称：佛坪县租赁性保障房建设项目电梯采购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本次招标共采购</w:t>
            </w:r>
            <w:r>
              <w:rPr>
                <w:rFonts w:ascii="仿宋_GB2312" w:hAnsi="仿宋_GB2312" w:cs="仿宋_GB2312" w:eastAsia="仿宋_GB2312"/>
                <w:sz w:val="22"/>
              </w:rPr>
              <w:t>4台小机房乘客电梯，包含无障碍型、无障碍+担架型、无障碍+消防型，具体梯号及基础参数详见下表，所有参数最终以设计建筑图为准。（交货期：合同签订后60日内，完成供货、安装调试及验收工作， 达到交付使用标准。）</w:t>
            </w:r>
          </w:p>
          <w:tbl>
            <w:tblPr>
              <w:tblBorders>
                <w:top w:val="none" w:color="000000" w:sz="4"/>
                <w:left w:val="none" w:color="000000" w:sz="4"/>
                <w:bottom w:val="none" w:color="000000" w:sz="4"/>
                <w:right w:val="none" w:color="000000" w:sz="4"/>
                <w:insideH w:val="none"/>
                <w:insideV w:val="none"/>
              </w:tblBorders>
            </w:tblPr>
            <w:tblGrid>
              <w:gridCol w:w="196"/>
              <w:gridCol w:w="506"/>
              <w:gridCol w:w="567"/>
              <w:gridCol w:w="610"/>
              <w:gridCol w:w="658"/>
            </w:tblGrid>
            <w:tr>
              <w:tc>
                <w:tcPr>
                  <w:tcW w:type="dxa" w:w="2537"/>
                  <w:gridSpan w:val="5"/>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w:t>
                  </w:r>
                  <w:r>
                    <w:rPr>
                      <w:rFonts w:ascii="仿宋_GB2312" w:hAnsi="仿宋_GB2312" w:cs="仿宋_GB2312" w:eastAsia="仿宋_GB2312"/>
                      <w:sz w:val="28"/>
                      <w:b/>
                    </w:rPr>
                    <w:t>术</w:t>
                  </w:r>
                  <w:r>
                    <w:rPr>
                      <w:rFonts w:ascii="仿宋_GB2312" w:hAnsi="仿宋_GB2312" w:cs="仿宋_GB2312" w:eastAsia="仿宋_GB2312"/>
                      <w:sz w:val="28"/>
                      <w:b/>
                    </w:rPr>
                    <w:t>参</w:t>
                  </w:r>
                  <w:r>
                    <w:rPr>
                      <w:rFonts w:ascii="仿宋_GB2312" w:hAnsi="仿宋_GB2312" w:cs="仿宋_GB2312" w:eastAsia="仿宋_GB2312"/>
                      <w:sz w:val="28"/>
                      <w:b/>
                    </w:rPr>
                    <w:t>数</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506"/>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梯</w:t>
                  </w:r>
                  <w:r>
                    <w:rPr>
                      <w:rFonts w:ascii="仿宋_GB2312" w:hAnsi="仿宋_GB2312" w:cs="仿宋_GB2312" w:eastAsia="仿宋_GB2312"/>
                      <w:sz w:val="21"/>
                      <w:b/>
                    </w:rPr>
                    <w:t xml:space="preserve">   </w:t>
                  </w:r>
                  <w:r>
                    <w:rPr>
                      <w:rFonts w:ascii="仿宋_GB2312" w:hAnsi="仿宋_GB2312" w:cs="仿宋_GB2312" w:eastAsia="仿宋_GB2312"/>
                      <w:sz w:val="21"/>
                      <w:b/>
                    </w:rPr>
                    <w:t>号</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1#楼T1、T2</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2#楼T3</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2"/>
                    <w:jc w:val="both"/>
                  </w:pPr>
                  <w:r>
                    <w:rPr>
                      <w:rFonts w:ascii="仿宋_GB2312" w:hAnsi="仿宋_GB2312" w:cs="仿宋_GB2312" w:eastAsia="仿宋_GB2312"/>
                      <w:sz w:val="21"/>
                      <w:b/>
                    </w:rPr>
                    <w:t>2&amp;楼T4</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w:t>
                  </w:r>
                  <w:r>
                    <w:rPr>
                      <w:rFonts w:ascii="仿宋_GB2312" w:hAnsi="仿宋_GB2312" w:cs="仿宋_GB2312" w:eastAsia="仿宋_GB2312"/>
                      <w:sz w:val="21"/>
                      <w:b/>
                    </w:rPr>
                    <w:t xml:space="preserve">   </w:t>
                  </w:r>
                  <w:r>
                    <w:rPr>
                      <w:rFonts w:ascii="仿宋_GB2312" w:hAnsi="仿宋_GB2312" w:cs="仿宋_GB2312" w:eastAsia="仿宋_GB2312"/>
                      <w:sz w:val="21"/>
                      <w:b/>
                    </w:rPr>
                    <w:t>称</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小机房客梯</w:t>
                  </w:r>
                </w:p>
                <w:p>
                  <w:pPr>
                    <w:pStyle w:val="null3"/>
                    <w:jc w:val="center"/>
                  </w:pPr>
                  <w:r>
                    <w:rPr>
                      <w:rFonts w:ascii="仿宋_GB2312" w:hAnsi="仿宋_GB2312" w:cs="仿宋_GB2312" w:eastAsia="仿宋_GB2312"/>
                      <w:sz w:val="22"/>
                      <w:b/>
                    </w:rPr>
                    <w:t>（无障碍）</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小机房客梯</w:t>
                  </w:r>
                </w:p>
                <w:p>
                  <w:pPr>
                    <w:pStyle w:val="null3"/>
                    <w:jc w:val="center"/>
                  </w:pPr>
                  <w:r>
                    <w:rPr>
                      <w:rFonts w:ascii="仿宋_GB2312" w:hAnsi="仿宋_GB2312" w:cs="仿宋_GB2312" w:eastAsia="仿宋_GB2312"/>
                      <w:sz w:val="22"/>
                      <w:b/>
                    </w:rPr>
                    <w:t>（无障碍</w:t>
                  </w:r>
                  <w:r>
                    <w:rPr>
                      <w:rFonts w:ascii="仿宋_GB2312" w:hAnsi="仿宋_GB2312" w:cs="仿宋_GB2312" w:eastAsia="仿宋_GB2312"/>
                      <w:sz w:val="22"/>
                      <w:b/>
                    </w:rPr>
                    <w:t>＋担架</w:t>
                  </w:r>
                  <w:r>
                    <w:rPr>
                      <w:rFonts w:ascii="仿宋_GB2312" w:hAnsi="仿宋_GB2312" w:cs="仿宋_GB2312" w:eastAsia="仿宋_GB2312"/>
                      <w:sz w:val="22"/>
                      <w:b/>
                    </w:rPr>
                    <w:t>）</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小机房客梯</w:t>
                  </w:r>
                </w:p>
                <w:p>
                  <w:pPr>
                    <w:pStyle w:val="null3"/>
                    <w:jc w:val="center"/>
                  </w:pPr>
                  <w:r>
                    <w:rPr>
                      <w:rFonts w:ascii="仿宋_GB2312" w:hAnsi="仿宋_GB2312" w:cs="仿宋_GB2312" w:eastAsia="仿宋_GB2312"/>
                      <w:sz w:val="22"/>
                      <w:b/>
                    </w:rPr>
                    <w:t>（无障碍</w:t>
                  </w:r>
                  <w:r>
                    <w:rPr>
                      <w:rFonts w:ascii="仿宋_GB2312" w:hAnsi="仿宋_GB2312" w:cs="仿宋_GB2312" w:eastAsia="仿宋_GB2312"/>
                      <w:sz w:val="22"/>
                      <w:b/>
                    </w:rPr>
                    <w:t>＋消防</w:t>
                  </w:r>
                  <w:r>
                    <w:rPr>
                      <w:rFonts w:ascii="仿宋_GB2312" w:hAnsi="仿宋_GB2312" w:cs="仿宋_GB2312" w:eastAsia="仿宋_GB2312"/>
                      <w:sz w:val="22"/>
                      <w:b/>
                    </w:rPr>
                    <w:t>）</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w:t>
                  </w:r>
                  <w:r>
                    <w:rPr>
                      <w:rFonts w:ascii="仿宋_GB2312" w:hAnsi="仿宋_GB2312" w:cs="仿宋_GB2312" w:eastAsia="仿宋_GB2312"/>
                      <w:sz w:val="21"/>
                      <w:b/>
                    </w:rPr>
                    <w:t xml:space="preserve">   </w:t>
                  </w:r>
                  <w:r>
                    <w:rPr>
                      <w:rFonts w:ascii="仿宋_GB2312" w:hAnsi="仿宋_GB2312" w:cs="仿宋_GB2312" w:eastAsia="仿宋_GB2312"/>
                      <w:sz w:val="21"/>
                      <w:b/>
                    </w:rPr>
                    <w:t>量（台）</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104"/>
                    <w:jc w:val="both"/>
                  </w:pPr>
                  <w:r>
                    <w:rPr>
                      <w:rFonts w:ascii="仿宋_GB2312" w:hAnsi="仿宋_GB2312" w:cs="仿宋_GB2312" w:eastAsia="仿宋_GB2312"/>
                      <w:sz w:val="22"/>
                      <w:b/>
                    </w:rPr>
                    <w:t>1</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速度</w:t>
                  </w:r>
                  <w:r>
                    <w:rPr>
                      <w:rFonts w:ascii="仿宋_GB2312" w:hAnsi="仿宋_GB2312" w:cs="仿宋_GB2312" w:eastAsia="仿宋_GB2312"/>
                      <w:sz w:val="21"/>
                      <w:b/>
                    </w:rPr>
                    <w:t>（</w:t>
                  </w:r>
                  <w:r>
                    <w:rPr>
                      <w:rFonts w:ascii="仿宋_GB2312" w:hAnsi="仿宋_GB2312" w:cs="仿宋_GB2312" w:eastAsia="仿宋_GB2312"/>
                      <w:sz w:val="21"/>
                      <w:b/>
                    </w:rPr>
                    <w:t>m/s）</w:t>
                  </w:r>
                  <w:r>
                    <w:rPr>
                      <w:rFonts w:ascii="仿宋_GB2312" w:hAnsi="仿宋_GB2312" w:cs="仿宋_GB2312" w:eastAsia="仿宋_GB2312"/>
                      <w:sz w:val="21"/>
                      <w:color w:val="000000"/>
                    </w:rPr>
                    <w:t>★</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1.75</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4"/>
                    <w:jc w:val="both"/>
                  </w:pPr>
                  <w:r>
                    <w:rPr>
                      <w:rFonts w:ascii="仿宋_GB2312" w:hAnsi="仿宋_GB2312" w:cs="仿宋_GB2312" w:eastAsia="仿宋_GB2312"/>
                      <w:sz w:val="21"/>
                      <w:b/>
                    </w:rPr>
                    <w:t>2.0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停</w:t>
                  </w:r>
                  <w:r>
                    <w:rPr>
                      <w:rFonts w:ascii="仿宋_GB2312" w:hAnsi="仿宋_GB2312" w:cs="仿宋_GB2312" w:eastAsia="仿宋_GB2312"/>
                      <w:sz w:val="21"/>
                      <w:b/>
                    </w:rPr>
                    <w:t>站</w:t>
                  </w:r>
                  <w:r>
                    <w:rPr>
                      <w:rFonts w:ascii="仿宋_GB2312" w:hAnsi="仿宋_GB2312" w:cs="仿宋_GB2312" w:eastAsia="仿宋_GB2312"/>
                      <w:sz w:val="21"/>
                      <w:b/>
                    </w:rPr>
                    <w:t>数</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1F-</w:t>
                  </w:r>
                  <w:r>
                    <w:rPr>
                      <w:rFonts w:ascii="仿宋_GB2312" w:hAnsi="仿宋_GB2312" w:cs="仿宋_GB2312" w:eastAsia="仿宋_GB2312"/>
                      <w:sz w:val="22"/>
                      <w:b/>
                    </w:rPr>
                    <w:t>9</w:t>
                  </w:r>
                  <w:r>
                    <w:rPr>
                      <w:rFonts w:ascii="仿宋_GB2312" w:hAnsi="仿宋_GB2312" w:cs="仿宋_GB2312" w:eastAsia="仿宋_GB2312"/>
                      <w:sz w:val="22"/>
                      <w:b/>
                    </w:rPr>
                    <w:t>F</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w:t>
                  </w:r>
                  <w:r>
                    <w:rPr>
                      <w:rFonts w:ascii="仿宋_GB2312" w:hAnsi="仿宋_GB2312" w:cs="仿宋_GB2312" w:eastAsia="仿宋_GB2312"/>
                      <w:sz w:val="22"/>
                      <w:b/>
                    </w:rPr>
                    <w:t>1F-</w:t>
                  </w:r>
                  <w:r>
                    <w:rPr>
                      <w:rFonts w:ascii="仿宋_GB2312" w:hAnsi="仿宋_GB2312" w:cs="仿宋_GB2312" w:eastAsia="仿宋_GB2312"/>
                      <w:sz w:val="22"/>
                      <w:b/>
                    </w:rPr>
                    <w:t>17</w:t>
                  </w:r>
                  <w:r>
                    <w:rPr>
                      <w:rFonts w:ascii="仿宋_GB2312" w:hAnsi="仿宋_GB2312" w:cs="仿宋_GB2312" w:eastAsia="仿宋_GB2312"/>
                      <w:sz w:val="22"/>
                      <w:b/>
                    </w:rPr>
                    <w:t>F</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1F-1</w:t>
                  </w:r>
                  <w:r>
                    <w:rPr>
                      <w:rFonts w:ascii="仿宋_GB2312" w:hAnsi="仿宋_GB2312" w:cs="仿宋_GB2312" w:eastAsia="仿宋_GB2312"/>
                      <w:sz w:val="22"/>
                      <w:b/>
                    </w:rPr>
                    <w:t>7</w:t>
                  </w:r>
                  <w:r>
                    <w:rPr>
                      <w:rFonts w:ascii="仿宋_GB2312" w:hAnsi="仿宋_GB2312" w:cs="仿宋_GB2312" w:eastAsia="仿宋_GB2312"/>
                      <w:sz w:val="22"/>
                      <w:b/>
                    </w:rPr>
                    <w:t>F</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层站门</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9/9/9</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18</w:t>
                  </w:r>
                  <w:r>
                    <w:rPr>
                      <w:rFonts w:ascii="仿宋_GB2312" w:hAnsi="仿宋_GB2312" w:cs="仿宋_GB2312" w:eastAsia="仿宋_GB2312"/>
                      <w:sz w:val="22"/>
                      <w:b/>
                    </w:rPr>
                    <w:t>/</w:t>
                  </w:r>
                  <w:r>
                    <w:rPr>
                      <w:rFonts w:ascii="仿宋_GB2312" w:hAnsi="仿宋_GB2312" w:cs="仿宋_GB2312" w:eastAsia="仿宋_GB2312"/>
                      <w:sz w:val="22"/>
                      <w:b/>
                    </w:rPr>
                    <w:t>18</w:t>
                  </w:r>
                  <w:r>
                    <w:rPr>
                      <w:rFonts w:ascii="仿宋_GB2312" w:hAnsi="仿宋_GB2312" w:cs="仿宋_GB2312" w:eastAsia="仿宋_GB2312"/>
                      <w:sz w:val="22"/>
                      <w:b/>
                    </w:rPr>
                    <w:t>/</w:t>
                  </w:r>
                  <w:r>
                    <w:rPr>
                      <w:rFonts w:ascii="仿宋_GB2312" w:hAnsi="仿宋_GB2312" w:cs="仿宋_GB2312" w:eastAsia="仿宋_GB2312"/>
                      <w:sz w:val="22"/>
                      <w:b/>
                    </w:rPr>
                    <w:t>18</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17</w:t>
                  </w:r>
                  <w:r>
                    <w:rPr>
                      <w:rFonts w:ascii="仿宋_GB2312" w:hAnsi="仿宋_GB2312" w:cs="仿宋_GB2312" w:eastAsia="仿宋_GB2312"/>
                      <w:sz w:val="22"/>
                      <w:b/>
                    </w:rPr>
                    <w:t>/</w:t>
                  </w:r>
                  <w:r>
                    <w:rPr>
                      <w:rFonts w:ascii="仿宋_GB2312" w:hAnsi="仿宋_GB2312" w:cs="仿宋_GB2312" w:eastAsia="仿宋_GB2312"/>
                      <w:sz w:val="22"/>
                      <w:b/>
                    </w:rPr>
                    <w:t>17</w:t>
                  </w:r>
                  <w:r>
                    <w:rPr>
                      <w:rFonts w:ascii="仿宋_GB2312" w:hAnsi="仿宋_GB2312" w:cs="仿宋_GB2312" w:eastAsia="仿宋_GB2312"/>
                      <w:sz w:val="22"/>
                      <w:b/>
                    </w:rPr>
                    <w:t>/</w:t>
                  </w:r>
                  <w:r>
                    <w:rPr>
                      <w:rFonts w:ascii="仿宋_GB2312" w:hAnsi="仿宋_GB2312" w:cs="仿宋_GB2312" w:eastAsia="仿宋_GB2312"/>
                      <w:sz w:val="22"/>
                      <w:b/>
                    </w:rPr>
                    <w:t>17</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载重量</w:t>
                  </w:r>
                  <w:r>
                    <w:rPr>
                      <w:rFonts w:ascii="仿宋_GB2312" w:hAnsi="仿宋_GB2312" w:cs="仿宋_GB2312" w:eastAsia="仿宋_GB2312"/>
                      <w:sz w:val="21"/>
                      <w:b/>
                    </w:rPr>
                    <w:t>（</w:t>
                  </w:r>
                  <w:r>
                    <w:rPr>
                      <w:rFonts w:ascii="仿宋_GB2312" w:hAnsi="仿宋_GB2312" w:cs="仿宋_GB2312" w:eastAsia="仿宋_GB2312"/>
                      <w:sz w:val="21"/>
                      <w:b/>
                    </w:rPr>
                    <w:t>kg）</w:t>
                  </w:r>
                  <w:r>
                    <w:rPr>
                      <w:rFonts w:ascii="仿宋_GB2312" w:hAnsi="仿宋_GB2312" w:cs="仿宋_GB2312" w:eastAsia="仿宋_GB2312"/>
                      <w:sz w:val="21"/>
                      <w:color w:val="000000"/>
                    </w:rPr>
                    <w:t>★</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1050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r>
                    <w:rPr>
                      <w:rFonts w:ascii="仿宋_GB2312" w:hAnsi="仿宋_GB2312" w:cs="仿宋_GB2312" w:eastAsia="仿宋_GB2312"/>
                      <w:sz w:val="22"/>
                      <w:b/>
                    </w:rPr>
                    <w:t>050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r>
                    <w:rPr>
                      <w:rFonts w:ascii="仿宋_GB2312" w:hAnsi="仿宋_GB2312" w:cs="仿宋_GB2312" w:eastAsia="仿宋_GB2312"/>
                      <w:sz w:val="22"/>
                      <w:b/>
                    </w:rPr>
                    <w:t>050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提升高度</w:t>
                  </w:r>
                  <w:r>
                    <w:rPr>
                      <w:rFonts w:ascii="仿宋_GB2312" w:hAnsi="仿宋_GB2312" w:cs="仿宋_GB2312" w:eastAsia="仿宋_GB2312"/>
                      <w:sz w:val="21"/>
                      <w:b/>
                    </w:rPr>
                    <w:t>（</w:t>
                  </w:r>
                  <w:r>
                    <w:rPr>
                      <w:rFonts w:ascii="仿宋_GB2312" w:hAnsi="仿宋_GB2312" w:cs="仿宋_GB2312" w:eastAsia="仿宋_GB2312"/>
                      <w:sz w:val="21"/>
                      <w:b/>
                    </w:rPr>
                    <w:t>mm）</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23600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52400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46800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井道尺寸</w:t>
                  </w:r>
                  <w:r>
                    <w:rPr>
                      <w:rFonts w:ascii="仿宋_GB2312" w:hAnsi="仿宋_GB2312" w:cs="仿宋_GB2312" w:eastAsia="仿宋_GB2312"/>
                      <w:sz w:val="21"/>
                      <w:b/>
                    </w:rPr>
                    <w:t>(mm)</w:t>
                  </w:r>
                </w:p>
                <w:p>
                  <w:pPr>
                    <w:pStyle w:val="null3"/>
                    <w:jc w:val="center"/>
                  </w:pPr>
                  <w:r>
                    <w:rPr>
                      <w:rFonts w:ascii="仿宋_GB2312" w:hAnsi="仿宋_GB2312" w:cs="仿宋_GB2312" w:eastAsia="仿宋_GB2312"/>
                      <w:sz w:val="21"/>
                      <w:b/>
                    </w:rPr>
                    <w:t>（深</w:t>
                  </w:r>
                  <w:r>
                    <w:rPr>
                      <w:rFonts w:ascii="仿宋_GB2312" w:hAnsi="仿宋_GB2312" w:cs="仿宋_GB2312" w:eastAsia="仿宋_GB2312"/>
                      <w:sz w:val="21"/>
                      <w:b/>
                    </w:rPr>
                    <w:t>*</w:t>
                  </w:r>
                  <w:r>
                    <w:rPr>
                      <w:rFonts w:ascii="仿宋_GB2312" w:hAnsi="仿宋_GB2312" w:cs="仿宋_GB2312" w:eastAsia="仿宋_GB2312"/>
                      <w:sz w:val="21"/>
                      <w:b/>
                    </w:rPr>
                    <w:t>宽）</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2100*2100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2100*2100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2100*2100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顶层高度</w:t>
                  </w:r>
                  <w:r>
                    <w:rPr>
                      <w:rFonts w:ascii="仿宋_GB2312" w:hAnsi="仿宋_GB2312" w:cs="仿宋_GB2312" w:eastAsia="仿宋_GB2312"/>
                      <w:sz w:val="21"/>
                      <w:b/>
                    </w:rPr>
                    <w:t>(mm)</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4250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4250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4250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底坑深度</w:t>
                  </w:r>
                  <w:r>
                    <w:rPr>
                      <w:rFonts w:ascii="仿宋_GB2312" w:hAnsi="仿宋_GB2312" w:cs="仿宋_GB2312" w:eastAsia="仿宋_GB2312"/>
                      <w:sz w:val="21"/>
                      <w:b/>
                    </w:rPr>
                    <w:t>(mm)</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1600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1600</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r>
                    <w:rPr>
                      <w:rFonts w:ascii="仿宋_GB2312" w:hAnsi="仿宋_GB2312" w:cs="仿宋_GB2312" w:eastAsia="仿宋_GB2312"/>
                      <w:sz w:val="22"/>
                      <w:b/>
                    </w:rPr>
                    <w:t>6</w:t>
                  </w:r>
                  <w:r>
                    <w:rPr>
                      <w:rFonts w:ascii="仿宋_GB2312" w:hAnsi="仿宋_GB2312" w:cs="仿宋_GB2312" w:eastAsia="仿宋_GB2312"/>
                      <w:sz w:val="22"/>
                      <w:b/>
                    </w:rPr>
                    <w:t>00</w:t>
                  </w:r>
                </w:p>
              </w:tc>
            </w:tr>
            <w:tr>
              <w:tc>
                <w:tcPr>
                  <w:tcW w:type="dxa" w:w="1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w:t>
                  </w:r>
                </w:p>
              </w:tc>
              <w:tc>
                <w:tcPr>
                  <w:tcW w:type="dxa" w:w="506"/>
                  <w:tcBorders>
                    <w:top w:val="non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开门形式</w:t>
                  </w:r>
                </w:p>
              </w:tc>
              <w:tc>
                <w:tcPr>
                  <w:tcW w:type="dxa" w:w="18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中分门</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2"/>
                <w:b/>
              </w:rPr>
              <w:t>13.驱动与控制</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2"/>
              </w:rPr>
              <w:t>曳引机：采用</w:t>
            </w:r>
            <w:r>
              <w:rPr>
                <w:rFonts w:ascii="仿宋_GB2312" w:hAnsi="仿宋_GB2312" w:cs="仿宋_GB2312" w:eastAsia="仿宋_GB2312"/>
                <w:sz w:val="22"/>
                <w:b/>
              </w:rPr>
              <w:t>永磁同步无齿轮曳引机</w:t>
            </w:r>
            <w:r>
              <w:rPr>
                <w:rFonts w:ascii="仿宋_GB2312" w:hAnsi="仿宋_GB2312" w:cs="仿宋_GB2312" w:eastAsia="仿宋_GB2312"/>
                <w:sz w:val="22"/>
              </w:rPr>
              <w:t>，原厂原品牌配置，驱动方式为</w:t>
            </w:r>
            <w:r>
              <w:rPr>
                <w:rFonts w:ascii="仿宋_GB2312" w:hAnsi="仿宋_GB2312" w:cs="仿宋_GB2312" w:eastAsia="仿宋_GB2312"/>
                <w:sz w:val="22"/>
              </w:rPr>
              <w:t>VVVF变频调压调速，</w:t>
            </w:r>
            <w:r>
              <w:rPr>
                <w:rFonts w:ascii="仿宋_GB2312" w:hAnsi="仿宋_GB2312" w:cs="仿宋_GB2312" w:eastAsia="仿宋_GB2312"/>
                <w:sz w:val="22"/>
              </w:rPr>
              <w:t>符合</w:t>
            </w:r>
            <w:r>
              <w:rPr>
                <w:rFonts w:ascii="仿宋_GB2312" w:hAnsi="仿宋_GB2312" w:cs="仿宋_GB2312" w:eastAsia="仿宋_GB2312"/>
                <w:sz w:val="22"/>
              </w:rPr>
              <w:t>GB/T7588.1-2020相关标准</w:t>
            </w:r>
            <w:r>
              <w:rPr>
                <w:rFonts w:ascii="仿宋_GB2312" w:hAnsi="仿宋_GB2312" w:cs="仿宋_GB2312" w:eastAsia="仿宋_GB2312"/>
                <w:sz w:val="22"/>
              </w:rPr>
              <w:t>。</w:t>
            </w:r>
          </w:p>
          <w:p>
            <w:pPr>
              <w:pStyle w:val="null3"/>
            </w:pPr>
            <w:r>
              <w:rPr>
                <w:rFonts w:ascii="仿宋_GB2312" w:hAnsi="仿宋_GB2312" w:cs="仿宋_GB2312" w:eastAsia="仿宋_GB2312"/>
                <w:sz w:val="22"/>
              </w:rPr>
              <w:t>（</w:t>
            </w:r>
            <w:r>
              <w:rPr>
                <w:rFonts w:ascii="仿宋_GB2312" w:hAnsi="仿宋_GB2312" w:cs="仿宋_GB2312" w:eastAsia="仿宋_GB2312"/>
                <w:sz w:val="22"/>
              </w:rPr>
              <w:t>2）控制系统：高集成模块化32位微机控制系统，提供原厂原品牌控制柜，控制方式为</w:t>
            </w:r>
            <w:r>
              <w:rPr>
                <w:rFonts w:ascii="仿宋_GB2312" w:hAnsi="仿宋_GB2312" w:cs="仿宋_GB2312" w:eastAsia="仿宋_GB2312"/>
                <w:sz w:val="22"/>
                <w:b/>
              </w:rPr>
              <w:t>单控集选</w:t>
            </w:r>
            <w:r>
              <w:rPr>
                <w:rFonts w:ascii="仿宋_GB2312" w:hAnsi="仿宋_GB2312" w:cs="仿宋_GB2312" w:eastAsia="仿宋_GB2312"/>
                <w:sz w:val="22"/>
              </w:rPr>
              <w:t>，支持物联网监控功能；</w:t>
            </w:r>
          </w:p>
          <w:p>
            <w:pPr>
              <w:pStyle w:val="null3"/>
            </w:pPr>
            <w:r>
              <w:rPr>
                <w:rFonts w:ascii="仿宋_GB2312" w:hAnsi="仿宋_GB2312" w:cs="仿宋_GB2312" w:eastAsia="仿宋_GB2312"/>
                <w:sz w:val="22"/>
              </w:rPr>
              <w:t>（</w:t>
            </w:r>
            <w:r>
              <w:rPr>
                <w:rFonts w:ascii="仿宋_GB2312" w:hAnsi="仿宋_GB2312" w:cs="仿宋_GB2312" w:eastAsia="仿宋_GB2312"/>
                <w:sz w:val="22"/>
              </w:rPr>
              <w:t>3）门机系统：自适应变频门机系统，原厂原品牌配置，开门形式为中分门，配备光幕门保护装置。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b/>
              </w:rPr>
              <w:t>14.安全保护配置</w:t>
            </w:r>
          </w:p>
          <w:p>
            <w:pPr>
              <w:pStyle w:val="null3"/>
            </w:pPr>
            <w:r>
              <w:rPr>
                <w:rFonts w:ascii="仿宋_GB2312" w:hAnsi="仿宋_GB2312" w:cs="仿宋_GB2312" w:eastAsia="仿宋_GB2312"/>
                <w:sz w:val="22"/>
              </w:rPr>
              <w:t>需配备上行超速保护装置、限速器超速开关（带自动遥控脱口</w:t>
            </w:r>
            <w:r>
              <w:rPr>
                <w:rFonts w:ascii="仿宋_GB2312" w:hAnsi="仿宋_GB2312" w:cs="仿宋_GB2312" w:eastAsia="仿宋_GB2312"/>
                <w:sz w:val="22"/>
              </w:rPr>
              <w:t>+机械复位）、安全钳超速开关、错相/缺相保护、电动机过热自动复位保护、超载不启动、防捣乱操作、开门动车保护、底坑停开关、轿顶急停/检修装置等。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2"/>
                <w:b/>
              </w:rPr>
              <w:t>15.轿厢</w:t>
            </w:r>
            <w:r>
              <w:rPr>
                <w:rFonts w:ascii="仿宋_GB2312" w:hAnsi="仿宋_GB2312" w:cs="仿宋_GB2312" w:eastAsia="仿宋_GB2312"/>
                <w:sz w:val="22"/>
                <w:b/>
              </w:rPr>
              <w:t>参数</w:t>
            </w:r>
          </w:p>
          <w:p>
            <w:pPr>
              <w:pStyle w:val="null3"/>
            </w:pPr>
            <w:r>
              <w:rPr>
                <w:rFonts w:ascii="仿宋_GB2312" w:hAnsi="仿宋_GB2312" w:cs="仿宋_GB2312" w:eastAsia="仿宋_GB2312"/>
                <w:sz w:val="22"/>
                <w:b/>
              </w:rPr>
              <w:t>1.轿厢内部</w:t>
            </w:r>
          </w:p>
          <w:p>
            <w:pPr>
              <w:pStyle w:val="null3"/>
            </w:pPr>
            <w:r>
              <w:rPr>
                <w:rFonts w:ascii="仿宋_GB2312" w:hAnsi="仿宋_GB2312" w:cs="仿宋_GB2312" w:eastAsia="仿宋_GB2312"/>
                <w:sz w:val="22"/>
              </w:rPr>
              <w:t>（</w:t>
            </w:r>
            <w:r>
              <w:rPr>
                <w:rFonts w:ascii="仿宋_GB2312" w:hAnsi="仿宋_GB2312" w:cs="仿宋_GB2312" w:eastAsia="仿宋_GB2312"/>
                <w:sz w:val="22"/>
              </w:rPr>
              <w:t>1）轿厢装潢、轿厢操纵箱均采用发纹不锈钢材质；</w:t>
            </w:r>
          </w:p>
          <w:p>
            <w:pPr>
              <w:pStyle w:val="null3"/>
            </w:pPr>
            <w:r>
              <w:rPr>
                <w:rFonts w:ascii="仿宋_GB2312" w:hAnsi="仿宋_GB2312" w:cs="仿宋_GB2312" w:eastAsia="仿宋_GB2312"/>
                <w:sz w:val="22"/>
              </w:rPr>
              <w:t>（</w:t>
            </w:r>
            <w:r>
              <w:rPr>
                <w:rFonts w:ascii="仿宋_GB2312" w:hAnsi="仿宋_GB2312" w:cs="仿宋_GB2312" w:eastAsia="仿宋_GB2312"/>
                <w:sz w:val="22"/>
              </w:rPr>
              <w:t>2）轿顶为发纹不锈钢，配置LED节能照明系统；</w:t>
            </w:r>
          </w:p>
          <w:p>
            <w:pPr>
              <w:pStyle w:val="null3"/>
            </w:pPr>
            <w:r>
              <w:rPr>
                <w:rFonts w:ascii="仿宋_GB2312" w:hAnsi="仿宋_GB2312" w:cs="仿宋_GB2312" w:eastAsia="仿宋_GB2312"/>
                <w:sz w:val="22"/>
              </w:rPr>
              <w:t>（</w:t>
            </w:r>
            <w:r>
              <w:rPr>
                <w:rFonts w:ascii="仿宋_GB2312" w:hAnsi="仿宋_GB2312" w:cs="仿宋_GB2312" w:eastAsia="仿宋_GB2312"/>
                <w:sz w:val="22"/>
              </w:rPr>
              <w:t>3）轿厢地板采用仿大理石PVC地板，防滑、耐磨、易清洁；</w:t>
            </w:r>
          </w:p>
          <w:p>
            <w:pPr>
              <w:pStyle w:val="null3"/>
            </w:pPr>
            <w:r>
              <w:rPr>
                <w:rFonts w:ascii="仿宋_GB2312" w:hAnsi="仿宋_GB2312" w:cs="仿宋_GB2312" w:eastAsia="仿宋_GB2312"/>
                <w:sz w:val="22"/>
              </w:rPr>
              <w:t>（</w:t>
            </w:r>
            <w:r>
              <w:rPr>
                <w:rFonts w:ascii="仿宋_GB2312" w:hAnsi="仿宋_GB2312" w:cs="仿宋_GB2312" w:eastAsia="仿宋_GB2312"/>
                <w:sz w:val="22"/>
              </w:rPr>
              <w:t>4）操纵箱显示为段码液晶显示，无障碍电梯专属配置：无障碍操纵箱、后壁中间镜面不锈钢（</w:t>
            </w:r>
            <w:r>
              <w:rPr>
                <w:rFonts w:ascii="仿宋_GB2312" w:hAnsi="仿宋_GB2312" w:cs="仿宋_GB2312" w:eastAsia="仿宋_GB2312"/>
                <w:sz w:val="22"/>
              </w:rPr>
              <w:t>宽度同门</w:t>
            </w:r>
            <w:r>
              <w:rPr>
                <w:rFonts w:ascii="仿宋_GB2312" w:hAnsi="仿宋_GB2312" w:cs="仿宋_GB2312" w:eastAsia="仿宋_GB2312"/>
                <w:sz w:val="22"/>
              </w:rPr>
              <w:t>宽</w:t>
            </w:r>
            <w:r>
              <w:rPr>
                <w:rFonts w:ascii="仿宋_GB2312" w:hAnsi="仿宋_GB2312" w:cs="仿宋_GB2312" w:eastAsia="仿宋_GB2312"/>
                <w:sz w:val="22"/>
              </w:rPr>
              <w:t>）、后壁扁扶手、盲文按钮、中英文语音报站装置。</w:t>
            </w:r>
          </w:p>
          <w:p>
            <w:pPr>
              <w:pStyle w:val="null3"/>
            </w:pPr>
            <w:r>
              <w:rPr>
                <w:rFonts w:ascii="仿宋_GB2312" w:hAnsi="仿宋_GB2312" w:cs="仿宋_GB2312" w:eastAsia="仿宋_GB2312"/>
                <w:sz w:val="22"/>
                <w:b/>
              </w:rPr>
              <w:t>2.厅门及厅外</w:t>
            </w:r>
          </w:p>
          <w:p>
            <w:pPr>
              <w:pStyle w:val="null3"/>
            </w:pPr>
            <w:r>
              <w:rPr>
                <w:rFonts w:ascii="仿宋_GB2312" w:hAnsi="仿宋_GB2312" w:cs="仿宋_GB2312" w:eastAsia="仿宋_GB2312"/>
                <w:sz w:val="22"/>
              </w:rPr>
              <w:t>（</w:t>
            </w:r>
            <w:r>
              <w:rPr>
                <w:rFonts w:ascii="仿宋_GB2312" w:hAnsi="仿宋_GB2312" w:cs="仿宋_GB2312" w:eastAsia="仿宋_GB2312"/>
                <w:sz w:val="22"/>
              </w:rPr>
              <w:t>1）厅门材料：基站层采用发纹不锈钢，其余楼层为钢板喷涂，配套标准小门套；</w:t>
            </w:r>
          </w:p>
          <w:p>
            <w:pPr>
              <w:pStyle w:val="null3"/>
            </w:pPr>
            <w:r>
              <w:rPr>
                <w:rFonts w:ascii="仿宋_GB2312" w:hAnsi="仿宋_GB2312" w:cs="仿宋_GB2312" w:eastAsia="仿宋_GB2312"/>
                <w:sz w:val="22"/>
              </w:rPr>
              <w:t>（</w:t>
            </w:r>
            <w:r>
              <w:rPr>
                <w:rFonts w:ascii="仿宋_GB2312" w:hAnsi="仿宋_GB2312" w:cs="仿宋_GB2312" w:eastAsia="仿宋_GB2312"/>
                <w:sz w:val="22"/>
              </w:rPr>
              <w:t>2）厅外召唤显示为段码液晶显示，清晰显示电梯运行方向、停靠楼层；</w:t>
            </w:r>
          </w:p>
          <w:p>
            <w:pPr>
              <w:pStyle w:val="null3"/>
            </w:pPr>
            <w:r>
              <w:rPr>
                <w:rFonts w:ascii="仿宋_GB2312" w:hAnsi="仿宋_GB2312" w:cs="仿宋_GB2312" w:eastAsia="仿宋_GB2312"/>
                <w:sz w:val="22"/>
              </w:rPr>
              <w:t>（</w:t>
            </w:r>
            <w:r>
              <w:rPr>
                <w:rFonts w:ascii="仿宋_GB2312" w:hAnsi="仿宋_GB2312" w:cs="仿宋_GB2312" w:eastAsia="仿宋_GB2312"/>
                <w:sz w:val="22"/>
              </w:rPr>
              <w:t>3）层门防火完整性需满足E120（GB/T27903）</w:t>
            </w:r>
            <w:r>
              <w:rPr>
                <w:rFonts w:ascii="仿宋_GB2312" w:hAnsi="仿宋_GB2312" w:cs="仿宋_GB2312" w:eastAsia="仿宋_GB2312"/>
                <w:sz w:val="22"/>
              </w:rPr>
              <w:t>标准要求。</w:t>
            </w:r>
          </w:p>
          <w:p>
            <w:pPr>
              <w:pStyle w:val="null3"/>
            </w:pPr>
            <w:r>
              <w:rPr>
                <w:rFonts w:ascii="仿宋_GB2312" w:hAnsi="仿宋_GB2312" w:cs="仿宋_GB2312" w:eastAsia="仿宋_GB2312"/>
                <w:sz w:val="22"/>
                <w:b/>
              </w:rPr>
              <w:t>3.预留接口</w:t>
            </w:r>
            <w:r>
              <w:rPr>
                <w:rFonts w:ascii="仿宋_GB2312" w:hAnsi="仿宋_GB2312" w:cs="仿宋_GB2312" w:eastAsia="仿宋_GB2312"/>
                <w:sz w:val="22"/>
              </w:rPr>
              <w:t>：电梯轿厢及井道预留视频监控电缆敷设通道及接口，满足</w:t>
            </w:r>
            <w:r>
              <w:rPr>
                <w:rFonts w:ascii="仿宋_GB2312" w:hAnsi="仿宋_GB2312" w:cs="仿宋_GB2312" w:eastAsia="仿宋_GB2312"/>
                <w:sz w:val="22"/>
              </w:rPr>
              <w:t>接口</w:t>
            </w:r>
            <w:r>
              <w:rPr>
                <w:rFonts w:ascii="仿宋_GB2312" w:hAnsi="仿宋_GB2312" w:cs="仿宋_GB2312" w:eastAsia="仿宋_GB2312"/>
                <w:sz w:val="22"/>
              </w:rPr>
              <w:t>对接要求。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2"/>
                <w:b/>
              </w:rPr>
              <w:t>16.电梯安全与标准功能</w:t>
            </w:r>
          </w:p>
          <w:p>
            <w:pPr>
              <w:pStyle w:val="null3"/>
              <w:spacing w:before="300" w:after="120"/>
              <w:jc w:val="left"/>
            </w:pPr>
            <w:r>
              <w:rPr>
                <w:rFonts w:ascii="仿宋_GB2312" w:hAnsi="仿宋_GB2312" w:cs="仿宋_GB2312" w:eastAsia="仿宋_GB2312"/>
                <w:sz w:val="24"/>
                <w:b/>
              </w:rPr>
              <w:t>（一）基础安全保护功能</w:t>
            </w:r>
            <w:r>
              <w:rPr>
                <w:rFonts w:ascii="仿宋_GB2312" w:hAnsi="仿宋_GB2312" w:cs="仿宋_GB2312" w:eastAsia="仿宋_GB2312"/>
                <w:color w:val="000000"/>
              </w:rPr>
              <w:t>▲</w:t>
            </w:r>
          </w:p>
          <w:p>
            <w:pPr>
              <w:pStyle w:val="null3"/>
            </w:pPr>
            <w:r>
              <w:rPr>
                <w:rFonts w:ascii="仿宋_GB2312" w:hAnsi="仿宋_GB2312" w:cs="仿宋_GB2312" w:eastAsia="仿宋_GB2312"/>
                <w:sz w:val="22"/>
              </w:rPr>
              <w:t>1.上行超速保护装置、限速器超速开关（带自动遥控脱口+机械复位装置）、安全钳超速开关；</w:t>
            </w:r>
          </w:p>
          <w:p>
            <w:pPr>
              <w:pStyle w:val="null3"/>
            </w:pPr>
            <w:r>
              <w:rPr>
                <w:rFonts w:ascii="仿宋_GB2312" w:hAnsi="仿宋_GB2312" w:cs="仿宋_GB2312" w:eastAsia="仿宋_GB2312"/>
                <w:sz w:val="22"/>
              </w:rPr>
              <w:t>2.错相/缺相保护、电动机过热保护（可自动复位）、超载不启动、防捣乱操作；</w:t>
            </w:r>
          </w:p>
          <w:p>
            <w:pPr>
              <w:pStyle w:val="null3"/>
            </w:pPr>
            <w:r>
              <w:rPr>
                <w:rFonts w:ascii="仿宋_GB2312" w:hAnsi="仿宋_GB2312" w:cs="仿宋_GB2312" w:eastAsia="仿宋_GB2312"/>
                <w:sz w:val="22"/>
              </w:rPr>
              <w:t>3.底坑急停开关、轿顶检修盒急停、控制柜急停；</w:t>
            </w:r>
          </w:p>
          <w:p>
            <w:pPr>
              <w:pStyle w:val="null3"/>
            </w:pPr>
            <w:r>
              <w:rPr>
                <w:rFonts w:ascii="仿宋_GB2312" w:hAnsi="仿宋_GB2312" w:cs="仿宋_GB2312" w:eastAsia="仿宋_GB2312"/>
                <w:sz w:val="22"/>
              </w:rPr>
              <w:t>4.开门动车保护、强迫关门、提前开门保护、再平层精准控制；</w:t>
            </w:r>
          </w:p>
          <w:p>
            <w:pPr>
              <w:pStyle w:val="null3"/>
            </w:pPr>
            <w:r>
              <w:rPr>
                <w:rFonts w:ascii="仿宋_GB2312" w:hAnsi="仿宋_GB2312" w:cs="仿宋_GB2312" w:eastAsia="仿宋_GB2312"/>
                <w:sz w:val="22"/>
              </w:rPr>
              <w:t>5.钢带/钢丝绳质量监测装置、门区指示、轿厢紧急照明装置（断电自动启动）；</w:t>
            </w:r>
          </w:p>
          <w:p>
            <w:pPr>
              <w:pStyle w:val="null3"/>
            </w:pPr>
            <w:r>
              <w:rPr>
                <w:rFonts w:ascii="仿宋_GB2312" w:hAnsi="仿宋_GB2312" w:cs="仿宋_GB2312" w:eastAsia="仿宋_GB2312"/>
                <w:sz w:val="22"/>
              </w:rPr>
              <w:t>6.主断路器、门系统自动回路断路器、电磁干扰滤波器、电流谐波滤波器。</w:t>
            </w:r>
          </w:p>
          <w:p>
            <w:pPr>
              <w:pStyle w:val="null3"/>
              <w:spacing w:before="300" w:after="120"/>
              <w:jc w:val="left"/>
            </w:pPr>
            <w:r>
              <w:rPr>
                <w:rFonts w:ascii="仿宋_GB2312" w:hAnsi="仿宋_GB2312" w:cs="仿宋_GB2312" w:eastAsia="仿宋_GB2312"/>
                <w:sz w:val="24"/>
                <w:b/>
              </w:rPr>
              <w:t>（二）运行与操作功能</w:t>
            </w:r>
          </w:p>
          <w:p>
            <w:pPr>
              <w:pStyle w:val="null3"/>
            </w:pPr>
            <w:r>
              <w:rPr>
                <w:rFonts w:ascii="仿宋_GB2312" w:hAnsi="仿宋_GB2312" w:cs="仿宋_GB2312" w:eastAsia="仿宋_GB2312"/>
                <w:sz w:val="22"/>
              </w:rPr>
              <w:t>1.轿厢警铃、轿厢/大厅位置指示器、轿厢/大厅呼梯登记及取消功能；</w:t>
            </w:r>
          </w:p>
          <w:p>
            <w:pPr>
              <w:pStyle w:val="null3"/>
            </w:pPr>
            <w:r>
              <w:rPr>
                <w:rFonts w:ascii="仿宋_GB2312" w:hAnsi="仿宋_GB2312" w:cs="仿宋_GB2312" w:eastAsia="仿宋_GB2312"/>
                <w:sz w:val="22"/>
              </w:rPr>
              <w:t>2.反向呼梯响应、满载不停梯、轿厢自动返回指定楼层、切除大厅呼叫开关；</w:t>
            </w:r>
          </w:p>
          <w:p>
            <w:pPr>
              <w:pStyle w:val="null3"/>
            </w:pPr>
            <w:r>
              <w:rPr>
                <w:rFonts w:ascii="仿宋_GB2312" w:hAnsi="仿宋_GB2312" w:cs="仿宋_GB2312" w:eastAsia="仿宋_GB2312"/>
                <w:sz w:val="22"/>
              </w:rPr>
              <w:t>3.有司机操作、驻停钥匙开关、手动救援操作接口；</w:t>
            </w:r>
          </w:p>
          <w:p>
            <w:pPr>
              <w:pStyle w:val="null3"/>
            </w:pPr>
            <w:r>
              <w:rPr>
                <w:rFonts w:ascii="仿宋_GB2312" w:hAnsi="仿宋_GB2312" w:cs="仿宋_GB2312" w:eastAsia="仿宋_GB2312"/>
                <w:sz w:val="22"/>
              </w:rPr>
              <w:t>4.独立轿厢门/厅门定时、门定时保护、延时驱动保护。</w:t>
            </w:r>
          </w:p>
          <w:p>
            <w:pPr>
              <w:pStyle w:val="null3"/>
              <w:spacing w:before="300" w:after="120"/>
              <w:jc w:val="left"/>
            </w:pPr>
            <w:r>
              <w:rPr>
                <w:rFonts w:ascii="仿宋_GB2312" w:hAnsi="仿宋_GB2312" w:cs="仿宋_GB2312" w:eastAsia="仿宋_GB2312"/>
                <w:sz w:val="30"/>
                <w:b/>
              </w:rPr>
              <w:t>（</w:t>
            </w:r>
            <w:r>
              <w:rPr>
                <w:rFonts w:ascii="仿宋_GB2312" w:hAnsi="仿宋_GB2312" w:cs="仿宋_GB2312" w:eastAsia="仿宋_GB2312"/>
                <w:sz w:val="24"/>
                <w:b/>
              </w:rPr>
              <w:t>三）通讯与监控功能</w:t>
            </w:r>
          </w:p>
          <w:p>
            <w:pPr>
              <w:pStyle w:val="null3"/>
            </w:pPr>
            <w:r>
              <w:rPr>
                <w:rFonts w:ascii="仿宋_GB2312" w:hAnsi="仿宋_GB2312" w:cs="仿宋_GB2312" w:eastAsia="仿宋_GB2312"/>
                <w:sz w:val="22"/>
              </w:rPr>
              <w:t>1.对讲系统：实现轿厢-监控室、轿厢-控制柜、底坑-控制柜、轿顶-控制柜的分线制内部通话，语音安抚（中文）功能；</w:t>
            </w:r>
          </w:p>
          <w:p>
            <w:pPr>
              <w:pStyle w:val="null3"/>
            </w:pPr>
            <w:r>
              <w:rPr>
                <w:rFonts w:ascii="仿宋_GB2312" w:hAnsi="仿宋_GB2312" w:cs="仿宋_GB2312" w:eastAsia="仿宋_GB2312"/>
                <w:sz w:val="22"/>
              </w:rPr>
              <w:t>2.物联网功能：配置两芯电缆转以太网接口装置，接入原厂物联网监控平台，实现电梯运行状态实时监测、故障预警、数据上传；</w:t>
            </w:r>
          </w:p>
          <w:p>
            <w:pPr>
              <w:pStyle w:val="null3"/>
            </w:pPr>
            <w:r>
              <w:rPr>
                <w:rFonts w:ascii="仿宋_GB2312" w:hAnsi="仿宋_GB2312" w:cs="仿宋_GB2312" w:eastAsia="仿宋_GB2312"/>
                <w:sz w:val="22"/>
              </w:rPr>
              <w:t>3.消防功能：2#楼T4消防梯配置EFO2紧急消防操作（手动）、EFS1紧急消防服务（自动）功能，满足消防应急运行要求；</w:t>
            </w:r>
          </w:p>
          <w:p>
            <w:pPr>
              <w:pStyle w:val="null3"/>
            </w:pPr>
            <w:r>
              <w:rPr>
                <w:rFonts w:ascii="仿宋_GB2312" w:hAnsi="仿宋_GB2312" w:cs="仿宋_GB2312" w:eastAsia="仿宋_GB2312"/>
                <w:sz w:val="21"/>
              </w:rPr>
              <w:t>4.计数功能：配置电梯运行计数器，精准统计运行次数及工况。</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315" w:after="120"/>
              <w:jc w:val="left"/>
            </w:pPr>
            <w:r>
              <w:rPr>
                <w:rFonts w:ascii="仿宋_GB2312" w:hAnsi="仿宋_GB2312" w:cs="仿宋_GB2312" w:eastAsia="仿宋_GB2312"/>
                <w:sz w:val="32"/>
                <w:b/>
              </w:rPr>
              <w:t>其他要求</w:t>
            </w:r>
          </w:p>
          <w:p>
            <w:pPr>
              <w:pStyle w:val="null3"/>
            </w:pPr>
            <w:r>
              <w:rPr>
                <w:rFonts w:ascii="仿宋_GB2312" w:hAnsi="仿宋_GB2312" w:cs="仿宋_GB2312" w:eastAsia="仿宋_GB2312"/>
                <w:sz w:val="22"/>
              </w:rPr>
              <w:t>1.随投标文件提供轿厢、厅门、井道等部位的设计图纸，图纸需满足项目建筑设计图纸及本参数要求，经招标人及设计单位审核通过后方可生产；</w:t>
            </w:r>
          </w:p>
          <w:p>
            <w:pPr>
              <w:pStyle w:val="null3"/>
            </w:pPr>
            <w:r>
              <w:rPr>
                <w:rFonts w:ascii="仿宋_GB2312" w:hAnsi="仿宋_GB2312" w:cs="仿宋_GB2312" w:eastAsia="仿宋_GB2312"/>
                <w:sz w:val="22"/>
              </w:rPr>
              <w:t>2.电梯制造、运输、安装、调试全过程需符合国家现行电梯相关规范、标准及当地特种设备监督管理部门的规定；</w:t>
            </w:r>
          </w:p>
          <w:p>
            <w:pPr>
              <w:pStyle w:val="null3"/>
            </w:pPr>
            <w:r>
              <w:rPr>
                <w:rFonts w:ascii="仿宋_GB2312" w:hAnsi="仿宋_GB2312" w:cs="仿宋_GB2312" w:eastAsia="仿宋_GB2312"/>
                <w:sz w:val="22"/>
              </w:rPr>
              <w:t>3.安装完成后，负责办理电梯验收的全部相关手续，直至取得《电梯使用登记证》，相关费用包含在投标报价内；</w:t>
            </w:r>
          </w:p>
          <w:p>
            <w:pPr>
              <w:pStyle w:val="null3"/>
            </w:pPr>
            <w:r>
              <w:rPr>
                <w:rFonts w:ascii="仿宋_GB2312" w:hAnsi="仿宋_GB2312" w:cs="仿宋_GB2312" w:eastAsia="仿宋_GB2312"/>
                <w:sz w:val="22"/>
              </w:rPr>
              <w:t>4.投标人需提供原厂技术培训服务，对招标人的电梯操作人员、维保人员进行免费培训，确保其熟练掌握操作及基础维保技能。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签订合同后60天内安装完成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合同签订且技术规格已确认</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所有设备安装调试完毕，且由特种设备质检部门验收合格后（以检验报告为准）</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项目整体竣工验收合格，且甲乙双方确认竣工资料齐全后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项目所有设备安装调试完毕，且由特种设备质检部门验收合格后（以检验报告为准）。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1.质量保证期：自当地特种设备监督管理部门指定检测中心签发《电梯验收合格证书》之日起，提供2年原厂整机质量保证，质保期内免费提供维修、保养及易损件（人为损坏除外）更换服务； 2.故障响应：接到电梯故障报修后，30分钟内安排专业技术人员赶到现场排除故障； 3.维保要求：质保期内按国家规范要求进行定期维保，每月不少于1次，维保记录需经招标人签字确认，留存备查。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投标供应商在成交结果公示结束后3个工作日内向代理机构提供纸质版响应文件，投标文件为正本一份，副本二份(投标文件内容须与电子交易平台上传文件内容保持一致)。纸质投标文件均须A4纸打印，分别各自装订成册。 2.保证金为电子保函的须在开标前向代理机构邮寄纸质保函(扫描件加盖公章)或发至邮箱(747492321@qq.com)，若因系统等原因核验不成功导致废标后果由供应商自行承担。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资格证明要求</w:t>
            </w:r>
          </w:p>
        </w:tc>
        <w:tc>
          <w:tcPr>
            <w:tcW w:type="dxa" w:w="3322"/>
          </w:tcPr>
          <w:p>
            <w:pPr>
              <w:pStyle w:val="null3"/>
            </w:pPr>
            <w:r>
              <w:rPr>
                <w:rFonts w:ascii="仿宋_GB2312" w:hAnsi="仿宋_GB2312" w:cs="仿宋_GB2312" w:eastAsia="仿宋_GB2312"/>
              </w:rPr>
              <w:t>①投标人若为电梯生产制造商，须提供《中华人民共和国特种设备 生产许可证》电梯制造(含安装、修理、改造)(或有效期内的旧证); ②投标人若为电梯经销商(代理商),须提供《中华人民共和国特 种设备生产许可证》电梯安装(含修理)及电梯生产制造商的《中华人民 共和国特种设备生产许可证》电梯制造(含安装、修理、改造)(或有效 期内的旧证); ③拟派电梯安装项目负责人须具备特种设备作业人员证(电梯专业 ) 。</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投标产品相关证明材料.docx 汉中市政府采购供应商资格承诺函.docx 投标人应提交的相关资格证明材料 投标分项报价表.docx 法定代表人身份证明或授权委托书.docx 产品技术参数表 技术偏离表.docx 投标函 拟投入本项目人员配置情况表.docx 残疾人福利性单位声明函 标的清单 业绩相关证明材料.docx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技术方案.docx 中小企业声明函 商务应答表 投标产品相关证明材料.docx 汉中市政府采购供应商资格承诺函.docx 投标人应提交的相关资格证明材料 投标分项报价表.docx 法定代表人身份证明或授权委托书.docx 产品技术参数表 技术偏离表.docx 投标函 拟投入本项目人员配置情况表.docx 残疾人福利性单位声明函 标的清单 业绩相关证明材料.docx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不得提交选择性报价，投标报价符合招标文件要求</w:t>
            </w:r>
          </w:p>
        </w:tc>
        <w:tc>
          <w:tcPr>
            <w:tcW w:type="dxa" w:w="1661"/>
          </w:tcPr>
          <w:p>
            <w:pPr>
              <w:pStyle w:val="null3"/>
            </w:pPr>
            <w:r>
              <w:rPr>
                <w:rFonts w:ascii="仿宋_GB2312" w:hAnsi="仿宋_GB2312" w:cs="仿宋_GB2312" w:eastAsia="仿宋_GB2312"/>
              </w:rPr>
              <w:t>开标一览表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提供所投产品的合法来源渠道证明文件（例如：制造商授权协议，代理协议，销售协议等其中任意一种证明文件即可），满分 3 分。不提供不得分。 备注：以加盖投标人公章的证明材料为计分依据。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投标产品相关证明材料.docx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①项目总进度计划：每完全满足一个评审标准得1分，满分3分； ②供货组织安排:每完全满足一个评审标准得1分，满分3分； ③运输方案:每完全满足一个评审标准得1分，满分3分； ④安装调试方案:每完全满足一个评审标准得1分，满分3分； ⑤物力调配及保障措施：每完全满足一个评审标准得1分，满分3分； ⑥应急保障方案：每完全满足一个评审标准得1分，满分3分。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 二、评审标准 1、完整性：切合本项目实际情况，方案内容齐全，对招标文件中各项要求有详细描述及其他内容的补充； 2、可实施性：切合本项目实际情况，叙述清楚，符合客观实际情况； 3、合理性：方案内容符合项目实际特点，合理、恰当。 三、赋分标准（针对每条评审标准，如存在不合理的方面扣0.5分） ①培训内容：每完全满足一个评审标准得1分，满分3分；②培训计划安排：每完全满足一个评审标准得1分，满分3分。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投标人自2023年1月1日以来（以合同签订日期为准）承担过同类业绩的，每提供一个业绩及其证明材料得2.5分，本项最高得5分。 同类业绩是指与采购标的同品类的产品案例，须提供合同扫描件并加盖公章，且合同内容能体现同品类的采购内容，未提供或提供内容不完整的不得分。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技术 参数 响应</w:t>
            </w:r>
          </w:p>
        </w:tc>
        <w:tc>
          <w:tcPr>
            <w:tcW w:type="dxa" w:w="2492"/>
          </w:tcPr>
          <w:p>
            <w:pPr>
              <w:pStyle w:val="null3"/>
            </w:pPr>
            <w:r>
              <w:rPr>
                <w:rFonts w:ascii="仿宋_GB2312" w:hAnsi="仿宋_GB2312" w:cs="仿宋_GB2312" w:eastAsia="仿宋_GB2312"/>
              </w:rPr>
              <w:t>所投产品的技术参数完全满足或优于招标文件，投标文件中应逐条对应技术参数进行响应，满足招标基本要求的得20分；★为核心参数，不允许有负偏离，并提供相关证明材料（包括但不限于检测报告、产品说明书、官网截图、第三方检测报告等），否则视为不响应。▲为重要参数，每偏离一项扣2分，其他参数有负偏离每项扣 0.5 分，扣完为止。▲重要参数提供相关证明材料（包括但不限于检测报告、产品说明书、官网截图、第三方检测报告等），未提供证明资料的视为负偏离。其余按技术参数偏离表。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投标产品相关证明材料.docx</w:t>
            </w:r>
          </w:p>
        </w:tc>
      </w:tr>
      <w:tr>
        <w:tc>
          <w:tcPr>
            <w:tcW w:type="dxa" w:w="831"/>
            <w:vMerge/>
          </w:tcPr>
          <w:p/>
        </w:tc>
        <w:tc>
          <w:tcPr>
            <w:tcW w:type="dxa" w:w="1661"/>
          </w:tcPr>
          <w:p>
            <w:pPr>
              <w:pStyle w:val="null3"/>
            </w:pPr>
            <w:r>
              <w:rPr>
                <w:rFonts w:ascii="仿宋_GB2312" w:hAnsi="仿宋_GB2312" w:cs="仿宋_GB2312" w:eastAsia="仿宋_GB2312"/>
              </w:rPr>
              <w:t>质量 保证 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①产品配套资料及产品性能：每完全满足一个评审标准得1分，满分3分； ②质量管理体系及保证措施:每完全满足一个评审标准得1分，满分3分；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 文明 施工 措施</w:t>
            </w:r>
          </w:p>
        </w:tc>
        <w:tc>
          <w:tcPr>
            <w:tcW w:type="dxa" w:w="2492"/>
          </w:tcPr>
          <w:p>
            <w:pPr>
              <w:pStyle w:val="null3"/>
            </w:pPr>
            <w:r>
              <w:rPr>
                <w:rFonts w:ascii="仿宋_GB2312" w:hAnsi="仿宋_GB2312" w:cs="仿宋_GB2312" w:eastAsia="仿宋_GB2312"/>
              </w:rPr>
              <w:t>一、评审内容 针对本项目编制具体可行的安全文明施工措施。内容包含：①施工现场环境保护措施②文明施工及安全防护措施。 二、评审标准 1、完整性：方案必须全面，对评审内容中的各项要求有详细描述；2、落实性：切合项目具体情况，提出责任明确、要求具体的方案；3、针对性：方案能够紧扣项目实际情况，内容科学合理。 三、赋分依据（满分 3 分） ①施工现场环境保护措施：每完全满足一个评审标准得0.5 分，满分 1.5 分； ②文明施工及安全防护措施：每完全满足一个评审标准得0.5分，满分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根据项目实际需求提供售后服务方案。内容包含：①售后服务范围②故障处理及补救措施③定期回访及维护。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①售后服务范围：每完全满足一个评审标准得1分，满分3分； ②故障处理及补救措施:每完全满足一个评审标准得1分，满分3分； ③定期回访及维护:每完全满足一个评审标准得1分，满分3分。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详见附件：投标产品相关证明材料.docx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