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3C410">
      <w:pPr>
        <w:spacing w:line="500" w:lineRule="exact"/>
        <w:jc w:val="center"/>
        <w:rPr>
          <w:rFonts w:hint="eastAsia" w:ascii="宋体" w:hAnsi="宋体" w:eastAsia="宋体" w:cs="宋体"/>
          <w:b/>
          <w:color w:val="0000FF"/>
          <w:sz w:val="36"/>
          <w:szCs w:val="36"/>
          <w:highlight w:val="none"/>
        </w:rPr>
      </w:pPr>
      <w:r>
        <w:rPr>
          <w:rFonts w:hint="eastAsia" w:ascii="宋体" w:hAnsi="宋体" w:eastAsia="宋体" w:cs="宋体"/>
          <w:b/>
          <w:color w:val="0000FF"/>
          <w:sz w:val="36"/>
          <w:szCs w:val="36"/>
          <w:highlight w:val="none"/>
        </w:rPr>
        <w:t>政府采购合同主要条款格式</w:t>
      </w:r>
    </w:p>
    <w:p w14:paraId="571FD375">
      <w:pPr>
        <w:pStyle w:val="7"/>
        <w:spacing w:line="360" w:lineRule="auto"/>
        <w:ind w:firstLine="480"/>
        <w:rPr>
          <w:rFonts w:hint="eastAsia"/>
          <w:sz w:val="24"/>
          <w:szCs w:val="32"/>
          <w:highlight w:val="none"/>
        </w:rPr>
      </w:pPr>
      <w:r>
        <w:rPr>
          <w:rFonts w:hint="eastAsia" w:ascii="宋体" w:hAnsi="宋体" w:eastAsia="宋体" w:cs="宋体"/>
          <w:b/>
          <w:bCs/>
          <w:highlight w:val="none"/>
        </w:rPr>
        <w:t>（注：本章节的采购合同仅供参考，可根据项目的实际情况增减条款和内容</w:t>
      </w:r>
      <w:r>
        <w:rPr>
          <w:rFonts w:hint="eastAsia" w:ascii="宋体" w:hAnsi="宋体" w:eastAsia="宋体" w:cs="宋体"/>
          <w:b/>
          <w:bCs/>
          <w:highlight w:val="none"/>
          <w:lang w:eastAsia="zh-CN"/>
        </w:rPr>
        <w:t>，</w:t>
      </w:r>
      <w:r>
        <w:rPr>
          <w:rFonts w:hint="eastAsia" w:ascii="宋体" w:hAnsi="宋体" w:eastAsia="宋体" w:cs="宋体"/>
          <w:b/>
          <w:bCs/>
          <w:highlight w:val="none"/>
        </w:rPr>
        <w:t>正式合同以甲乙方双签订的为准。）</w:t>
      </w:r>
      <w:bookmarkStart w:id="3" w:name="_GoBack"/>
      <w:bookmarkEnd w:id="3"/>
      <w:bookmarkStart w:id="0" w:name="_Toc31599_WPSOffice_Level2"/>
      <w:bookmarkStart w:id="1" w:name="_Toc19655_WPSOffice_Level2"/>
      <w:bookmarkStart w:id="2" w:name="_Toc15476_WPSOffice_Level2"/>
    </w:p>
    <w:p w14:paraId="6730CFEA">
      <w:pPr>
        <w:spacing w:line="360" w:lineRule="auto"/>
        <w:ind w:firstLine="480" w:firstLineChars="200"/>
        <w:rPr>
          <w:rFonts w:hint="eastAsia"/>
          <w:sz w:val="24"/>
          <w:szCs w:val="32"/>
          <w:highlight w:val="none"/>
        </w:rPr>
      </w:pPr>
      <w:r>
        <w:rPr>
          <w:rFonts w:hint="eastAsia"/>
          <w:sz w:val="24"/>
          <w:szCs w:val="32"/>
          <w:highlight w:val="none"/>
        </w:rPr>
        <w:t>采购人（以下简称甲方）：</w:t>
      </w:r>
    </w:p>
    <w:p w14:paraId="46BF8E67">
      <w:pPr>
        <w:spacing w:line="360" w:lineRule="auto"/>
        <w:ind w:firstLine="480" w:firstLineChars="200"/>
        <w:rPr>
          <w:rFonts w:hint="eastAsia"/>
          <w:sz w:val="24"/>
          <w:szCs w:val="32"/>
          <w:highlight w:val="none"/>
        </w:rPr>
      </w:pPr>
      <w:r>
        <w:rPr>
          <w:rFonts w:hint="eastAsia"/>
          <w:sz w:val="24"/>
          <w:szCs w:val="32"/>
          <w:highlight w:val="none"/>
        </w:rPr>
        <w:t>供应商（以下简称乙方）：</w:t>
      </w:r>
    </w:p>
    <w:p w14:paraId="5DBFA6C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根据《中华人民共和国民法典》、《中华人民共和国政府采购法》及其它有关法律、行政法规，为明确双方在施工过程中的权利、义务，经双方协商自愿签订本合同。</w:t>
      </w:r>
    </w:p>
    <w:p w14:paraId="0945C257">
      <w:pPr>
        <w:numPr>
          <w:ilvl w:val="0"/>
          <w:numId w:val="1"/>
        </w:numPr>
        <w:spacing w:line="360" w:lineRule="auto"/>
        <w:rPr>
          <w:rFonts w:hint="eastAsia"/>
          <w:sz w:val="24"/>
          <w:szCs w:val="24"/>
          <w:highlight w:val="none"/>
        </w:rPr>
      </w:pPr>
      <w:r>
        <w:rPr>
          <w:rFonts w:hint="eastAsia"/>
          <w:sz w:val="24"/>
          <w:szCs w:val="24"/>
          <w:highlight w:val="none"/>
        </w:rPr>
        <w:t>合同内容（标的、数量、质量等）:</w:t>
      </w:r>
    </w:p>
    <w:p w14:paraId="1BA766ED">
      <w:pPr>
        <w:numPr>
          <w:ilvl w:val="0"/>
          <w:numId w:val="1"/>
        </w:numPr>
        <w:spacing w:line="360" w:lineRule="auto"/>
        <w:rPr>
          <w:sz w:val="24"/>
          <w:szCs w:val="24"/>
          <w:highlight w:val="none"/>
        </w:rPr>
      </w:pPr>
      <w:r>
        <w:rPr>
          <w:rFonts w:hint="eastAsia"/>
          <w:sz w:val="24"/>
          <w:szCs w:val="24"/>
          <w:highlight w:val="none"/>
        </w:rPr>
        <w:t>合同价款</w:t>
      </w:r>
    </w:p>
    <w:p w14:paraId="14DDB15D">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合同单价：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59C7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0" w:type="dxa"/>
            <w:noWrap w:val="0"/>
            <w:vAlign w:val="top"/>
          </w:tcPr>
          <w:p w14:paraId="61853592">
            <w:pPr>
              <w:numPr>
                <w:ilvl w:val="0"/>
                <w:numId w:val="0"/>
              </w:numPr>
              <w:spacing w:line="360" w:lineRule="auto"/>
              <w:rPr>
                <w:sz w:val="24"/>
                <w:szCs w:val="24"/>
                <w:highlight w:val="none"/>
                <w:vertAlign w:val="baseline"/>
              </w:rPr>
            </w:pPr>
            <w:r>
              <w:rPr>
                <w:rFonts w:hint="eastAsia"/>
                <w:sz w:val="24"/>
                <w:szCs w:val="24"/>
                <w:highlight w:val="none"/>
              </w:rPr>
              <w:t>产品名称</w:t>
            </w:r>
          </w:p>
        </w:tc>
        <w:tc>
          <w:tcPr>
            <w:tcW w:w="1420" w:type="dxa"/>
            <w:noWrap w:val="0"/>
            <w:vAlign w:val="top"/>
          </w:tcPr>
          <w:p w14:paraId="36D942F8">
            <w:pPr>
              <w:numPr>
                <w:ilvl w:val="0"/>
                <w:numId w:val="0"/>
              </w:numPr>
              <w:spacing w:line="360" w:lineRule="auto"/>
              <w:rPr>
                <w:sz w:val="24"/>
                <w:szCs w:val="24"/>
                <w:highlight w:val="none"/>
                <w:vertAlign w:val="baseline"/>
              </w:rPr>
            </w:pPr>
            <w:r>
              <w:rPr>
                <w:rFonts w:hint="eastAsia"/>
                <w:sz w:val="24"/>
                <w:szCs w:val="24"/>
                <w:highlight w:val="none"/>
              </w:rPr>
              <w:t>规格</w:t>
            </w:r>
          </w:p>
        </w:tc>
        <w:tc>
          <w:tcPr>
            <w:tcW w:w="1420" w:type="dxa"/>
            <w:noWrap w:val="0"/>
            <w:vAlign w:val="top"/>
          </w:tcPr>
          <w:p w14:paraId="462D83F9">
            <w:pPr>
              <w:numPr>
                <w:ilvl w:val="0"/>
                <w:numId w:val="0"/>
              </w:numPr>
              <w:spacing w:line="360" w:lineRule="auto"/>
              <w:rPr>
                <w:sz w:val="24"/>
                <w:szCs w:val="24"/>
                <w:highlight w:val="none"/>
                <w:vertAlign w:val="baseline"/>
              </w:rPr>
            </w:pPr>
            <w:r>
              <w:rPr>
                <w:rFonts w:hint="eastAsia"/>
                <w:sz w:val="24"/>
                <w:szCs w:val="24"/>
                <w:highlight w:val="none"/>
              </w:rPr>
              <w:t xml:space="preserve"> 制造厂家</w:t>
            </w:r>
          </w:p>
        </w:tc>
        <w:tc>
          <w:tcPr>
            <w:tcW w:w="1420" w:type="dxa"/>
            <w:noWrap w:val="0"/>
            <w:vAlign w:val="top"/>
          </w:tcPr>
          <w:p w14:paraId="5BF2C35C">
            <w:pPr>
              <w:numPr>
                <w:ilvl w:val="0"/>
                <w:numId w:val="0"/>
              </w:numPr>
              <w:spacing w:line="360" w:lineRule="auto"/>
              <w:rPr>
                <w:sz w:val="24"/>
                <w:szCs w:val="24"/>
                <w:highlight w:val="none"/>
                <w:vertAlign w:val="baseline"/>
              </w:rPr>
            </w:pPr>
            <w:r>
              <w:rPr>
                <w:rFonts w:hint="eastAsia"/>
                <w:sz w:val="24"/>
                <w:szCs w:val="24"/>
                <w:highlight w:val="none"/>
              </w:rPr>
              <w:t>数量</w:t>
            </w:r>
          </w:p>
        </w:tc>
        <w:tc>
          <w:tcPr>
            <w:tcW w:w="1421" w:type="dxa"/>
            <w:noWrap w:val="0"/>
            <w:vAlign w:val="top"/>
          </w:tcPr>
          <w:p w14:paraId="13027FE6">
            <w:pPr>
              <w:numPr>
                <w:ilvl w:val="0"/>
                <w:numId w:val="0"/>
              </w:numPr>
              <w:spacing w:line="360" w:lineRule="auto"/>
              <w:rPr>
                <w:sz w:val="24"/>
                <w:szCs w:val="24"/>
                <w:highlight w:val="none"/>
                <w:vertAlign w:val="baseline"/>
              </w:rPr>
            </w:pPr>
            <w:r>
              <w:rPr>
                <w:rFonts w:hint="eastAsia"/>
                <w:sz w:val="24"/>
                <w:szCs w:val="24"/>
                <w:highlight w:val="none"/>
              </w:rPr>
              <w:t>单位</w:t>
            </w:r>
          </w:p>
        </w:tc>
        <w:tc>
          <w:tcPr>
            <w:tcW w:w="1421" w:type="dxa"/>
            <w:noWrap w:val="0"/>
            <w:vAlign w:val="top"/>
          </w:tcPr>
          <w:p w14:paraId="0829027F">
            <w:pPr>
              <w:numPr>
                <w:ilvl w:val="0"/>
                <w:numId w:val="0"/>
              </w:numPr>
              <w:spacing w:line="360" w:lineRule="auto"/>
              <w:rPr>
                <w:sz w:val="24"/>
                <w:szCs w:val="24"/>
                <w:highlight w:val="none"/>
                <w:vertAlign w:val="baseline"/>
              </w:rPr>
            </w:pPr>
            <w:r>
              <w:rPr>
                <w:rFonts w:hint="eastAsia"/>
                <w:sz w:val="24"/>
                <w:szCs w:val="24"/>
                <w:highlight w:val="none"/>
              </w:rPr>
              <w:t xml:space="preserve">  单价（元）</w:t>
            </w:r>
          </w:p>
        </w:tc>
      </w:tr>
      <w:tr w14:paraId="4EC8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14:paraId="341E2E04">
            <w:pPr>
              <w:numPr>
                <w:ilvl w:val="0"/>
                <w:numId w:val="0"/>
              </w:numPr>
              <w:spacing w:line="360" w:lineRule="auto"/>
              <w:rPr>
                <w:rFonts w:hint="eastAsia"/>
                <w:sz w:val="24"/>
                <w:szCs w:val="24"/>
                <w:highlight w:val="none"/>
              </w:rPr>
            </w:pPr>
          </w:p>
        </w:tc>
        <w:tc>
          <w:tcPr>
            <w:tcW w:w="1420" w:type="dxa"/>
            <w:noWrap w:val="0"/>
            <w:vAlign w:val="top"/>
          </w:tcPr>
          <w:p w14:paraId="0F03F498">
            <w:pPr>
              <w:numPr>
                <w:ilvl w:val="0"/>
                <w:numId w:val="0"/>
              </w:numPr>
              <w:spacing w:line="360" w:lineRule="auto"/>
              <w:rPr>
                <w:rFonts w:hint="eastAsia"/>
                <w:sz w:val="24"/>
                <w:szCs w:val="24"/>
                <w:highlight w:val="none"/>
              </w:rPr>
            </w:pPr>
          </w:p>
        </w:tc>
        <w:tc>
          <w:tcPr>
            <w:tcW w:w="1420" w:type="dxa"/>
            <w:noWrap w:val="0"/>
            <w:vAlign w:val="top"/>
          </w:tcPr>
          <w:p w14:paraId="5EEF4EC3">
            <w:pPr>
              <w:numPr>
                <w:ilvl w:val="0"/>
                <w:numId w:val="0"/>
              </w:numPr>
              <w:spacing w:line="360" w:lineRule="auto"/>
              <w:rPr>
                <w:rFonts w:hint="eastAsia"/>
                <w:sz w:val="24"/>
                <w:szCs w:val="24"/>
                <w:highlight w:val="none"/>
              </w:rPr>
            </w:pPr>
          </w:p>
        </w:tc>
        <w:tc>
          <w:tcPr>
            <w:tcW w:w="1420" w:type="dxa"/>
            <w:noWrap w:val="0"/>
            <w:vAlign w:val="top"/>
          </w:tcPr>
          <w:p w14:paraId="76F6978F">
            <w:pPr>
              <w:numPr>
                <w:ilvl w:val="0"/>
                <w:numId w:val="0"/>
              </w:numPr>
              <w:spacing w:line="360" w:lineRule="auto"/>
              <w:rPr>
                <w:rFonts w:hint="eastAsia"/>
                <w:sz w:val="24"/>
                <w:szCs w:val="24"/>
                <w:highlight w:val="none"/>
              </w:rPr>
            </w:pPr>
          </w:p>
        </w:tc>
        <w:tc>
          <w:tcPr>
            <w:tcW w:w="1421" w:type="dxa"/>
            <w:noWrap w:val="0"/>
            <w:vAlign w:val="top"/>
          </w:tcPr>
          <w:p w14:paraId="0227DE05">
            <w:pPr>
              <w:numPr>
                <w:ilvl w:val="0"/>
                <w:numId w:val="0"/>
              </w:numPr>
              <w:spacing w:line="360" w:lineRule="auto"/>
              <w:rPr>
                <w:rFonts w:hint="eastAsia"/>
                <w:sz w:val="24"/>
                <w:szCs w:val="24"/>
                <w:highlight w:val="none"/>
              </w:rPr>
            </w:pPr>
          </w:p>
        </w:tc>
        <w:tc>
          <w:tcPr>
            <w:tcW w:w="1421" w:type="dxa"/>
            <w:noWrap w:val="0"/>
            <w:vAlign w:val="top"/>
          </w:tcPr>
          <w:p w14:paraId="6E4610A0">
            <w:pPr>
              <w:numPr>
                <w:ilvl w:val="0"/>
                <w:numId w:val="0"/>
              </w:numPr>
              <w:spacing w:line="360" w:lineRule="auto"/>
              <w:rPr>
                <w:rFonts w:hint="eastAsia"/>
                <w:sz w:val="24"/>
                <w:szCs w:val="24"/>
                <w:highlight w:val="none"/>
              </w:rPr>
            </w:pPr>
          </w:p>
        </w:tc>
      </w:tr>
      <w:tr w14:paraId="7545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14:paraId="30D0DD7F">
            <w:pPr>
              <w:numPr>
                <w:ilvl w:val="0"/>
                <w:numId w:val="0"/>
              </w:numPr>
              <w:spacing w:line="360" w:lineRule="auto"/>
              <w:rPr>
                <w:rFonts w:hint="eastAsia"/>
                <w:sz w:val="24"/>
                <w:szCs w:val="24"/>
                <w:highlight w:val="none"/>
              </w:rPr>
            </w:pPr>
          </w:p>
        </w:tc>
        <w:tc>
          <w:tcPr>
            <w:tcW w:w="1420" w:type="dxa"/>
            <w:noWrap w:val="0"/>
            <w:vAlign w:val="top"/>
          </w:tcPr>
          <w:p w14:paraId="43068E69">
            <w:pPr>
              <w:numPr>
                <w:ilvl w:val="0"/>
                <w:numId w:val="0"/>
              </w:numPr>
              <w:spacing w:line="360" w:lineRule="auto"/>
              <w:rPr>
                <w:rFonts w:hint="eastAsia"/>
                <w:sz w:val="24"/>
                <w:szCs w:val="24"/>
                <w:highlight w:val="none"/>
              </w:rPr>
            </w:pPr>
          </w:p>
        </w:tc>
        <w:tc>
          <w:tcPr>
            <w:tcW w:w="1420" w:type="dxa"/>
            <w:noWrap w:val="0"/>
            <w:vAlign w:val="top"/>
          </w:tcPr>
          <w:p w14:paraId="6CF50B2E">
            <w:pPr>
              <w:numPr>
                <w:ilvl w:val="0"/>
                <w:numId w:val="0"/>
              </w:numPr>
              <w:spacing w:line="360" w:lineRule="auto"/>
              <w:rPr>
                <w:rFonts w:hint="eastAsia"/>
                <w:sz w:val="24"/>
                <w:szCs w:val="24"/>
                <w:highlight w:val="none"/>
              </w:rPr>
            </w:pPr>
          </w:p>
        </w:tc>
        <w:tc>
          <w:tcPr>
            <w:tcW w:w="1420" w:type="dxa"/>
            <w:noWrap w:val="0"/>
            <w:vAlign w:val="top"/>
          </w:tcPr>
          <w:p w14:paraId="3CEF9A02">
            <w:pPr>
              <w:numPr>
                <w:ilvl w:val="0"/>
                <w:numId w:val="0"/>
              </w:numPr>
              <w:spacing w:line="360" w:lineRule="auto"/>
              <w:rPr>
                <w:rFonts w:hint="eastAsia"/>
                <w:sz w:val="24"/>
                <w:szCs w:val="24"/>
                <w:highlight w:val="none"/>
              </w:rPr>
            </w:pPr>
          </w:p>
        </w:tc>
        <w:tc>
          <w:tcPr>
            <w:tcW w:w="1421" w:type="dxa"/>
            <w:noWrap w:val="0"/>
            <w:vAlign w:val="top"/>
          </w:tcPr>
          <w:p w14:paraId="1BBE7202">
            <w:pPr>
              <w:numPr>
                <w:ilvl w:val="0"/>
                <w:numId w:val="0"/>
              </w:numPr>
              <w:spacing w:line="360" w:lineRule="auto"/>
              <w:rPr>
                <w:rFonts w:hint="eastAsia"/>
                <w:sz w:val="24"/>
                <w:szCs w:val="24"/>
                <w:highlight w:val="none"/>
              </w:rPr>
            </w:pPr>
          </w:p>
        </w:tc>
        <w:tc>
          <w:tcPr>
            <w:tcW w:w="1421" w:type="dxa"/>
            <w:noWrap w:val="0"/>
            <w:vAlign w:val="top"/>
          </w:tcPr>
          <w:p w14:paraId="32CE5B26">
            <w:pPr>
              <w:numPr>
                <w:ilvl w:val="0"/>
                <w:numId w:val="0"/>
              </w:numPr>
              <w:spacing w:line="360" w:lineRule="auto"/>
              <w:rPr>
                <w:rFonts w:hint="eastAsia"/>
                <w:sz w:val="24"/>
                <w:szCs w:val="24"/>
                <w:highlight w:val="none"/>
              </w:rPr>
            </w:pPr>
          </w:p>
        </w:tc>
      </w:tr>
    </w:tbl>
    <w:p w14:paraId="4B96E521">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合同单价包括：产品供应费、运杂费、税费及其他相关所有费用。</w:t>
      </w:r>
    </w:p>
    <w:p w14:paraId="6C76D399">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合同单价一次包死，不受市场价变化的影响。</w:t>
      </w:r>
    </w:p>
    <w:p w14:paraId="426A7612">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合同结算</w:t>
      </w:r>
    </w:p>
    <w:p w14:paraId="332542A0">
      <w:pPr>
        <w:numPr>
          <w:ilvl w:val="0"/>
          <w:numId w:val="2"/>
        </w:numPr>
        <w:spacing w:line="360" w:lineRule="auto"/>
        <w:ind w:firstLine="480" w:firstLineChars="200"/>
        <w:rPr>
          <w:rFonts w:hint="eastAsia"/>
          <w:sz w:val="24"/>
          <w:szCs w:val="24"/>
          <w:highlight w:val="none"/>
        </w:rPr>
      </w:pPr>
      <w:r>
        <w:rPr>
          <w:rFonts w:hint="eastAsia"/>
          <w:sz w:val="24"/>
          <w:szCs w:val="24"/>
          <w:highlight w:val="none"/>
        </w:rPr>
        <w:t>资金支付条件及时间：</w:t>
      </w:r>
    </w:p>
    <w:p w14:paraId="5FDE50B4">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结算方式：银行转账。</w:t>
      </w:r>
    </w:p>
    <w:p w14:paraId="7E34492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结算单位：由甲方负责结算，乙方根据每批次的供货金额开具等额发票交甲方。</w:t>
      </w:r>
    </w:p>
    <w:p w14:paraId="6112D07F">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履行期限、地点:</w:t>
      </w:r>
    </w:p>
    <w:p w14:paraId="3753C3C1">
      <w:pPr>
        <w:numPr>
          <w:ilvl w:val="0"/>
          <w:numId w:val="0"/>
        </w:numPr>
        <w:spacing w:line="360" w:lineRule="auto"/>
        <w:ind w:leftChars="0" w:firstLine="482" w:firstLineChars="200"/>
        <w:rPr>
          <w:rFonts w:hint="eastAsia"/>
          <w:b/>
          <w:bCs/>
          <w:sz w:val="24"/>
          <w:szCs w:val="24"/>
          <w:highlight w:val="none"/>
        </w:rPr>
      </w:pPr>
      <w:r>
        <w:rPr>
          <w:rFonts w:hint="eastAsia"/>
          <w:b/>
          <w:bCs/>
          <w:sz w:val="24"/>
          <w:szCs w:val="24"/>
          <w:highlight w:val="none"/>
        </w:rPr>
        <w:t>履行期限：</w:t>
      </w:r>
      <w:r>
        <w:rPr>
          <w:rFonts w:hint="eastAsia"/>
          <w:b/>
          <w:bCs/>
          <w:sz w:val="24"/>
          <w:szCs w:val="24"/>
          <w:highlight w:val="none"/>
          <w:lang w:val="en-US" w:eastAsia="zh-CN"/>
        </w:rPr>
        <w:t>合同签订后60日内，完成供货、安装调试及验收工作， 达到交付使用标准。</w:t>
      </w:r>
    </w:p>
    <w:p w14:paraId="240DFD0A">
      <w:pPr>
        <w:numPr>
          <w:ilvl w:val="0"/>
          <w:numId w:val="0"/>
        </w:numPr>
        <w:spacing w:line="360" w:lineRule="auto"/>
        <w:ind w:leftChars="0" w:firstLine="480" w:firstLineChars="200"/>
        <w:rPr>
          <w:rFonts w:hint="default" w:eastAsia="宋体"/>
          <w:sz w:val="24"/>
          <w:szCs w:val="24"/>
          <w:highlight w:val="none"/>
          <w:lang w:val="en-US" w:eastAsia="zh-CN"/>
        </w:rPr>
      </w:pPr>
      <w:r>
        <w:rPr>
          <w:rFonts w:hint="eastAsia"/>
          <w:sz w:val="24"/>
          <w:szCs w:val="24"/>
          <w:highlight w:val="none"/>
        </w:rPr>
        <w:t>履行地点：</w:t>
      </w:r>
      <w:r>
        <w:rPr>
          <w:rFonts w:hint="eastAsia"/>
          <w:sz w:val="24"/>
          <w:szCs w:val="24"/>
          <w:highlight w:val="none"/>
          <w:lang w:val="en-US" w:eastAsia="zh-CN"/>
        </w:rPr>
        <w:t>采购人指定地点</w:t>
      </w:r>
    </w:p>
    <w:p w14:paraId="6007DDF6">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运输要求</w:t>
      </w:r>
    </w:p>
    <w:p w14:paraId="08614F2A">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乙方根据产品特性，自行选择运输及包装方式，承担一切运输费用，包括从生产厂到采购人指定交货地点所需的装卸、运输（含保险费）安装调试及其他一切费用。</w:t>
      </w:r>
    </w:p>
    <w:p w14:paraId="63189E43">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由乙方负责运输、装卸。货物到现场后，与甲方共同对其外观进行验收。乙方应对所供合同货物进行妥善包装，使之能承受所采用的运输条件，确保货物不受任何损伤或损坏。</w:t>
      </w:r>
    </w:p>
    <w:p w14:paraId="4EEB7072">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验收按国家和行业制定的相应的标准执行。</w:t>
      </w:r>
    </w:p>
    <w:p w14:paraId="0A14534E">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甲方应在产品到货且接到乙方书面随货同行单后当日内验收；甲方设备科与使用科室及乙方共同验收。对试剂进行数量、质量、送达温度等验收，验收合格者，甲方验收人在随货同行单上签字确认。</w:t>
      </w:r>
    </w:p>
    <w:p w14:paraId="3A77A780">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甲方因使用、保管、保养不善等造成产品质量下降的，不得提出异议。</w:t>
      </w:r>
    </w:p>
    <w:p w14:paraId="0C8D9DD1">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乙方在接到甲方书面异议之日起，应在当日内予以回复，否则，即视为默认甲方提出的异议和处理意见。</w:t>
      </w:r>
    </w:p>
    <w:p w14:paraId="654FAD2F">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验收不合格的，乙方负责更换为合格产品，因此产生的费用和给甲方造成的损失均由乙方负责。</w:t>
      </w:r>
    </w:p>
    <w:p w14:paraId="0A4A3642">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5、</w:t>
      </w:r>
      <w:r>
        <w:rPr>
          <w:rFonts w:hint="eastAsia"/>
          <w:sz w:val="24"/>
          <w:szCs w:val="24"/>
          <w:highlight w:val="none"/>
        </w:rPr>
        <w:t>乙方出售产品的毁损灭失风险，在甲方验收合格并接收前，由乙方承担。</w:t>
      </w:r>
    </w:p>
    <w:p w14:paraId="698CC87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6、</w:t>
      </w:r>
      <w:r>
        <w:rPr>
          <w:rFonts w:hint="eastAsia"/>
          <w:sz w:val="24"/>
          <w:szCs w:val="24"/>
          <w:highlight w:val="none"/>
        </w:rPr>
        <w:t>乙方向甲方提交货物实施过程中的所有资料，以便甲方日后管理和维护。</w:t>
      </w:r>
    </w:p>
    <w:p w14:paraId="33B50481">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售后服务</w:t>
      </w:r>
    </w:p>
    <w:p w14:paraId="322CF286">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乙方不仅应随耗材向甲方提供使用说明书、质量标准或甲方所要求的相关资料，同时乙方须保证甲方在使用过程中的技术支持及售后服务。</w:t>
      </w:r>
    </w:p>
    <w:p w14:paraId="54D63472">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符合出厂要求、包装完整无破损，包装标识清楚，进口试剂或耗材应具有原产国标识及中文标识且标识必须清楚，配送产品必须为全新未拆封产品且渠道合法。</w:t>
      </w:r>
    </w:p>
    <w:p w14:paraId="6E9542FE">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质量保证</w:t>
      </w:r>
    </w:p>
    <w:p w14:paraId="1BD14830">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在产品质保期内，若因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0758230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乙方配送的耗材日期距离其出厂日期不得超过该耗材有效期的三分之一时间段。如过该耗材有效期超过三分之一时间段，甲方拒收或选择退货，由此造成的损失由乙方承担。</w:t>
      </w:r>
    </w:p>
    <w:p w14:paraId="0D7AB354">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乙方所提供的医用卫生耗材在有效期内出现质量问题，甲方有权利要求乙方退货或换货，退换货时间不超过 72 小时。</w:t>
      </w:r>
    </w:p>
    <w:p w14:paraId="26777EDE">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乙方承诺所提供的货品必须是符合药监部门质量标准的合格产品，进货渠道正常，并具备正规的产品注册证登记表、生产许可证，配送耗材时须提供配送批次产品的合格证明资料、检测报告、卫生安全评价报告（消毒产品提供）等，满足</w:t>
      </w:r>
      <w:r>
        <w:rPr>
          <w:rFonts w:hint="eastAsia"/>
          <w:sz w:val="24"/>
          <w:szCs w:val="24"/>
          <w:highlight w:val="none"/>
          <w:lang w:eastAsia="zh-CN"/>
        </w:rPr>
        <w:t>谈判文件</w:t>
      </w:r>
      <w:r>
        <w:rPr>
          <w:rFonts w:hint="eastAsia"/>
          <w:sz w:val="24"/>
          <w:szCs w:val="24"/>
          <w:highlight w:val="none"/>
        </w:rPr>
        <w:t>要求对待。</w:t>
      </w:r>
    </w:p>
    <w:p w14:paraId="64CCEECC">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保密</w:t>
      </w:r>
    </w:p>
    <w:p w14:paraId="6640985B">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对工作中了解到的甲方的技术、机密及不为公众知悉的信息等进行严格保密，不得向他人泄漏。本合同的解除或终止不免除乙方应承担的保密义务。</w:t>
      </w:r>
    </w:p>
    <w:p w14:paraId="5E2ED099">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知识产权</w:t>
      </w:r>
    </w:p>
    <w:p w14:paraId="64C449DB">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乙方应对所供产品具有或已取得合法知识产权，乙方应保证所供产品及服务不会出现因第三方提出侵犯其专利权、商标权或其它知识产权而引发法律或经济纠纷。</w:t>
      </w:r>
    </w:p>
    <w:p w14:paraId="29482899">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甲方的权利和义务</w:t>
      </w:r>
    </w:p>
    <w:p w14:paraId="47705B09">
      <w:pPr>
        <w:numPr>
          <w:ilvl w:val="0"/>
          <w:numId w:val="3"/>
        </w:numPr>
        <w:spacing w:line="360" w:lineRule="auto"/>
        <w:ind w:leftChars="0" w:firstLine="480" w:firstLineChars="200"/>
        <w:rPr>
          <w:rFonts w:hint="eastAsia"/>
          <w:sz w:val="24"/>
          <w:szCs w:val="24"/>
          <w:highlight w:val="none"/>
        </w:rPr>
      </w:pPr>
      <w:r>
        <w:rPr>
          <w:rFonts w:hint="eastAsia"/>
          <w:sz w:val="24"/>
          <w:szCs w:val="24"/>
          <w:highlight w:val="none"/>
        </w:rPr>
        <w:t>甲方有权对合同规定范围内乙方的货物、服务行为进行监督和检查，拥有监管权。有权定期核对乙方提供货物、服务所配备的数量。对甲方认为不合理的部分有权下达整改通知书，并要求乙方限期整改。</w:t>
      </w:r>
    </w:p>
    <w:p w14:paraId="6650C77C">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甲方有权依据双方签订的考评办法对乙方提供的货物、服务、工程进行定期考评。当考评结果未达到标准时，有权依据考评办法约定的数额扣除。</w:t>
      </w:r>
    </w:p>
    <w:p w14:paraId="4E3941CD">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负责检查监督乙方管理工作的实施及制度的执行情况。</w:t>
      </w:r>
    </w:p>
    <w:p w14:paraId="56FD4196">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根据本合同规定，按时向乙方支付应付费用。</w:t>
      </w:r>
    </w:p>
    <w:p w14:paraId="79DC615A">
      <w:pPr>
        <w:numPr>
          <w:ilvl w:val="0"/>
          <w:numId w:val="3"/>
        </w:numPr>
        <w:spacing w:line="360" w:lineRule="auto"/>
        <w:ind w:left="0" w:leftChars="0" w:firstLine="480" w:firstLineChars="200"/>
        <w:rPr>
          <w:sz w:val="24"/>
          <w:szCs w:val="24"/>
          <w:highlight w:val="none"/>
        </w:rPr>
      </w:pPr>
      <w:r>
        <w:rPr>
          <w:rFonts w:hint="eastAsia"/>
          <w:sz w:val="24"/>
          <w:szCs w:val="24"/>
          <w:highlight w:val="none"/>
        </w:rPr>
        <w:t>国家法律、法规所规定由甲方承担的其它责任。</w:t>
      </w:r>
    </w:p>
    <w:p w14:paraId="009B5595">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乙方的权利和义务</w:t>
      </w:r>
    </w:p>
    <w:p w14:paraId="771D4BA6">
      <w:pPr>
        <w:numPr>
          <w:ilvl w:val="0"/>
          <w:numId w:val="4"/>
        </w:numPr>
        <w:spacing w:line="360" w:lineRule="auto"/>
        <w:ind w:leftChars="0" w:firstLine="480" w:firstLineChars="200"/>
        <w:rPr>
          <w:rFonts w:hint="eastAsia"/>
          <w:sz w:val="24"/>
          <w:szCs w:val="24"/>
          <w:highlight w:val="none"/>
        </w:rPr>
      </w:pPr>
      <w:r>
        <w:rPr>
          <w:rFonts w:hint="eastAsia"/>
          <w:sz w:val="24"/>
          <w:szCs w:val="24"/>
          <w:highlight w:val="none"/>
        </w:rPr>
        <w:t>对本合同规定的委托范围内的项目享有管理权及服务义务。</w:t>
      </w:r>
    </w:p>
    <w:p w14:paraId="49B33488">
      <w:pPr>
        <w:numPr>
          <w:ilvl w:val="0"/>
          <w:numId w:val="4"/>
        </w:numPr>
        <w:spacing w:line="360" w:lineRule="auto"/>
        <w:ind w:leftChars="0" w:firstLine="480" w:firstLineChars="200"/>
        <w:rPr>
          <w:sz w:val="24"/>
          <w:szCs w:val="24"/>
          <w:highlight w:val="none"/>
        </w:rPr>
      </w:pPr>
      <w:r>
        <w:rPr>
          <w:rFonts w:hint="eastAsia"/>
          <w:sz w:val="24"/>
          <w:szCs w:val="24"/>
          <w:highlight w:val="none"/>
        </w:rPr>
        <w:t>根据本合同的规定向甲方收取相关服务费用，并有权在本项目管理范围内管理及合理使用。</w:t>
      </w:r>
    </w:p>
    <w:p w14:paraId="1BA3D5FD">
      <w:pPr>
        <w:numPr>
          <w:ilvl w:val="0"/>
          <w:numId w:val="4"/>
        </w:numPr>
        <w:spacing w:line="360" w:lineRule="auto"/>
        <w:ind w:leftChars="0" w:firstLine="480" w:firstLineChars="200"/>
        <w:rPr>
          <w:sz w:val="24"/>
          <w:szCs w:val="24"/>
          <w:highlight w:val="none"/>
        </w:rPr>
      </w:pPr>
      <w:r>
        <w:rPr>
          <w:rFonts w:hint="eastAsia"/>
          <w:sz w:val="24"/>
          <w:szCs w:val="24"/>
          <w:highlight w:val="none"/>
        </w:rPr>
        <w:t>及时向甲方通告本项目执行范围内有关的重大事项，及时配合处理投诉。</w:t>
      </w:r>
    </w:p>
    <w:p w14:paraId="313E3528">
      <w:pPr>
        <w:numPr>
          <w:ilvl w:val="0"/>
          <w:numId w:val="4"/>
        </w:numPr>
        <w:spacing w:line="360" w:lineRule="auto"/>
        <w:ind w:leftChars="0" w:firstLine="480" w:firstLineChars="200"/>
        <w:rPr>
          <w:sz w:val="24"/>
          <w:szCs w:val="24"/>
          <w:highlight w:val="none"/>
        </w:rPr>
      </w:pPr>
      <w:r>
        <w:rPr>
          <w:rFonts w:hint="eastAsia"/>
          <w:sz w:val="24"/>
          <w:szCs w:val="24"/>
          <w:highlight w:val="none"/>
        </w:rPr>
        <w:t>接受项目行业管理部门及政府有关部门的指导，接受甲方的监督。</w:t>
      </w:r>
    </w:p>
    <w:p w14:paraId="10BBF01C">
      <w:pPr>
        <w:numPr>
          <w:ilvl w:val="0"/>
          <w:numId w:val="4"/>
        </w:numPr>
        <w:spacing w:line="360" w:lineRule="auto"/>
        <w:ind w:leftChars="0" w:firstLine="480" w:firstLineChars="200"/>
        <w:rPr>
          <w:sz w:val="24"/>
          <w:szCs w:val="24"/>
          <w:highlight w:val="none"/>
        </w:rPr>
      </w:pPr>
      <w:r>
        <w:rPr>
          <w:rFonts w:hint="eastAsia"/>
          <w:sz w:val="24"/>
          <w:szCs w:val="24"/>
          <w:highlight w:val="none"/>
        </w:rPr>
        <w:t>国家法律、法规所规定由乙方承担的其它责任。</w:t>
      </w:r>
    </w:p>
    <w:p w14:paraId="5C5FCD36">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不可抗力事件处理</w:t>
      </w:r>
    </w:p>
    <w:p w14:paraId="41E2E1AD">
      <w:pPr>
        <w:numPr>
          <w:ilvl w:val="0"/>
          <w:numId w:val="5"/>
        </w:numPr>
        <w:spacing w:line="360" w:lineRule="auto"/>
        <w:ind w:leftChars="0" w:firstLine="480" w:firstLineChars="200"/>
        <w:rPr>
          <w:rFonts w:hint="eastAsia"/>
          <w:sz w:val="24"/>
          <w:szCs w:val="24"/>
          <w:highlight w:val="none"/>
        </w:rPr>
      </w:pPr>
      <w:r>
        <w:rPr>
          <w:rFonts w:hint="eastAsia"/>
          <w:sz w:val="24"/>
          <w:szCs w:val="24"/>
          <w:highlight w:val="none"/>
        </w:rPr>
        <w:t>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w:t>
      </w:r>
    </w:p>
    <w:p w14:paraId="26DBC5DA">
      <w:pPr>
        <w:numPr>
          <w:ilvl w:val="0"/>
          <w:numId w:val="5"/>
        </w:numPr>
        <w:spacing w:line="360" w:lineRule="auto"/>
        <w:ind w:leftChars="0" w:firstLine="480" w:firstLineChars="200"/>
        <w:rPr>
          <w:sz w:val="24"/>
          <w:szCs w:val="24"/>
          <w:highlight w:val="none"/>
        </w:rPr>
      </w:pPr>
      <w:r>
        <w:rPr>
          <w:rFonts w:hint="eastAsia"/>
          <w:sz w:val="24"/>
          <w:szCs w:val="24"/>
          <w:highlight w:val="none"/>
        </w:rPr>
        <w:t>本合同中的不可抗力指不能预见、不能避免并不能克服的客观情况。包括但不限于：自然灾害如地震、台风、洪水、火灾；政府行为、法律规定或其适用的变化或者其他任何无法预见、避免或者控制的事件。</w:t>
      </w:r>
    </w:p>
    <w:p w14:paraId="4575B627">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违约责任</w:t>
      </w:r>
    </w:p>
    <w:p w14:paraId="2B457004">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乙方应按照合同规定的期限完成供货及安装、调试、验收，若不能按期完成，情节严重的采购人有权解除合同，同时乙方应承担不低于合同价款 30%的违约金，对采购人造成其他损失的应一并赔偿。</w:t>
      </w:r>
    </w:p>
    <w:p w14:paraId="745B2D8D">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双方中任何一方违反本合同保密条款的，应当向对方支付不低于合同价款10%违约金，该违约金不足以弥补对方损失的，还应承担赔偿责任。</w:t>
      </w:r>
    </w:p>
    <w:p w14:paraId="251390C4">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sz w:val="24"/>
          <w:szCs w:val="24"/>
          <w:highlight w:val="none"/>
          <w:lang w:val="en-US" w:eastAsia="zh-CN"/>
        </w:rPr>
        <w:t>3、</w:t>
      </w:r>
      <w:r>
        <w:rPr>
          <w:rFonts w:hint="eastAsia" w:ascii="Times New Roman" w:hAnsi="Times New Roman" w:eastAsia="宋体" w:cs="Times New Roman"/>
          <w:b w:val="0"/>
          <w:kern w:val="2"/>
          <w:sz w:val="24"/>
          <w:szCs w:val="24"/>
          <w:highlight w:val="none"/>
          <w:lang w:val="en-US" w:eastAsia="zh-CN" w:bidi="ar-SA"/>
        </w:rPr>
        <w:t>乙方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乙方承担全部责任，乙方还应向采购人承担合同总价款1%的违约金，违约金不足以弥补给采购人造成的损失的，供应商还应当承担补足责任。</w:t>
      </w:r>
    </w:p>
    <w:p w14:paraId="2EFA99CC">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cs="Times New Roman"/>
          <w:b w:val="0"/>
          <w:kern w:val="2"/>
          <w:sz w:val="24"/>
          <w:szCs w:val="24"/>
          <w:highlight w:val="none"/>
          <w:lang w:val="en-US" w:eastAsia="zh-CN" w:bidi="ar-SA"/>
        </w:rPr>
        <w:t>4、</w:t>
      </w:r>
      <w:r>
        <w:rPr>
          <w:rFonts w:hint="eastAsia" w:ascii="Times New Roman" w:hAnsi="Times New Roman" w:eastAsia="宋体" w:cs="Times New Roman"/>
          <w:b w:val="0"/>
          <w:kern w:val="2"/>
          <w:sz w:val="24"/>
          <w:szCs w:val="24"/>
          <w:highlight w:val="none"/>
          <w:lang w:val="en-US" w:eastAsia="zh-CN" w:bidi="ar-SA"/>
        </w:rPr>
        <w:t>合同成立后，在任何一方无实质违约的情况下，未经相对方书面允许，任何一方不得单方撤销、中止、终止履行合同。</w:t>
      </w:r>
    </w:p>
    <w:p w14:paraId="444960A8">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cs="Times New Roman"/>
          <w:b w:val="0"/>
          <w:kern w:val="2"/>
          <w:sz w:val="24"/>
          <w:szCs w:val="24"/>
          <w:highlight w:val="none"/>
          <w:lang w:val="en-US" w:eastAsia="zh-CN" w:bidi="ar-SA"/>
        </w:rPr>
        <w:t>5、</w:t>
      </w:r>
      <w:r>
        <w:rPr>
          <w:rFonts w:hint="eastAsia" w:ascii="Times New Roman" w:hAnsi="Times New Roman" w:eastAsia="宋体" w:cs="Times New Roman"/>
          <w:b w:val="0"/>
          <w:kern w:val="2"/>
          <w:sz w:val="24"/>
          <w:szCs w:val="24"/>
          <w:highlight w:val="none"/>
          <w:lang w:val="en-US" w:eastAsia="zh-CN" w:bidi="ar-SA"/>
        </w:rPr>
        <w:t>合同争议的解决</w:t>
      </w:r>
    </w:p>
    <w:p w14:paraId="27C78FD8">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合同执行中发生争议的，当事人双方应协商解决。协商达不成一致时，可向当地行政仲裁机关申请仲裁或者向人民法院提请诉讼。</w:t>
      </w:r>
    </w:p>
    <w:p w14:paraId="6E3CBB00">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合同生效及其它</w:t>
      </w:r>
    </w:p>
    <w:p w14:paraId="31150F32">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合同未尽事宜、由甲、乙双方协商，作为合同补充，与原合同具有同等法律效力。</w:t>
      </w:r>
    </w:p>
    <w:p w14:paraId="707C68CF">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本合同一式</w:t>
      </w:r>
      <w:r>
        <w:rPr>
          <w:rFonts w:hint="eastAsia" w:ascii="Times New Roman" w:hAnsi="Times New Roman" w:eastAsia="宋体" w:cs="Times New Roman"/>
          <w:b w:val="0"/>
          <w:kern w:val="2"/>
          <w:sz w:val="24"/>
          <w:szCs w:val="24"/>
          <w:highlight w:val="none"/>
          <w:u w:val="single"/>
          <w:lang w:val="en-US" w:eastAsia="zh-CN" w:bidi="ar-SA"/>
        </w:rPr>
        <w:t xml:space="preserve">   </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份，甲方执</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w:t>
      </w:r>
      <w:r>
        <w:rPr>
          <w:rFonts w:hint="eastAsia" w:cs="Times New Roman"/>
          <w:b w:val="0"/>
          <w:kern w:val="2"/>
          <w:sz w:val="24"/>
          <w:szCs w:val="24"/>
          <w:highlight w:val="none"/>
          <w:lang w:val="en-US" w:eastAsia="zh-CN" w:bidi="ar-SA"/>
        </w:rPr>
        <w:t>，</w:t>
      </w:r>
      <w:r>
        <w:rPr>
          <w:rFonts w:hint="eastAsia" w:ascii="Times New Roman" w:hAnsi="Times New Roman" w:eastAsia="宋体" w:cs="Times New Roman"/>
          <w:b w:val="0"/>
          <w:kern w:val="2"/>
          <w:sz w:val="24"/>
          <w:szCs w:val="24"/>
          <w:highlight w:val="none"/>
          <w:lang w:val="en-US" w:eastAsia="zh-CN" w:bidi="ar-SA"/>
        </w:rPr>
        <w:t>乙方执</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份，均以中文书写，在双方代表签字盖章后生效。</w:t>
      </w:r>
    </w:p>
    <w:p w14:paraId="647DC820">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本合同自双方签字盖章之日起生效。</w:t>
      </w:r>
    </w:p>
    <w:bookmarkEnd w:id="0"/>
    <w:bookmarkEnd w:id="1"/>
    <w:bookmarkEnd w:id="2"/>
    <w:tbl>
      <w:tblPr>
        <w:tblStyle w:val="4"/>
        <w:tblW w:w="8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3714"/>
      </w:tblGrid>
      <w:tr w14:paraId="60B4C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77847374">
            <w:pPr>
              <w:pStyle w:val="2"/>
              <w:numPr>
                <w:ilvl w:val="0"/>
                <w:numId w:val="0"/>
              </w:numPr>
              <w:bidi w:val="0"/>
              <w:jc w:val="both"/>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甲  方</w:t>
            </w:r>
          </w:p>
        </w:tc>
        <w:tc>
          <w:tcPr>
            <w:tcW w:w="3714" w:type="dxa"/>
            <w:noWrap w:val="0"/>
            <w:vAlign w:val="top"/>
          </w:tcPr>
          <w:p w14:paraId="1D1B066D">
            <w:pPr>
              <w:pStyle w:val="2"/>
              <w:numPr>
                <w:ilvl w:val="0"/>
                <w:numId w:val="0"/>
              </w:numPr>
              <w:bidi w:val="0"/>
              <w:jc w:val="both"/>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乙  方</w:t>
            </w:r>
          </w:p>
        </w:tc>
      </w:tr>
      <w:tr w14:paraId="0A0D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428" w:type="dxa"/>
            <w:noWrap w:val="0"/>
            <w:vAlign w:val="center"/>
          </w:tcPr>
          <w:p w14:paraId="77037FF3">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（盖章）</w:t>
            </w:r>
          </w:p>
        </w:tc>
        <w:tc>
          <w:tcPr>
            <w:tcW w:w="3714" w:type="dxa"/>
            <w:noWrap w:val="0"/>
            <w:vAlign w:val="center"/>
          </w:tcPr>
          <w:p w14:paraId="7243EEF7">
            <w:pPr>
              <w:spacing w:line="360" w:lineRule="exact"/>
              <w:jc w:val="both"/>
              <w:rPr>
                <w:rFonts w:hint="eastAsia" w:ascii="宋体" w:hAnsi="宋体" w:eastAsia="宋体" w:cs="宋体"/>
                <w:sz w:val="24"/>
                <w:highlight w:val="none"/>
              </w:rPr>
            </w:pPr>
            <w:r>
              <w:rPr>
                <w:rFonts w:hint="eastAsia" w:ascii="宋体" w:hAnsi="宋体" w:eastAsia="宋体" w:cs="宋体"/>
                <w:sz w:val="24"/>
                <w:highlight w:val="none"/>
              </w:rPr>
              <w:t>中标供应商全称（盖章）</w:t>
            </w:r>
          </w:p>
        </w:tc>
      </w:tr>
      <w:tr w14:paraId="2E75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4183265">
            <w:pPr>
              <w:spacing w:line="360" w:lineRule="exact"/>
              <w:rPr>
                <w:rFonts w:hint="eastAsia" w:ascii="宋体" w:hAnsi="宋体" w:eastAsia="宋体" w:cs="宋体"/>
                <w:sz w:val="24"/>
                <w:highlight w:val="none"/>
              </w:rPr>
            </w:pPr>
            <w:r>
              <w:rPr>
                <w:rFonts w:hint="eastAsia" w:ascii="宋体" w:hAnsi="宋体" w:eastAsia="宋体" w:cs="宋体"/>
                <w:sz w:val="24"/>
                <w:highlight w:val="none"/>
              </w:rPr>
              <w:t xml:space="preserve">地址： </w:t>
            </w:r>
          </w:p>
        </w:tc>
        <w:tc>
          <w:tcPr>
            <w:tcW w:w="3714" w:type="dxa"/>
            <w:noWrap w:val="0"/>
            <w:vAlign w:val="top"/>
          </w:tcPr>
          <w:p w14:paraId="2628CE25">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地址：</w:t>
            </w:r>
          </w:p>
        </w:tc>
      </w:tr>
      <w:tr w14:paraId="2CED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C2B2A2E">
            <w:pPr>
              <w:spacing w:line="360" w:lineRule="exact"/>
              <w:rPr>
                <w:rFonts w:hint="eastAsia" w:ascii="宋体" w:hAnsi="宋体" w:eastAsia="宋体" w:cs="宋体"/>
                <w:sz w:val="24"/>
                <w:highlight w:val="none"/>
              </w:rPr>
            </w:pPr>
            <w:r>
              <w:rPr>
                <w:rFonts w:hint="eastAsia" w:ascii="宋体" w:hAnsi="宋体" w:eastAsia="宋体" w:cs="宋体"/>
                <w:sz w:val="24"/>
                <w:highlight w:val="none"/>
              </w:rPr>
              <w:t>邮编：</w:t>
            </w:r>
          </w:p>
        </w:tc>
        <w:tc>
          <w:tcPr>
            <w:tcW w:w="3714" w:type="dxa"/>
            <w:noWrap w:val="0"/>
            <w:vAlign w:val="top"/>
          </w:tcPr>
          <w:p w14:paraId="724692E0">
            <w:pPr>
              <w:spacing w:line="360" w:lineRule="exact"/>
              <w:rPr>
                <w:rFonts w:hint="eastAsia" w:ascii="宋体" w:hAnsi="宋体" w:eastAsia="宋体" w:cs="宋体"/>
                <w:sz w:val="24"/>
                <w:highlight w:val="none"/>
              </w:rPr>
            </w:pPr>
            <w:r>
              <w:rPr>
                <w:rFonts w:hint="eastAsia" w:ascii="宋体" w:hAnsi="宋体" w:eastAsia="宋体" w:cs="宋体"/>
                <w:sz w:val="24"/>
                <w:highlight w:val="none"/>
              </w:rPr>
              <w:t>邮编：</w:t>
            </w:r>
          </w:p>
        </w:tc>
      </w:tr>
      <w:tr w14:paraId="148A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59DB2D17">
            <w:pPr>
              <w:spacing w:line="360" w:lineRule="exact"/>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p>
        </w:tc>
        <w:tc>
          <w:tcPr>
            <w:tcW w:w="3714" w:type="dxa"/>
            <w:noWrap w:val="0"/>
            <w:vAlign w:val="top"/>
          </w:tcPr>
          <w:p w14:paraId="4D866968">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法定代表人：</w:t>
            </w:r>
          </w:p>
        </w:tc>
      </w:tr>
      <w:tr w14:paraId="2B97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7A0B5AA">
            <w:pPr>
              <w:spacing w:line="360" w:lineRule="exact"/>
              <w:rPr>
                <w:rFonts w:hint="eastAsia" w:ascii="宋体" w:hAnsi="宋体" w:eastAsia="宋体" w:cs="宋体"/>
                <w:sz w:val="24"/>
                <w:highlight w:val="none"/>
              </w:rPr>
            </w:pPr>
            <w:r>
              <w:rPr>
                <w:rFonts w:hint="eastAsia" w:ascii="宋体" w:hAnsi="宋体" w:eastAsia="宋体" w:cs="宋体"/>
                <w:sz w:val="24"/>
                <w:highlight w:val="none"/>
              </w:rPr>
              <w:t>被授权代表：（签字）</w:t>
            </w:r>
          </w:p>
        </w:tc>
        <w:tc>
          <w:tcPr>
            <w:tcW w:w="3714" w:type="dxa"/>
            <w:noWrap w:val="0"/>
            <w:vAlign w:val="top"/>
          </w:tcPr>
          <w:p w14:paraId="4BCBD0A0">
            <w:pPr>
              <w:spacing w:line="360" w:lineRule="exact"/>
              <w:rPr>
                <w:rFonts w:hint="eastAsia" w:ascii="宋体" w:hAnsi="宋体" w:eastAsia="宋体" w:cs="宋体"/>
                <w:sz w:val="24"/>
                <w:highlight w:val="none"/>
              </w:rPr>
            </w:pPr>
            <w:r>
              <w:rPr>
                <w:rFonts w:hint="eastAsia" w:ascii="宋体" w:hAnsi="宋体" w:eastAsia="宋体" w:cs="宋体"/>
                <w:sz w:val="24"/>
                <w:highlight w:val="none"/>
              </w:rPr>
              <w:t>被授权代表：（签字）</w:t>
            </w:r>
          </w:p>
        </w:tc>
      </w:tr>
      <w:tr w14:paraId="27BC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26D5C4DC">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电话：</w:t>
            </w:r>
          </w:p>
        </w:tc>
        <w:tc>
          <w:tcPr>
            <w:tcW w:w="3714" w:type="dxa"/>
            <w:noWrap w:val="0"/>
            <w:vAlign w:val="top"/>
          </w:tcPr>
          <w:p w14:paraId="20BDDF07">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电话：</w:t>
            </w:r>
          </w:p>
        </w:tc>
      </w:tr>
      <w:tr w14:paraId="70F9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2FA499AF">
            <w:pPr>
              <w:spacing w:line="360" w:lineRule="exact"/>
              <w:rPr>
                <w:rFonts w:hint="eastAsia" w:ascii="宋体" w:hAnsi="宋体" w:eastAsia="宋体" w:cs="宋体"/>
                <w:sz w:val="24"/>
                <w:highlight w:val="none"/>
              </w:rPr>
            </w:pPr>
            <w:r>
              <w:rPr>
                <w:rFonts w:hint="eastAsia" w:ascii="宋体" w:hAnsi="宋体" w:eastAsia="宋体" w:cs="宋体"/>
                <w:sz w:val="24"/>
                <w:highlight w:val="none"/>
              </w:rPr>
              <w:t>传真：</w:t>
            </w:r>
          </w:p>
        </w:tc>
        <w:tc>
          <w:tcPr>
            <w:tcW w:w="3714" w:type="dxa"/>
            <w:noWrap w:val="0"/>
            <w:vAlign w:val="top"/>
          </w:tcPr>
          <w:p w14:paraId="13A8C2CC">
            <w:pPr>
              <w:spacing w:line="360" w:lineRule="exact"/>
              <w:rPr>
                <w:rFonts w:hint="eastAsia" w:ascii="宋体" w:hAnsi="宋体" w:eastAsia="宋体" w:cs="宋体"/>
                <w:sz w:val="24"/>
                <w:highlight w:val="none"/>
              </w:rPr>
            </w:pPr>
            <w:r>
              <w:rPr>
                <w:rFonts w:hint="eastAsia" w:ascii="宋体" w:hAnsi="宋体" w:eastAsia="宋体" w:cs="宋体"/>
                <w:sz w:val="24"/>
                <w:highlight w:val="none"/>
              </w:rPr>
              <w:t>传真：</w:t>
            </w:r>
          </w:p>
        </w:tc>
      </w:tr>
      <w:tr w14:paraId="5160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55D6EC92">
            <w:pPr>
              <w:spacing w:line="360" w:lineRule="exact"/>
              <w:rPr>
                <w:rFonts w:hint="eastAsia" w:ascii="宋体" w:hAnsi="宋体" w:eastAsia="宋体" w:cs="宋体"/>
                <w:sz w:val="24"/>
                <w:highlight w:val="none"/>
              </w:rPr>
            </w:pPr>
          </w:p>
        </w:tc>
        <w:tc>
          <w:tcPr>
            <w:tcW w:w="3714" w:type="dxa"/>
            <w:noWrap w:val="0"/>
            <w:vAlign w:val="top"/>
          </w:tcPr>
          <w:p w14:paraId="3D173359">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7134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113972DB">
            <w:pPr>
              <w:spacing w:line="360" w:lineRule="exact"/>
              <w:rPr>
                <w:rFonts w:hint="eastAsia" w:ascii="宋体" w:hAnsi="宋体" w:eastAsia="宋体" w:cs="宋体"/>
                <w:sz w:val="24"/>
                <w:highlight w:val="none"/>
              </w:rPr>
            </w:pPr>
          </w:p>
        </w:tc>
        <w:tc>
          <w:tcPr>
            <w:tcW w:w="3714" w:type="dxa"/>
            <w:noWrap w:val="0"/>
            <w:vAlign w:val="top"/>
          </w:tcPr>
          <w:p w14:paraId="4EC27D66">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帐号：</w:t>
            </w:r>
          </w:p>
        </w:tc>
      </w:tr>
      <w:tr w14:paraId="6896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4428" w:type="dxa"/>
            <w:noWrap w:val="0"/>
            <w:vAlign w:val="top"/>
          </w:tcPr>
          <w:p w14:paraId="4BCF08C2">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日期：    年   月   日</w:t>
            </w:r>
          </w:p>
        </w:tc>
        <w:tc>
          <w:tcPr>
            <w:tcW w:w="3714" w:type="dxa"/>
            <w:noWrap w:val="0"/>
            <w:vAlign w:val="top"/>
          </w:tcPr>
          <w:p w14:paraId="7AAC23AF">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日期：    年   月   日</w:t>
            </w:r>
          </w:p>
        </w:tc>
      </w:tr>
    </w:tbl>
    <w:p w14:paraId="246FF930">
      <w:pPr>
        <w:spacing w:line="500" w:lineRule="exact"/>
        <w:ind w:right="-218" w:rightChars="-104"/>
        <w:jc w:val="center"/>
        <w:outlineLvl w:val="0"/>
        <w:rPr>
          <w:rFonts w:hint="eastAsia" w:ascii="宋体" w:hAnsi="宋体" w:eastAsia="宋体" w:cs="宋体"/>
          <w:b/>
          <w:sz w:val="36"/>
          <w:highlight w:val="none"/>
        </w:rPr>
      </w:pPr>
    </w:p>
    <w:p w14:paraId="43B505D6">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B20DCA"/>
    <w:multiLevelType w:val="singleLevel"/>
    <w:tmpl w:val="A5B20DCA"/>
    <w:lvl w:ilvl="0" w:tentative="0">
      <w:start w:val="1"/>
      <w:numFmt w:val="decimal"/>
      <w:suff w:val="nothing"/>
      <w:lvlText w:val="%1、"/>
      <w:lvlJc w:val="left"/>
    </w:lvl>
  </w:abstractNum>
  <w:abstractNum w:abstractNumId="1">
    <w:nsid w:val="BD4C47F6"/>
    <w:multiLevelType w:val="singleLevel"/>
    <w:tmpl w:val="BD4C47F6"/>
    <w:lvl w:ilvl="0" w:tentative="0">
      <w:start w:val="1"/>
      <w:numFmt w:val="chineseCounting"/>
      <w:suff w:val="nothing"/>
      <w:lvlText w:val="%1、"/>
      <w:lvlJc w:val="left"/>
      <w:rPr>
        <w:rFonts w:hint="eastAsia"/>
      </w:rPr>
    </w:lvl>
  </w:abstractNum>
  <w:abstractNum w:abstractNumId="2">
    <w:nsid w:val="C85FEF38"/>
    <w:multiLevelType w:val="singleLevel"/>
    <w:tmpl w:val="C85FEF38"/>
    <w:lvl w:ilvl="0" w:tentative="0">
      <w:start w:val="1"/>
      <w:numFmt w:val="decimal"/>
      <w:suff w:val="nothing"/>
      <w:lvlText w:val="%1、"/>
      <w:lvlJc w:val="left"/>
    </w:lvl>
  </w:abstractNum>
  <w:abstractNum w:abstractNumId="3">
    <w:nsid w:val="12EA833B"/>
    <w:multiLevelType w:val="singleLevel"/>
    <w:tmpl w:val="12EA833B"/>
    <w:lvl w:ilvl="0" w:tentative="0">
      <w:start w:val="1"/>
      <w:numFmt w:val="decimal"/>
      <w:suff w:val="nothing"/>
      <w:lvlText w:val="%1、"/>
      <w:lvlJc w:val="left"/>
    </w:lvl>
  </w:abstractNum>
  <w:abstractNum w:abstractNumId="4">
    <w:nsid w:val="493A23FA"/>
    <w:multiLevelType w:val="singleLevel"/>
    <w:tmpl w:val="493A23FA"/>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ODA3YTY5YzMwNGEzZjM1OGI5N2E3ZDFkZjZmOTMifQ=="/>
  </w:docVars>
  <w:rsids>
    <w:rsidRoot w:val="00000000"/>
    <w:rsid w:val="067250B2"/>
    <w:rsid w:val="15A05A4E"/>
    <w:rsid w:val="1AD17F6C"/>
    <w:rsid w:val="299A6D72"/>
    <w:rsid w:val="384E2985"/>
    <w:rsid w:val="568B4D0E"/>
    <w:rsid w:val="659D44C0"/>
    <w:rsid w:val="699A0BAA"/>
    <w:rsid w:val="7E200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 首行缩进:  2 字符"/>
    <w:basedOn w:val="1"/>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2768</Words>
  <Characters>2777</Characters>
  <Lines>0</Lines>
  <Paragraphs>0</Paragraphs>
  <TotalTime>5</TotalTime>
  <ScaleCrop>false</ScaleCrop>
  <LinksUpToDate>false</LinksUpToDate>
  <CharactersWithSpaces>2828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2024-07-24T08:04:00Z</dcterms:created>
  <dc:creator>Administrator</dc:creator>
  <cp:lastModifiedBy>薛怡婷</cp:lastModifiedBy>
  <dcterms:modified xsi:type="dcterms:W3CDTF">2026-03-18T09:12:36Z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1A9FAA5BC28947AE8491D59B616A07E2_12</vt:lpwstr>
  </property>
  <property fmtid="{D5CDD505-2E9C-101B-9397-08002B2CF9AE}" pid="4" name="KSOTemplateDocerSaveRecord">
    <vt:lpwstr>eyJoZGlkIjoiMTUyZjZiNDA3MTdjNThmOTc4YjA1MDI5M2NhNDZiZWIiLCJ1c2VySWQiOiIxNTExNzY2Njc0In0=</vt:lpwstr>
  </property>
</Properties>
</file>