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版本号：HWHZ-202601320260311001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熊猫谷景区（熊猫谷--沙窝）融合发展提升建设项目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HWHZ-2026013</w:t>
      </w:r>
      <w:r>
        <w:br/>
      </w:r>
      <w:r>
        <w:br/>
      </w:r>
      <w:r>
        <w:br/>
      </w:r>
    </w:p>
    <w:p>
      <w:pPr>
        <w:pStyle w:val="null3"/>
        <w:jc w:val="center"/>
        <w:outlineLvl w:val="2"/>
      </w:pPr>
      <w:r>
        <w:rPr>
          <w:rFonts w:ascii="仿宋_GB2312" w:hAnsi="仿宋_GB2312" w:cs="仿宋_GB2312" w:eastAsia="仿宋_GB2312"/>
          <w:sz w:val="28"/>
          <w:b/>
        </w:rPr>
        <w:t>佛坪县文化和旅游局（县文物广电局）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佛坪县文化和旅游局（县文物广电局）</w:t>
      </w:r>
      <w:r>
        <w:rPr>
          <w:rFonts w:ascii="仿宋_GB2312" w:hAnsi="仿宋_GB2312" w:cs="仿宋_GB2312" w:eastAsia="仿宋_GB2312"/>
        </w:rPr>
        <w:t>委托，拟对</w:t>
      </w:r>
      <w:r>
        <w:rPr>
          <w:rFonts w:ascii="仿宋_GB2312" w:hAnsi="仿宋_GB2312" w:cs="仿宋_GB2312" w:eastAsia="仿宋_GB2312"/>
        </w:rPr>
        <w:t>熊猫谷景区（熊猫谷--沙窝）融合发展提升建设项目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熊猫谷景区（熊猫谷--沙窝）融合发展提升建设项目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对上坪综合服务区一、二楼室内进行功能提 升，配套建设消防、给排水、电气照明、应急照明、显示大屏等设施设备。（具体详见工程量清单所有内容）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采购包1（熊猫谷景区（熊猫谷--沙窝）融合发展提升建设项目）：属于专门面向中小企业采购。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3、企业资质要求：供应商须具备建设行政部门颁发的建筑工程施工总承包三级（含三级）及以上资质，并提供有效的安全生产许可证；</w:t>
      </w:r>
    </w:p>
    <w:p>
      <w:pPr>
        <w:pStyle w:val="null3"/>
      </w:pPr>
      <w:r>
        <w:rPr>
          <w:rFonts w:ascii="仿宋_GB2312" w:hAnsi="仿宋_GB2312" w:cs="仿宋_GB2312" w:eastAsia="仿宋_GB2312"/>
        </w:rPr>
        <w:t>4、项目经理资质要求 ：拟派项目经理须具备合法有效的建筑工程专业二级（含二级）及以上注册建造师资格，和安全生产考核合格证，且未担任其他在建工程的项目经理（提供无在建承诺书）、无不良记录（提供无不良记录承诺书）；</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佛坪县文化和旅游局（县文物广电局）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陕西省汉中市佛坪县南环路6号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0916-8913875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采购包1：2,672,974.68元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佛坪县文化和旅游局（县文物广电局）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佛坪县文化和旅游局（县文物广电局）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佛坪县文化和旅游局（县文物广电局）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2,672,974.68</w:t>
      </w:r>
    </w:p>
    <w:p>
      <w:pPr>
        <w:pStyle w:val="null3"/>
      </w:pPr>
      <w:r>
        <w:rPr>
          <w:rFonts w:ascii="仿宋_GB2312" w:hAnsi="仿宋_GB2312" w:cs="仿宋_GB2312" w:eastAsia="仿宋_GB2312"/>
        </w:rPr>
        <w:t>采购包最高限价（元）: 2,672,974.68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熊猫谷景区（熊猫谷--沙窝）融合发展提升建设项目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2,672,974.68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标的名称：熊猫谷景区（熊猫谷--沙窝）融合发展提升建设项目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对上坪综合服务区一、二楼室内进行功能提升，配套建设消防、给排水、电气照明、应急照明、显示大屏等设施设备。（具体详见工程量清单所有内容）</w:t>
            </w:r>
          </w:p>
          <w:p>
            <w:pPr>
              <w:pStyle w:val="null3"/>
            </w:pPr>
            <w:r>
              <w:rPr>
                <w:rFonts w:ascii="仿宋_GB2312" w:hAnsi="仿宋_GB2312" w:cs="仿宋_GB2312" w:eastAsia="仿宋_GB2312"/>
              </w:rPr>
              <w:t>工期：自合同签订之日起2个月。</w:t>
            </w:r>
            <w:r>
              <w:br/>
            </w:r>
            <w:r>
              <w:rPr>
                <w:rFonts w:ascii="仿宋_GB2312" w:hAnsi="仿宋_GB2312" w:cs="仿宋_GB2312" w:eastAsia="仿宋_GB2312"/>
              </w:rPr>
              <w:t xml:space="preserve"> 质保期：2年，防水部分质保期5年。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成交供应商在成交结果公示结束后3个工作日内向代理机构提供纸质版响应文件，响应文件为正本一份，副本二份（响应文件内容须与电子交易平台上传文件内容保持一致）。纸质响应文件均须A4纸打印，分别各自装订成册。 3.3.2保证金为电子保函的须在开标前向代理机构邮寄纸质保函（扫描件加盖公章）或发至邮箱（364206727@qq.com），若因系统等原因核验不成功导致废标后果由供应商自行承担。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供应商须具备建设行政部门颁发的建筑工程施工总承包三级（含三级）及以上资质，并提供有效的安全生产许可证；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拟派项目经理须具备合法有效的建筑工程专业二级（含二级）及以上注册建造师资格，和安全生产考核合格证，且未担任其他在建工程的项目经理（提供无在建承诺书）、无不良记录（提供无不良记录承诺书）；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 报价符合竞争性磋商文件的要求。</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编制完善的施工部署，内容包含：①施工目标:成本目标、工期目标、质量目标；②施工准备：技术准备、材料准备、机械准备、机具准备；③施工平面布置与安排：划分施工禁区与通行路线、现场围挡及出入口管理。1、完全满足采购需求，无缺陷：得12分； 2、内容每存在1处缺陷：扣1分； 3、未提供或内容存在12处及以上缺陷：得0分。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供应商针对本项目编制完善的施工方案，内容包含:①工程重难点及解决措施;②工程施工方法; ③施工质量通病防治措施。1、完全满足采购需求，无缺陷：得9分；2、内容每存在1处缺陷：扣1分； 3、未提供或内容存在9处及以上缺陷：得0分。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供应商针对本项目编制完善的资源配置计划，内容包含:①劳动力资源配置计划;②施工机械设备投入计划;③主要施工材料供应计划。1、完全满足采购需求，无缺陷：得6分； 2、内容每存在1处缺陷：扣1分； 3、未提供或内容存在6处及以上缺陷：得0分。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供应商针对本项目编制完善的施工进度计划，内容包含：①施工进度计划横道图②进度计划保证措施③工期保证措施。1、完全满足采购需求，无缺陷：得9分； 2、内容每存在1处缺陷：扣1分； 3、未提供或内容存在9处及以上缺陷：得0分。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供应商针对本项目编制完善的质量保证措施，内容包含：①质量目标管理体系②施工质量的检验制度③确保质量的技术组织措施④施工质量控制措施。1、完全满足采购需求，无缺陷：得8分； 2、内容每存在1处缺陷：扣1分；3、未提供或内容存在8处及以上缺陷：得0分。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供应商针对本项目编制完整的安全施工措施，内容包含：①安全生产管理制度②安全施工措施③安全应急预案④安全生产教育。1、完全满足采购需求，无缺陷：得6分； 2、内容每存在1处缺陷：扣1分； 3、未提供或内容存在6处及以上缺陷：得0分。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供应商针对本项目编制完整的文明施工措施，内容包含：①文明施工管理目标及技术措施②文明施工现场管理：材料管理、废弃物管理、防扰民措施。1、完全满足采购需求，无缺陷：得4分； 2、内容每存在1处缺陷：扣1分； 3、未提供或内容存在4处及以上缺陷：得0分。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供应商针对本项目编制科学的项目管理机构，内容包含: ①管理机构的配备计划; ②组织机构的岗位职责。1、完全满足采购需求，无缺陷：得5分； 2、内容每存在1处缺陷：扣1分； 3、未提供或内容存在5处及以上缺陷：得0分。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结合本项目的实际，供应商应提供详细、完善的施工保修承诺，内容包含: ①保修范围及措施;②保修责任;③保修承诺。1、完全满足采购需求，无缺陷：得6分； 2、内容每存在1处缺陷：扣1分； 3、未提供或内容存在6处及以上缺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评审依据：业绩以合同和（中标）成交通知书加盖公章的复印件为依据（时间以合同签订时间为准），未提供或提供不全的不得分。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详见附件：响应文件签署人身份证明.docx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