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96E45">
      <w:pPr>
        <w:outlineLvl w:val="9"/>
        <w:rPr>
          <w:rFonts w:hint="eastAsia" w:ascii="宋体" w:hAnsi="宋体" w:eastAsia="宋体" w:cs="宋体"/>
          <w:b w:val="0"/>
          <w:bCs/>
          <w:sz w:val="36"/>
          <w:szCs w:val="36"/>
          <w:highlight w:val="none"/>
        </w:rPr>
      </w:pPr>
    </w:p>
    <w:p w14:paraId="6FA87E35">
      <w:pPr>
        <w:outlineLvl w:val="9"/>
        <w:rPr>
          <w:rFonts w:hint="eastAsia" w:ascii="宋体" w:hAnsi="宋体" w:eastAsia="宋体" w:cs="宋体"/>
          <w:b w:val="0"/>
          <w:bCs/>
          <w:sz w:val="36"/>
          <w:szCs w:val="36"/>
          <w:highlight w:val="none"/>
        </w:rPr>
      </w:pPr>
      <w:r>
        <w:rPr>
          <w:rFonts w:hint="eastAsia" w:ascii="宋体" w:hAnsi="宋体" w:eastAsia="宋体" w:cs="宋体"/>
          <w:b w:val="0"/>
          <w:bCs/>
          <w:sz w:val="36"/>
          <w:szCs w:val="36"/>
          <w:highlight w:val="none"/>
        </w:rPr>
        <w:t>（GF-2017-0201）</w:t>
      </w:r>
    </w:p>
    <w:p w14:paraId="4CEC8548">
      <w:pPr>
        <w:wordWrap w:val="0"/>
        <w:ind w:right="640"/>
        <w:jc w:val="center"/>
        <w:outlineLvl w:val="9"/>
        <w:rPr>
          <w:rFonts w:hint="eastAsia" w:ascii="宋体" w:hAnsi="宋体" w:eastAsia="宋体" w:cs="宋体"/>
          <w:b w:val="0"/>
          <w:bCs/>
          <w:sz w:val="32"/>
          <w:szCs w:val="32"/>
          <w:highlight w:val="none"/>
        </w:rPr>
      </w:pPr>
      <w:r>
        <w:rPr>
          <w:rFonts w:hint="eastAsia" w:ascii="宋体" w:hAnsi="宋体" w:eastAsia="宋体" w:cs="宋体"/>
          <w:b w:val="0"/>
          <w:bCs/>
          <w:sz w:val="32"/>
          <w:szCs w:val="32"/>
          <w:highlight w:val="none"/>
        </w:rPr>
        <w:t xml:space="preserve"> </w:t>
      </w:r>
    </w:p>
    <w:p w14:paraId="4E76D675">
      <w:pPr>
        <w:jc w:val="both"/>
        <w:outlineLvl w:val="9"/>
        <w:rPr>
          <w:rFonts w:hint="eastAsia" w:ascii="宋体" w:hAnsi="宋体" w:eastAsia="宋体" w:cs="宋体"/>
          <w:b w:val="0"/>
          <w:bCs/>
          <w:sz w:val="52"/>
          <w:szCs w:val="52"/>
          <w:highlight w:val="none"/>
        </w:rPr>
      </w:pPr>
    </w:p>
    <w:p w14:paraId="471EEAF4">
      <w:pPr>
        <w:jc w:val="center"/>
        <w:outlineLvl w:val="9"/>
        <w:rPr>
          <w:rFonts w:hint="eastAsia" w:ascii="宋体" w:hAnsi="宋体"/>
          <w:b/>
          <w:bCs/>
          <w:sz w:val="24"/>
          <w:highlight w:val="none"/>
        </w:rPr>
      </w:pPr>
      <w:r>
        <w:rPr>
          <w:rFonts w:hint="eastAsia" w:ascii="宋体" w:hAnsi="宋体"/>
          <w:b/>
          <w:bCs/>
          <w:sz w:val="52"/>
          <w:szCs w:val="52"/>
          <w:highlight w:val="none"/>
        </w:rPr>
        <w:t>建设工程施工合同</w:t>
      </w:r>
    </w:p>
    <w:p w14:paraId="7B1A1C2B">
      <w:pPr>
        <w:jc w:val="center"/>
        <w:outlineLvl w:val="9"/>
        <w:rPr>
          <w:rFonts w:hint="eastAsia" w:ascii="宋体" w:hAnsi="宋体"/>
          <w:b/>
          <w:bCs/>
          <w:sz w:val="52"/>
          <w:szCs w:val="52"/>
          <w:highlight w:val="none"/>
        </w:rPr>
      </w:pPr>
      <w:r>
        <w:rPr>
          <w:rFonts w:hint="eastAsia" w:ascii="宋体" w:hAnsi="宋体"/>
          <w:b/>
          <w:bCs/>
          <w:sz w:val="36"/>
          <w:szCs w:val="36"/>
          <w:highlight w:val="none"/>
        </w:rPr>
        <w:t>（示范文本）</w:t>
      </w:r>
    </w:p>
    <w:p w14:paraId="038A7336">
      <w:pPr>
        <w:pStyle w:val="9"/>
        <w:outlineLvl w:val="9"/>
        <w:rPr>
          <w:rFonts w:hint="eastAsia" w:ascii="宋体" w:hAnsi="宋体" w:eastAsia="宋体" w:cs="宋体"/>
          <w:b w:val="0"/>
          <w:bCs/>
          <w:sz w:val="52"/>
          <w:szCs w:val="52"/>
          <w:highlight w:val="none"/>
        </w:rPr>
      </w:pPr>
    </w:p>
    <w:p w14:paraId="752A1910">
      <w:pPr>
        <w:jc w:val="center"/>
        <w:outlineLvl w:val="9"/>
        <w:rPr>
          <w:rFonts w:hint="eastAsia" w:ascii="宋体" w:hAnsi="宋体" w:eastAsia="宋体" w:cs="宋体"/>
          <w:b w:val="0"/>
          <w:bCs/>
          <w:sz w:val="72"/>
          <w:szCs w:val="72"/>
          <w:highlight w:val="none"/>
        </w:rPr>
      </w:pPr>
    </w:p>
    <w:p w14:paraId="23AF10DC">
      <w:pPr>
        <w:pStyle w:val="9"/>
        <w:rPr>
          <w:rFonts w:hint="eastAsia"/>
        </w:rPr>
      </w:pPr>
    </w:p>
    <w:p w14:paraId="69AAE1DB">
      <w:pPr>
        <w:jc w:val="center"/>
        <w:outlineLvl w:val="9"/>
        <w:rPr>
          <w:rFonts w:hint="eastAsia" w:ascii="宋体" w:hAnsi="宋体" w:eastAsia="宋体" w:cs="宋体"/>
          <w:b w:val="0"/>
          <w:bCs/>
          <w:sz w:val="72"/>
          <w:szCs w:val="72"/>
          <w:highlight w:val="none"/>
        </w:rPr>
      </w:pPr>
    </w:p>
    <w:p w14:paraId="37E309B7">
      <w:pPr>
        <w:outlineLvl w:val="9"/>
        <w:rPr>
          <w:rFonts w:hint="eastAsia" w:ascii="宋体" w:hAnsi="宋体" w:eastAsia="宋体" w:cs="宋体"/>
          <w:b w:val="0"/>
          <w:bCs/>
          <w:sz w:val="28"/>
          <w:szCs w:val="28"/>
          <w:highlight w:val="none"/>
        </w:rPr>
      </w:pPr>
    </w:p>
    <w:p w14:paraId="0D9D527B">
      <w:pPr>
        <w:outlineLvl w:val="9"/>
        <w:rPr>
          <w:rFonts w:hint="eastAsia" w:ascii="宋体" w:hAnsi="宋体" w:eastAsia="宋体" w:cs="宋体"/>
          <w:b w:val="0"/>
          <w:bCs/>
          <w:sz w:val="28"/>
          <w:szCs w:val="28"/>
          <w:highlight w:val="none"/>
        </w:rPr>
      </w:pPr>
    </w:p>
    <w:p w14:paraId="2A44B2FB">
      <w:pPr>
        <w:ind w:right="3626" w:rightChars="1295"/>
        <w:jc w:val="distribute"/>
        <w:outlineLvl w:val="9"/>
        <w:rPr>
          <w:rFonts w:hint="eastAsia" w:ascii="宋体" w:hAnsi="宋体" w:eastAsia="宋体" w:cs="宋体"/>
          <w:b/>
          <w:bCs w:val="0"/>
          <w:sz w:val="32"/>
          <w:szCs w:val="28"/>
          <w:highlight w:val="none"/>
        </w:rPr>
      </w:pPr>
      <w:r>
        <w:rPr>
          <w:rFonts w:hint="eastAsia" w:ascii="宋体" w:hAnsi="宋体" w:eastAsia="宋体" w:cs="宋体"/>
          <w:b/>
          <w:bCs w:val="0"/>
          <w:highlight w:val="none"/>
        </w:rPr>
        <mc:AlternateContent>
          <mc:Choice Requires="wps">
            <w:drawing>
              <wp:anchor distT="0" distB="0" distL="114300" distR="114300" simplePos="0" relativeHeight="251659264" behindDoc="0" locked="0" layoutInCell="1" allowOverlap="1">
                <wp:simplePos x="0" y="0"/>
                <wp:positionH relativeFrom="column">
                  <wp:posOffset>3784600</wp:posOffset>
                </wp:positionH>
                <wp:positionV relativeFrom="paragraph">
                  <wp:posOffset>105410</wp:posOffset>
                </wp:positionV>
                <wp:extent cx="723900" cy="774065"/>
                <wp:effectExtent l="4445" t="4445" r="14605" b="21590"/>
                <wp:wrapNone/>
                <wp:docPr id="20" name="文本框 20"/>
                <wp:cNvGraphicFramePr/>
                <a:graphic xmlns:a="http://schemas.openxmlformats.org/drawingml/2006/main">
                  <a:graphicData uri="http://schemas.microsoft.com/office/word/2010/wordprocessingShape">
                    <wps:wsp>
                      <wps:cNvSpPr txBox="1"/>
                      <wps:spPr>
                        <a:xfrm>
                          <a:off x="0" y="0"/>
                          <a:ext cx="723900" cy="774065"/>
                        </a:xfrm>
                        <a:prstGeom prst="rect">
                          <a:avLst/>
                        </a:prstGeom>
                        <a:noFill/>
                        <a:ln w="9525" cap="flat" cmpd="sng">
                          <a:solidFill>
                            <a:srgbClr val="FFFFFF"/>
                          </a:solidFill>
                          <a:prstDash val="solid"/>
                          <a:miter/>
                          <a:headEnd type="none" w="med" len="med"/>
                          <a:tailEnd type="none" w="med" len="med"/>
                        </a:ln>
                        <a:effectLst/>
                      </wps:spPr>
                      <wps:txbx>
                        <w:txbxContent>
                          <w:p w14:paraId="5C4D6D06">
                            <w:pPr>
                              <w:ind w:left="0" w:leftChars="0" w:firstLine="0" w:firstLineChars="0"/>
                              <w:rPr>
                                <w:rFonts w:ascii="宋体" w:hAnsi="宋体"/>
                                <w:b/>
                                <w:bCs/>
                                <w:sz w:val="32"/>
                              </w:rPr>
                            </w:pPr>
                            <w:r>
                              <w:rPr>
                                <w:rFonts w:hint="eastAsia" w:ascii="宋体" w:hAnsi="宋体"/>
                                <w:b/>
                                <w:bCs/>
                                <w:sz w:val="32"/>
                              </w:rPr>
                              <w:t>制定</w:t>
                            </w:r>
                          </w:p>
                        </w:txbxContent>
                      </wps:txbx>
                      <wps:bodyPr vert="horz" wrap="square" anchor="t" anchorCtr="0" upright="1"/>
                    </wps:wsp>
                  </a:graphicData>
                </a:graphic>
              </wp:anchor>
            </w:drawing>
          </mc:Choice>
          <mc:Fallback>
            <w:pict>
              <v:shape id="_x0000_s1026" o:spid="_x0000_s1026" o:spt="202" type="#_x0000_t202" style="position:absolute;left:0pt;margin-left:298pt;margin-top:8.3pt;height:60.95pt;width:57pt;z-index:251659264;mso-width-relative:page;mso-height-relative:page;" filled="f" stroked="t" coordsize="21600,21600" o:gfxdata="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4nZe7YAAAACgEAAA8AAAAAAAAAAQAgAAAAIgAAAGRycy9kb3ducmV2LnhtbFBLAQIUABQA&#10;AAAIAIdO4kAQdBeFKQIAAE8EAAAOAAAAAAAAAAEAIAAAACcBAABkcnMvZTJvRG9jLnhtbFBLBQYA&#10;AAAABgAGAFkBAADCBQAAAAA=&#10;">
                <v:fill on="f" focussize="0,0"/>
                <v:stroke color="#FFFFFF" joinstyle="miter"/>
                <v:imagedata o:title=""/>
                <o:lock v:ext="edit" aspectratio="f"/>
                <v:textbox>
                  <w:txbxContent>
                    <w:p w14:paraId="5C4D6D06">
                      <w:pPr>
                        <w:ind w:left="0" w:leftChars="0" w:firstLine="0" w:firstLineChars="0"/>
                        <w:rPr>
                          <w:rFonts w:ascii="宋体" w:hAnsi="宋体"/>
                          <w:b/>
                          <w:bCs/>
                          <w:sz w:val="32"/>
                        </w:rPr>
                      </w:pPr>
                      <w:r>
                        <w:rPr>
                          <w:rFonts w:hint="eastAsia" w:ascii="宋体" w:hAnsi="宋体"/>
                          <w:b/>
                          <w:bCs/>
                          <w:sz w:val="32"/>
                        </w:rPr>
                        <w:t>制定</w:t>
                      </w:r>
                    </w:p>
                  </w:txbxContent>
                </v:textbox>
              </v:shape>
            </w:pict>
          </mc:Fallback>
        </mc:AlternateContent>
      </w:r>
      <w:r>
        <w:rPr>
          <w:rFonts w:hint="eastAsia" w:ascii="宋体" w:hAnsi="宋体" w:eastAsia="宋体" w:cs="宋体"/>
          <w:b/>
          <w:bCs w:val="0"/>
          <w:sz w:val="32"/>
          <w:szCs w:val="28"/>
          <w:highlight w:val="none"/>
          <w:lang w:val="en-US" w:eastAsia="zh-CN"/>
        </w:rPr>
        <w:t xml:space="preserve">        </w:t>
      </w:r>
      <w:r>
        <w:rPr>
          <w:rFonts w:hint="eastAsia" w:ascii="宋体" w:hAnsi="宋体" w:eastAsia="宋体" w:cs="宋体"/>
          <w:b/>
          <w:bCs w:val="0"/>
          <w:sz w:val="32"/>
          <w:szCs w:val="28"/>
          <w:highlight w:val="none"/>
        </w:rPr>
        <w:t>住房和城乡建设部</w:t>
      </w:r>
    </w:p>
    <w:p w14:paraId="2DAD85A0">
      <w:pPr>
        <w:ind w:right="3626" w:rightChars="1295"/>
        <w:jc w:val="distribute"/>
        <w:outlineLvl w:val="9"/>
        <w:rPr>
          <w:rFonts w:hint="eastAsia" w:ascii="宋体" w:hAnsi="宋体" w:eastAsia="宋体" w:cs="宋体"/>
          <w:b/>
          <w:bCs w:val="0"/>
          <w:sz w:val="32"/>
          <w:szCs w:val="28"/>
          <w:highlight w:val="none"/>
        </w:rPr>
      </w:pPr>
      <w:r>
        <w:rPr>
          <w:rFonts w:hint="eastAsia" w:ascii="宋体" w:hAnsi="宋体" w:eastAsia="宋体" w:cs="宋体"/>
          <w:b/>
          <w:bCs w:val="0"/>
          <w:sz w:val="32"/>
          <w:szCs w:val="28"/>
          <w:highlight w:val="none"/>
          <w:lang w:val="en-US" w:eastAsia="zh-CN"/>
        </w:rPr>
        <w:t xml:space="preserve">        </w:t>
      </w:r>
      <w:r>
        <w:rPr>
          <w:rFonts w:hint="eastAsia" w:ascii="宋体" w:hAnsi="宋体" w:eastAsia="宋体" w:cs="宋体"/>
          <w:b/>
          <w:bCs w:val="0"/>
          <w:sz w:val="32"/>
          <w:szCs w:val="28"/>
          <w:highlight w:val="none"/>
        </w:rPr>
        <w:t>国家工商行政管理总局</w:t>
      </w:r>
      <w:bookmarkStart w:id="0" w:name="_Toc23721"/>
      <w:bookmarkStart w:id="1" w:name="_Toc22481"/>
      <w:bookmarkStart w:id="2" w:name="_Toc29333"/>
      <w:bookmarkStart w:id="3" w:name="_Toc296890982"/>
      <w:bookmarkStart w:id="4" w:name="_Toc296503025"/>
      <w:bookmarkStart w:id="5" w:name="_Toc452"/>
    </w:p>
    <w:p w14:paraId="3C612CAA">
      <w:pPr>
        <w:pStyle w:val="9"/>
        <w:rPr>
          <w:rFonts w:hint="eastAsia"/>
          <w:lang w:val="zh-CN"/>
        </w:rPr>
      </w:pPr>
    </w:p>
    <w:p w14:paraId="7CC80C8A">
      <w:pPr>
        <w:pStyle w:val="29"/>
        <w:spacing w:before="0" w:after="0" w:line="500" w:lineRule="exact"/>
        <w:jc w:val="center"/>
        <w:outlineLvl w:val="9"/>
        <w:rPr>
          <w:rFonts w:hint="eastAsia" w:ascii="宋体" w:hAnsi="宋体" w:eastAsia="宋体" w:cs="宋体"/>
          <w:b w:val="0"/>
          <w:bCs/>
          <w:sz w:val="32"/>
          <w:szCs w:val="32"/>
          <w:highlight w:val="none"/>
          <w:lang w:val="zh-CN"/>
        </w:rPr>
      </w:pPr>
      <w:r>
        <w:rPr>
          <w:rFonts w:hint="eastAsia" w:ascii="宋体" w:hAnsi="宋体" w:eastAsia="宋体" w:cs="宋体"/>
          <w:b w:val="0"/>
          <w:bCs/>
          <w:sz w:val="32"/>
          <w:szCs w:val="32"/>
          <w:highlight w:val="none"/>
          <w:lang w:val="zh-CN"/>
        </w:rPr>
        <w:t>说  明</w:t>
      </w:r>
      <w:bookmarkEnd w:id="0"/>
      <w:bookmarkEnd w:id="1"/>
    </w:p>
    <w:p w14:paraId="3A10544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为了指导建设工程施工合同当事人的签约行为，维护合同当事人的合法权益，依据《中华人民共和国</w:t>
      </w:r>
      <w:r>
        <w:rPr>
          <w:rFonts w:hint="eastAsia" w:ascii="宋体" w:hAnsi="宋体" w:eastAsia="宋体" w:cs="宋体"/>
          <w:b w:val="0"/>
          <w:bCs/>
          <w:sz w:val="24"/>
          <w:highlight w:val="none"/>
          <w:lang w:val="en-US" w:eastAsia="zh-CN"/>
        </w:rPr>
        <w:t>民法典</w:t>
      </w:r>
      <w:r>
        <w:rPr>
          <w:rFonts w:hint="eastAsia" w:ascii="宋体" w:hAnsi="宋体" w:eastAsia="宋体" w:cs="宋体"/>
          <w:b w:val="0"/>
          <w:bCs/>
          <w:sz w:val="24"/>
          <w:highlight w:val="none"/>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22E81C1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一、《示范文本》的组成</w:t>
      </w:r>
    </w:p>
    <w:p w14:paraId="577D980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《示范文本》由合同协议书、通用合同条款和专用合同条款三部分组成。</w:t>
      </w:r>
    </w:p>
    <w:p w14:paraId="718C851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（一）合同协议书</w:t>
      </w:r>
    </w:p>
    <w:p w14:paraId="7F54835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529F21B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（二）通用合同条款</w:t>
      </w:r>
    </w:p>
    <w:p w14:paraId="0B1FF27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通用合同条款是合同当事人根据《中华人民共和国建筑法》、《中华人民共和国</w:t>
      </w:r>
      <w:r>
        <w:rPr>
          <w:rFonts w:hint="eastAsia" w:ascii="宋体" w:hAnsi="宋体" w:eastAsia="宋体" w:cs="宋体"/>
          <w:b w:val="0"/>
          <w:bCs/>
          <w:sz w:val="24"/>
          <w:highlight w:val="none"/>
          <w:lang w:val="en-US" w:eastAsia="zh-CN"/>
        </w:rPr>
        <w:t>民法典</w:t>
      </w:r>
      <w:r>
        <w:rPr>
          <w:rFonts w:hint="eastAsia" w:ascii="宋体" w:hAnsi="宋体" w:eastAsia="宋体" w:cs="宋体"/>
          <w:b w:val="0"/>
          <w:bCs/>
          <w:sz w:val="24"/>
          <w:highlight w:val="none"/>
        </w:rPr>
        <w:t>》等法律法规的规定，就工程建设的实施及相关事项，对合同当事人的权利义务作出的原则性约定。</w:t>
      </w:r>
    </w:p>
    <w:p w14:paraId="1896560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6DD360FB">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（三）专用合同条款</w:t>
      </w:r>
    </w:p>
    <w:p w14:paraId="0C5F6DC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597D518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34" w:rightChars="12"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1.专用合同条款的编号应与相应的通用合同条款的编号一致；</w:t>
      </w:r>
    </w:p>
    <w:p w14:paraId="5C9E772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2.合同当事人可以通过对专用合同条款的修改，满足具体建设工程的特殊要求，避免直接修改通用合同条款；</w:t>
      </w:r>
    </w:p>
    <w:p w14:paraId="58D95E3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3.在专用合同条款中有横道线的地方，合同当事人可针对相应的通用合同条款进行细化、完善、补充、修改或另行约定；如无细化、完善、补充、修改或另行约定，则填写“无”或划“/”。</w:t>
      </w:r>
    </w:p>
    <w:p w14:paraId="53B7084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二、《示范文本》的性质和适用范围</w:t>
      </w:r>
    </w:p>
    <w:p w14:paraId="4D8F35B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bookmarkStart w:id="6" w:name="_Toc351203480"/>
    </w:p>
    <w:p w14:paraId="3C03A3F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p>
    <w:p w14:paraId="7EE0F08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p>
    <w:p w14:paraId="1A8B2E3E">
      <w:pPr>
        <w:spacing w:line="500" w:lineRule="exact"/>
        <w:ind w:firstLine="480" w:firstLineChars="200"/>
        <w:outlineLvl w:val="9"/>
        <w:rPr>
          <w:rFonts w:hint="eastAsia" w:ascii="宋体" w:hAnsi="宋体" w:eastAsia="宋体" w:cs="宋体"/>
          <w:b w:val="0"/>
          <w:bCs/>
          <w:sz w:val="24"/>
          <w:highlight w:val="none"/>
        </w:rPr>
      </w:pPr>
    </w:p>
    <w:p w14:paraId="5ED74944">
      <w:pPr>
        <w:spacing w:line="500" w:lineRule="exact"/>
        <w:ind w:firstLine="480" w:firstLineChars="200"/>
        <w:outlineLvl w:val="9"/>
        <w:rPr>
          <w:rFonts w:hint="eastAsia" w:ascii="宋体" w:hAnsi="宋体" w:eastAsia="宋体" w:cs="宋体"/>
          <w:b w:val="0"/>
          <w:bCs/>
          <w:sz w:val="24"/>
          <w:highlight w:val="none"/>
        </w:rPr>
      </w:pPr>
    </w:p>
    <w:p w14:paraId="3778BDDD">
      <w:pPr>
        <w:spacing w:line="500" w:lineRule="exact"/>
        <w:ind w:firstLine="480" w:firstLineChars="200"/>
        <w:outlineLvl w:val="9"/>
        <w:rPr>
          <w:rFonts w:hint="eastAsia" w:ascii="宋体" w:hAnsi="宋体" w:eastAsia="宋体" w:cs="宋体"/>
          <w:b w:val="0"/>
          <w:bCs/>
          <w:sz w:val="24"/>
          <w:highlight w:val="none"/>
        </w:rPr>
      </w:pPr>
    </w:p>
    <w:p w14:paraId="47764E7D">
      <w:pPr>
        <w:spacing w:line="500" w:lineRule="exact"/>
        <w:ind w:firstLine="480" w:firstLineChars="200"/>
        <w:outlineLvl w:val="9"/>
        <w:rPr>
          <w:rFonts w:hint="eastAsia" w:ascii="宋体" w:hAnsi="宋体" w:eastAsia="宋体" w:cs="宋体"/>
          <w:b w:val="0"/>
          <w:bCs/>
          <w:sz w:val="24"/>
          <w:highlight w:val="none"/>
        </w:rPr>
      </w:pPr>
    </w:p>
    <w:p w14:paraId="68116466">
      <w:pPr>
        <w:jc w:val="center"/>
        <w:outlineLvl w:val="9"/>
        <w:rPr>
          <w:rFonts w:hint="eastAsia" w:ascii="宋体" w:hAnsi="宋体" w:eastAsia="宋体" w:cs="宋体"/>
          <w:b w:val="0"/>
          <w:bCs/>
          <w:color w:val="auto"/>
          <w:sz w:val="32"/>
          <w:szCs w:val="32"/>
          <w:highlight w:val="none"/>
        </w:rPr>
      </w:pPr>
    </w:p>
    <w:p w14:paraId="09321E50">
      <w:pPr>
        <w:ind w:left="0" w:leftChars="0" w:firstLine="0" w:firstLineChars="0"/>
        <w:jc w:val="both"/>
        <w:outlineLvl w:val="9"/>
        <w:rPr>
          <w:rFonts w:hint="eastAsia" w:ascii="宋体" w:hAnsi="宋体" w:eastAsia="宋体" w:cs="宋体"/>
          <w:b w:val="0"/>
          <w:bCs/>
          <w:color w:val="auto"/>
          <w:sz w:val="32"/>
          <w:szCs w:val="32"/>
          <w:highlight w:val="none"/>
        </w:rPr>
      </w:pPr>
    </w:p>
    <w:p w14:paraId="17F0CE18">
      <w:pPr>
        <w:rPr>
          <w:rFonts w:hint="eastAsia" w:ascii="宋体" w:hAnsi="宋体" w:eastAsia="宋体" w:cs="宋体"/>
          <w:b w:val="0"/>
          <w:bCs/>
          <w:color w:val="auto"/>
          <w:sz w:val="32"/>
          <w:szCs w:val="32"/>
          <w:highlight w:val="none"/>
        </w:rPr>
      </w:pPr>
      <w:r>
        <w:rPr>
          <w:rFonts w:hint="eastAsia" w:ascii="宋体" w:hAnsi="宋体" w:eastAsia="宋体" w:cs="宋体"/>
          <w:b w:val="0"/>
          <w:bCs/>
          <w:color w:val="auto"/>
          <w:sz w:val="32"/>
          <w:szCs w:val="32"/>
          <w:highlight w:val="none"/>
        </w:rPr>
        <w:br w:type="page"/>
      </w:r>
    </w:p>
    <w:p w14:paraId="790E093E">
      <w:pPr>
        <w:keepNext w:val="0"/>
        <w:keepLines w:val="0"/>
        <w:pageBreakBefore w:val="0"/>
        <w:kinsoku/>
        <w:wordWrap/>
        <w:overflowPunct/>
        <w:topLinePunct w:val="0"/>
        <w:bidi w:val="0"/>
        <w:snapToGrid/>
        <w:spacing w:before="0" w:beforeLines="0" w:after="0" w:afterLines="0" w:line="360" w:lineRule="auto"/>
        <w:ind w:left="0" w:leftChars="0"/>
        <w:jc w:val="center"/>
        <w:textAlignment w:val="auto"/>
        <w:outlineLvl w:val="9"/>
        <w:rPr>
          <w:rFonts w:hint="eastAsia" w:ascii="宋体" w:hAnsi="宋体" w:eastAsia="宋体" w:cs="宋体"/>
          <w:b w:val="0"/>
          <w:bCs/>
          <w:sz w:val="32"/>
          <w:szCs w:val="32"/>
          <w:highlight w:val="none"/>
        </w:rPr>
      </w:pPr>
      <w:r>
        <w:rPr>
          <w:rFonts w:hint="eastAsia" w:ascii="宋体" w:hAnsi="宋体" w:eastAsia="宋体" w:cs="宋体"/>
          <w:b w:val="0"/>
          <w:bCs/>
          <w:color w:val="auto"/>
          <w:sz w:val="32"/>
          <w:szCs w:val="32"/>
          <w:highlight w:val="none"/>
        </w:rPr>
        <w:t>第一部分 合同协议书</w:t>
      </w:r>
      <w:bookmarkEnd w:id="6"/>
    </w:p>
    <w:p w14:paraId="0E35BA06">
      <w:pPr>
        <w:keepNext w:val="0"/>
        <w:keepLines w:val="0"/>
        <w:pageBreakBefore w:val="0"/>
        <w:kinsoku/>
        <w:wordWrap/>
        <w:overflowPunct/>
        <w:topLinePunct w:val="0"/>
        <w:bidi w:val="0"/>
        <w:snapToGrid/>
        <w:spacing w:before="0" w:beforeLines="0" w:after="0" w:afterLines="0" w:line="360" w:lineRule="auto"/>
        <w:ind w:left="0" w:leftChars="0"/>
        <w:textAlignment w:val="auto"/>
        <w:outlineLvl w:val="9"/>
        <w:rPr>
          <w:rFonts w:hint="eastAsia" w:ascii="宋体" w:hAnsi="宋体" w:eastAsia="宋体" w:cs="宋体"/>
          <w:b w:val="0"/>
          <w:bCs/>
          <w:sz w:val="24"/>
          <w:highlight w:val="none"/>
          <w:u w:val="single"/>
          <w:lang w:eastAsia="zh-CN"/>
        </w:rPr>
      </w:pPr>
      <w:r>
        <w:rPr>
          <w:rFonts w:hint="eastAsia" w:ascii="宋体" w:hAnsi="宋体" w:eastAsia="宋体" w:cs="宋体"/>
          <w:b w:val="0"/>
          <w:bCs/>
          <w:sz w:val="24"/>
          <w:highlight w:val="none"/>
        </w:rPr>
        <w:t>发包人（全称）：</w:t>
      </w:r>
      <w:r>
        <w:rPr>
          <w:rFonts w:hint="eastAsia" w:ascii="宋体" w:hAnsi="宋体" w:cs="宋体"/>
          <w:b w:val="0"/>
          <w:bCs/>
          <w:sz w:val="24"/>
          <w:highlight w:val="none"/>
          <w:u w:val="single"/>
          <w:lang w:eastAsia="zh-CN"/>
        </w:rPr>
        <w:t>佛坪县河道管理站(县水政水资源管理办公室）</w:t>
      </w:r>
    </w:p>
    <w:p w14:paraId="32067AC9">
      <w:pPr>
        <w:keepNext w:val="0"/>
        <w:keepLines w:val="0"/>
        <w:pageBreakBefore w:val="0"/>
        <w:kinsoku/>
        <w:wordWrap/>
        <w:overflowPunct/>
        <w:topLinePunct w:val="0"/>
        <w:bidi w:val="0"/>
        <w:snapToGrid/>
        <w:spacing w:before="0" w:beforeLines="0" w:after="0" w:afterLines="0" w:line="360" w:lineRule="auto"/>
        <w:ind w:left="0" w:leftChars="0"/>
        <w:textAlignment w:val="auto"/>
        <w:outlineLvl w:val="9"/>
        <w:rPr>
          <w:rFonts w:hint="eastAsia" w:ascii="宋体" w:hAnsi="宋体" w:eastAsia="宋体" w:cs="宋体"/>
          <w:b w:val="0"/>
          <w:bCs/>
          <w:sz w:val="24"/>
          <w:highlight w:val="none"/>
          <w:u w:val="single"/>
        </w:rPr>
      </w:pPr>
      <w:r>
        <w:rPr>
          <w:rFonts w:hint="eastAsia" w:ascii="宋体" w:hAnsi="宋体" w:eastAsia="宋体" w:cs="宋体"/>
          <w:b w:val="0"/>
          <w:bCs/>
          <w:sz w:val="24"/>
          <w:highlight w:val="none"/>
        </w:rPr>
        <w:t>承包人（全称）：</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lang w:eastAsia="zh-CN"/>
        </w:rPr>
        <w:t></w:t>
      </w:r>
      <w:r>
        <w:rPr>
          <w:rFonts w:hint="eastAsia" w:ascii="宋体" w:hAnsi="宋体" w:eastAsia="宋体" w:cs="宋体"/>
          <w:b w:val="0"/>
          <w:bCs/>
          <w:sz w:val="24"/>
          <w:highlight w:val="none"/>
          <w:u w:val="single"/>
        </w:rPr>
        <w:t xml:space="preserve">  </w:t>
      </w:r>
    </w:p>
    <w:p w14:paraId="5068D371">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根据《中华人民共和国</w:t>
      </w:r>
      <w:r>
        <w:rPr>
          <w:rFonts w:hint="eastAsia" w:ascii="宋体" w:hAnsi="宋体" w:eastAsia="宋体" w:cs="宋体"/>
          <w:b w:val="0"/>
          <w:bCs/>
          <w:sz w:val="24"/>
          <w:highlight w:val="none"/>
          <w:lang w:val="en-US" w:eastAsia="zh-CN"/>
        </w:rPr>
        <w:t>民法典</w:t>
      </w:r>
      <w:r>
        <w:rPr>
          <w:rFonts w:hint="eastAsia" w:ascii="宋体" w:hAnsi="宋体" w:eastAsia="宋体" w:cs="宋体"/>
          <w:b w:val="0"/>
          <w:bCs/>
          <w:sz w:val="24"/>
          <w:highlight w:val="none"/>
        </w:rPr>
        <w:t>》、《中华人民共和国建筑法》及有关法律规定，遵循平等、自愿、公平和诚实信用的原则，双方就</w:t>
      </w:r>
      <w:r>
        <w:rPr>
          <w:rFonts w:hint="eastAsia" w:ascii="宋体" w:hAnsi="宋体" w:cs="宋体"/>
          <w:b w:val="0"/>
          <w:bCs/>
          <w:sz w:val="24"/>
          <w:highlight w:val="none"/>
          <w:u w:val="single"/>
          <w:lang w:eastAsia="zh-CN"/>
        </w:rPr>
        <w:t>佛坪县取水监测计量体系建设项目</w:t>
      </w:r>
      <w:r>
        <w:rPr>
          <w:rFonts w:hint="eastAsia" w:ascii="宋体" w:hAnsi="宋体" w:eastAsia="宋体" w:cs="宋体"/>
          <w:b w:val="0"/>
          <w:bCs/>
          <w:sz w:val="24"/>
          <w:highlight w:val="none"/>
        </w:rPr>
        <w:t>施工及有关事项协商一致，共同达成如下协议：</w:t>
      </w:r>
      <w:bookmarkStart w:id="7" w:name="_Toc351203481"/>
    </w:p>
    <w:p w14:paraId="60946910">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一、工程概况</w:t>
      </w:r>
      <w:bookmarkEnd w:id="7"/>
    </w:p>
    <w:p w14:paraId="0AC73FD5">
      <w:pPr>
        <w:keepNext w:val="0"/>
        <w:keepLines w:val="0"/>
        <w:pageBreakBefore w:val="0"/>
        <w:kinsoku/>
        <w:wordWrap/>
        <w:overflowPunct/>
        <w:topLinePunct w:val="0"/>
        <w:bidi w:val="0"/>
        <w:snapToGrid/>
        <w:spacing w:before="0" w:beforeLines="0" w:after="0" w:afterLines="0" w:line="360" w:lineRule="auto"/>
        <w:ind w:left="0" w:leftChars="0" w:firstLine="470" w:firstLineChars="196"/>
        <w:textAlignment w:val="auto"/>
        <w:outlineLvl w:val="9"/>
        <w:rPr>
          <w:rFonts w:hint="eastAsia" w:ascii="宋体" w:hAnsi="宋体" w:eastAsia="宋体" w:cs="宋体"/>
          <w:b w:val="0"/>
          <w:bCs/>
          <w:sz w:val="24"/>
          <w:highlight w:val="none"/>
          <w:u w:val="single"/>
        </w:rPr>
      </w:pPr>
      <w:r>
        <w:rPr>
          <w:rFonts w:hint="eastAsia" w:ascii="宋体" w:hAnsi="宋体" w:eastAsia="宋体" w:cs="宋体"/>
          <w:b w:val="0"/>
          <w:bCs/>
          <w:sz w:val="24"/>
          <w:highlight w:val="none"/>
        </w:rPr>
        <w:t>1.工程名称：</w:t>
      </w:r>
      <w:r>
        <w:rPr>
          <w:rFonts w:hint="eastAsia" w:ascii="宋体" w:hAnsi="宋体" w:cs="宋体"/>
          <w:b w:val="0"/>
          <w:bCs/>
          <w:sz w:val="24"/>
          <w:highlight w:val="none"/>
          <w:u w:val="single"/>
          <w:lang w:eastAsia="zh-CN"/>
        </w:rPr>
        <w:t>佛坪县取水监测计量体系建设项目</w:t>
      </w:r>
      <w:r>
        <w:rPr>
          <w:rFonts w:hint="eastAsia" w:ascii="宋体" w:hAnsi="宋体" w:eastAsia="宋体" w:cs="宋体"/>
          <w:b w:val="0"/>
          <w:bCs/>
          <w:sz w:val="24"/>
          <w:highlight w:val="none"/>
        </w:rPr>
        <w:t>。</w:t>
      </w:r>
    </w:p>
    <w:p w14:paraId="639213B5">
      <w:pPr>
        <w:keepNext w:val="0"/>
        <w:keepLines w:val="0"/>
        <w:pageBreakBefore w:val="0"/>
        <w:kinsoku/>
        <w:wordWrap/>
        <w:overflowPunct/>
        <w:topLinePunct w:val="0"/>
        <w:bidi w:val="0"/>
        <w:snapToGrid/>
        <w:spacing w:before="0" w:beforeLines="0" w:after="0" w:afterLines="0" w:line="360" w:lineRule="auto"/>
        <w:ind w:left="0" w:leftChars="0" w:firstLine="470" w:firstLineChars="196"/>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2.工程地点：</w:t>
      </w:r>
      <w:r>
        <w:rPr>
          <w:rFonts w:hint="eastAsia" w:ascii="宋体" w:hAnsi="宋体" w:cs="宋体"/>
          <w:b w:val="0"/>
          <w:bCs/>
          <w:sz w:val="24"/>
          <w:highlight w:val="none"/>
          <w:u w:val="single"/>
          <w:lang w:eastAsia="zh-CN"/>
        </w:rPr>
        <w:t>佛坪县</w:t>
      </w:r>
      <w:r>
        <w:rPr>
          <w:rFonts w:hint="eastAsia" w:ascii="宋体" w:hAnsi="宋体" w:eastAsia="宋体" w:cs="宋体"/>
          <w:b w:val="0"/>
          <w:bCs/>
          <w:sz w:val="24"/>
          <w:highlight w:val="none"/>
        </w:rPr>
        <w:t>。</w:t>
      </w:r>
    </w:p>
    <w:p w14:paraId="6C626CC9">
      <w:pPr>
        <w:keepNext w:val="0"/>
        <w:keepLines w:val="0"/>
        <w:pageBreakBefore w:val="0"/>
        <w:kinsoku/>
        <w:wordWrap/>
        <w:overflowPunct/>
        <w:topLinePunct w:val="0"/>
        <w:bidi w:val="0"/>
        <w:snapToGrid/>
        <w:spacing w:before="0" w:beforeLines="0" w:after="0" w:afterLines="0" w:line="360" w:lineRule="auto"/>
        <w:ind w:left="0" w:leftChars="0" w:firstLine="470" w:firstLineChars="196"/>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3.工程立项批准文号：</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w:t>
      </w:r>
    </w:p>
    <w:p w14:paraId="395AFD4E">
      <w:pPr>
        <w:keepNext w:val="0"/>
        <w:keepLines w:val="0"/>
        <w:pageBreakBefore w:val="0"/>
        <w:kinsoku/>
        <w:wordWrap/>
        <w:overflowPunct/>
        <w:topLinePunct w:val="0"/>
        <w:bidi w:val="0"/>
        <w:snapToGrid/>
        <w:spacing w:before="0" w:beforeLines="0" w:after="0" w:afterLines="0" w:line="360" w:lineRule="auto"/>
        <w:ind w:left="0" w:leftChars="0" w:firstLine="470" w:firstLineChars="196"/>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4.资金来源：</w:t>
      </w:r>
      <w:r>
        <w:rPr>
          <w:rFonts w:hint="eastAsia" w:ascii="宋体" w:hAnsi="宋体" w:cs="宋体"/>
          <w:b w:val="0"/>
          <w:bCs/>
          <w:sz w:val="24"/>
          <w:highlight w:val="none"/>
          <w:u w:val="single"/>
          <w:lang w:val="en-US" w:eastAsia="zh-CN"/>
        </w:rPr>
        <w:t>财政资金</w:t>
      </w:r>
      <w:r>
        <w:rPr>
          <w:rFonts w:hint="eastAsia" w:ascii="宋体" w:hAnsi="宋体" w:eastAsia="宋体" w:cs="宋体"/>
          <w:b w:val="0"/>
          <w:bCs/>
          <w:sz w:val="24"/>
          <w:highlight w:val="none"/>
        </w:rPr>
        <w:t>。</w:t>
      </w:r>
    </w:p>
    <w:p w14:paraId="075D2415">
      <w:pPr>
        <w:keepNext w:val="0"/>
        <w:keepLines w:val="0"/>
        <w:pageBreakBefore w:val="0"/>
        <w:kinsoku/>
        <w:wordWrap/>
        <w:overflowPunct/>
        <w:topLinePunct w:val="0"/>
        <w:bidi w:val="0"/>
        <w:snapToGrid/>
        <w:spacing w:before="0" w:beforeLines="0" w:after="0" w:afterLines="0" w:line="360" w:lineRule="auto"/>
        <w:ind w:left="0" w:leftChars="0" w:firstLine="470" w:firstLineChars="196"/>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5.工程内容：</w:t>
      </w:r>
      <w:r>
        <w:rPr>
          <w:rFonts w:hint="eastAsia" w:ascii="宋体" w:hAnsi="宋体" w:eastAsia="宋体" w:cs="宋体"/>
          <w:b w:val="0"/>
          <w:bCs/>
          <w:sz w:val="24"/>
          <w:highlight w:val="none"/>
          <w:u w:val="single"/>
          <w:lang w:val="en-US" w:eastAsia="zh-CN"/>
        </w:rPr>
        <w:t>佛坪县取水口取水监测计量建设的总体目标的是，在2026年进一步提升取用水量监测能力与在线监测覆盖面，基本建成符合新时期发展要求的取水监测计量体系，全面满足水资源定量管理及用水单位用水统计需求，为水资源税核量提供坚实依据，同时强化用水管理信息化手段支撑，推动县域水资源精细化管理水平提升。 实现全县取水许可户取用水监测计量100%全覆盖，涵盖公共供水、工业用水、生活自备用水和服务业，共计建设36个取用水监测点。其中，工业、生活、服务业领域建设29个取用水监测点；农业、养殖业渠首区域建设7个渠道监测点，重点实现3个渔业养殖用水户及1个农业灌溉区域的在线计量监测。项目建成后，逐步推进全县所有取用水户在线计量全覆盖，持续巩固和提升县域取水口取水监测计量建设成效。 本次服务内容包括佛坪县32户取水户的36个取用水监测点在线计量监测站点建设，以及佛坪县自备水源取水户在线监测平台搭建。</w:t>
      </w:r>
    </w:p>
    <w:p w14:paraId="5CE09A47">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6.工程承包范围：</w:t>
      </w:r>
      <w:r>
        <w:rPr>
          <w:rFonts w:hint="eastAsia" w:ascii="宋体" w:hAnsi="宋体" w:cs="宋体"/>
          <w:b w:val="0"/>
          <w:bCs/>
          <w:sz w:val="24"/>
          <w:highlight w:val="none"/>
          <w:u w:val="single"/>
          <w:lang w:val="en-US" w:eastAsia="zh-CN"/>
        </w:rPr>
        <w:t>工程量清单全部内容</w:t>
      </w:r>
      <w:r>
        <w:rPr>
          <w:rFonts w:hint="eastAsia" w:ascii="宋体" w:hAnsi="宋体" w:eastAsia="宋体" w:cs="宋体"/>
          <w:b w:val="0"/>
          <w:bCs/>
          <w:sz w:val="24"/>
          <w:highlight w:val="none"/>
        </w:rPr>
        <w:t>。</w:t>
      </w:r>
      <w:bookmarkStart w:id="8" w:name="_Toc351203482"/>
    </w:p>
    <w:p w14:paraId="25E82AA8">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二、合同工期</w:t>
      </w:r>
      <w:bookmarkEnd w:id="8"/>
    </w:p>
    <w:p w14:paraId="21F6234A">
      <w:pPr>
        <w:keepNext w:val="0"/>
        <w:keepLines w:val="0"/>
        <w:pageBreakBefore w:val="0"/>
        <w:kinsoku/>
        <w:wordWrap/>
        <w:overflowPunct/>
        <w:topLinePunct w:val="0"/>
        <w:bidi w:val="0"/>
        <w:snapToGrid/>
        <w:spacing w:before="0" w:beforeLines="0" w:after="0" w:afterLines="0" w:line="360" w:lineRule="auto"/>
        <w:ind w:left="0" w:leftChars="0" w:firstLine="459"/>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计划开工日期：</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年</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月</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日。</w:t>
      </w:r>
    </w:p>
    <w:p w14:paraId="6F127A09">
      <w:pPr>
        <w:keepNext w:val="0"/>
        <w:keepLines w:val="0"/>
        <w:pageBreakBefore w:val="0"/>
        <w:kinsoku/>
        <w:wordWrap/>
        <w:overflowPunct/>
        <w:topLinePunct w:val="0"/>
        <w:bidi w:val="0"/>
        <w:snapToGrid/>
        <w:spacing w:before="0" w:beforeLines="0" w:after="0" w:afterLines="0" w:line="360" w:lineRule="auto"/>
        <w:ind w:left="0" w:leftChars="0" w:firstLine="459"/>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计划竣工日期：</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年</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月</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日。</w:t>
      </w:r>
    </w:p>
    <w:p w14:paraId="25987C1E">
      <w:pPr>
        <w:keepNext w:val="0"/>
        <w:keepLines w:val="0"/>
        <w:pageBreakBefore w:val="0"/>
        <w:kinsoku/>
        <w:wordWrap/>
        <w:overflowPunct/>
        <w:topLinePunct w:val="0"/>
        <w:bidi w:val="0"/>
        <w:snapToGrid/>
        <w:spacing w:before="0" w:beforeLines="0" w:after="0" w:afterLines="0" w:line="360" w:lineRule="auto"/>
        <w:ind w:left="0" w:leftChars="0" w:firstLine="459"/>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工期总日历天数：</w:t>
      </w:r>
      <w:r>
        <w:rPr>
          <w:rFonts w:hint="eastAsia" w:ascii="宋体" w:hAnsi="宋体" w:cs="宋体"/>
          <w:b w:val="0"/>
          <w:bCs/>
          <w:sz w:val="24"/>
          <w:highlight w:val="none"/>
          <w:u w:val="single"/>
          <w:lang w:val="en-US" w:eastAsia="zh-CN"/>
        </w:rPr>
        <w:t>90</w:t>
      </w:r>
      <w:r>
        <w:rPr>
          <w:rFonts w:hint="eastAsia" w:ascii="宋体" w:hAnsi="宋体" w:eastAsia="宋体" w:cs="宋体"/>
          <w:b w:val="0"/>
          <w:bCs/>
          <w:sz w:val="24"/>
          <w:highlight w:val="none"/>
        </w:rPr>
        <w:t>天。工期总日历天数与根据前述计划开竣工日期计算的工期天数不一致的，以工期总日历天数为准。</w:t>
      </w:r>
    </w:p>
    <w:p w14:paraId="445FD800">
      <w:pPr>
        <w:keepNext w:val="0"/>
        <w:keepLines w:val="0"/>
        <w:pageBreakBefore w:val="0"/>
        <w:kinsoku/>
        <w:wordWrap/>
        <w:overflowPunct/>
        <w:topLinePunct w:val="0"/>
        <w:bidi w:val="0"/>
        <w:snapToGrid/>
        <w:spacing w:before="0" w:beforeLines="0" w:after="0" w:afterLines="0" w:line="360" w:lineRule="auto"/>
        <w:ind w:left="0" w:leftChars="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bookmarkStart w:id="9" w:name="_Toc351203483"/>
      <w:r>
        <w:rPr>
          <w:rFonts w:hint="eastAsia" w:ascii="宋体" w:hAnsi="宋体" w:eastAsia="宋体" w:cs="宋体"/>
          <w:b w:val="0"/>
          <w:bCs/>
          <w:sz w:val="24"/>
          <w:highlight w:val="none"/>
        </w:rPr>
        <w:t>三、质量标准</w:t>
      </w:r>
      <w:bookmarkEnd w:id="9"/>
    </w:p>
    <w:p w14:paraId="37D05498">
      <w:pPr>
        <w:keepNext w:val="0"/>
        <w:keepLines w:val="0"/>
        <w:pageBreakBefore w:val="0"/>
        <w:kinsoku/>
        <w:wordWrap/>
        <w:overflowPunct/>
        <w:topLinePunct w:val="0"/>
        <w:bidi w:val="0"/>
        <w:snapToGrid/>
        <w:spacing w:before="0" w:beforeLines="0" w:after="0" w:afterLines="0" w:line="360" w:lineRule="auto"/>
        <w:ind w:left="0" w:leftChars="0" w:firstLine="459"/>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工程质量符合</w:t>
      </w:r>
      <w:r>
        <w:rPr>
          <w:rFonts w:hint="eastAsia" w:ascii="宋体" w:hAnsi="宋体" w:cs="宋体"/>
          <w:b w:val="0"/>
          <w:bCs/>
          <w:sz w:val="24"/>
          <w:highlight w:val="none"/>
          <w:u w:val="single"/>
          <w:lang w:val="en-US" w:eastAsia="zh-CN"/>
        </w:rPr>
        <w:t>合格</w:t>
      </w:r>
      <w:r>
        <w:rPr>
          <w:rFonts w:hint="eastAsia" w:ascii="宋体" w:hAnsi="宋体" w:eastAsia="宋体" w:cs="宋体"/>
          <w:b w:val="0"/>
          <w:bCs/>
          <w:sz w:val="24"/>
          <w:highlight w:val="none"/>
        </w:rPr>
        <w:t>标准。</w:t>
      </w:r>
    </w:p>
    <w:p w14:paraId="6041092D">
      <w:pPr>
        <w:keepNext w:val="0"/>
        <w:keepLines w:val="0"/>
        <w:pageBreakBefore w:val="0"/>
        <w:kinsoku/>
        <w:wordWrap/>
        <w:overflowPunct/>
        <w:topLinePunct w:val="0"/>
        <w:bidi w:val="0"/>
        <w:snapToGrid/>
        <w:spacing w:before="0" w:beforeLines="0" w:after="0" w:afterLines="0" w:line="360" w:lineRule="auto"/>
        <w:ind w:left="0" w:leftChars="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bookmarkStart w:id="10" w:name="_Toc351203484"/>
      <w:r>
        <w:rPr>
          <w:rFonts w:hint="eastAsia" w:ascii="宋体" w:hAnsi="宋体" w:eastAsia="宋体" w:cs="宋体"/>
          <w:b w:val="0"/>
          <w:bCs/>
          <w:sz w:val="24"/>
          <w:highlight w:val="none"/>
        </w:rPr>
        <w:t>四、签约合同价与合同价格形式</w:t>
      </w:r>
      <w:bookmarkEnd w:id="10"/>
      <w:r>
        <w:rPr>
          <w:rFonts w:hint="eastAsia" w:ascii="宋体" w:hAnsi="宋体" w:eastAsia="宋体" w:cs="宋体"/>
          <w:b w:val="0"/>
          <w:bCs/>
          <w:sz w:val="24"/>
          <w:highlight w:val="none"/>
        </w:rPr>
        <w:tab/>
      </w:r>
    </w:p>
    <w:p w14:paraId="2969BF3E">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1.签约合同价为：</w:t>
      </w:r>
    </w:p>
    <w:p w14:paraId="14DA13AE">
      <w:pPr>
        <w:keepNext w:val="0"/>
        <w:keepLines w:val="0"/>
        <w:pageBreakBefore w:val="0"/>
        <w:kinsoku/>
        <w:wordWrap/>
        <w:overflowPunct/>
        <w:topLinePunct w:val="0"/>
        <w:bidi w:val="0"/>
        <w:snapToGrid/>
        <w:spacing w:before="0" w:beforeLines="0" w:after="0" w:afterLines="0" w:line="360" w:lineRule="auto"/>
        <w:ind w:left="0" w:leftChars="0" w:firstLine="600" w:firstLineChars="25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人民币（大写）</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rPr>
        <w:t>(¥</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rPr>
        <w:t>元)；</w:t>
      </w:r>
    </w:p>
    <w:p w14:paraId="4A6CA095">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其中：</w:t>
      </w:r>
    </w:p>
    <w:p w14:paraId="45C3BD98">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（1）安全文明施工费：</w:t>
      </w:r>
    </w:p>
    <w:p w14:paraId="712EC545">
      <w:pPr>
        <w:keepNext w:val="0"/>
        <w:keepLines w:val="0"/>
        <w:pageBreakBefore w:val="0"/>
        <w:kinsoku/>
        <w:wordWrap/>
        <w:overflowPunct/>
        <w:topLinePunct w:val="0"/>
        <w:bidi w:val="0"/>
        <w:snapToGrid/>
        <w:spacing w:before="0" w:beforeLines="0" w:after="0" w:afterLines="0" w:line="360" w:lineRule="auto"/>
        <w:ind w:left="0" w:leftChars="0" w:firstLine="1080" w:firstLineChars="45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人民币（大写）</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元)；</w:t>
      </w:r>
    </w:p>
    <w:p w14:paraId="35BB8076">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（2）材料和工程设备暂估价金额：</w:t>
      </w:r>
    </w:p>
    <w:p w14:paraId="4DA0FD8B">
      <w:pPr>
        <w:keepNext w:val="0"/>
        <w:keepLines w:val="0"/>
        <w:pageBreakBefore w:val="0"/>
        <w:kinsoku/>
        <w:wordWrap/>
        <w:overflowPunct/>
        <w:topLinePunct w:val="0"/>
        <w:bidi w:val="0"/>
        <w:snapToGrid/>
        <w:spacing w:before="0" w:beforeLines="0" w:after="0" w:afterLines="0" w:line="360" w:lineRule="auto"/>
        <w:ind w:left="0" w:leftChars="0" w:firstLine="1080" w:firstLineChars="45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人民币（大写）</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元)；</w:t>
      </w:r>
    </w:p>
    <w:p w14:paraId="659A2EC7">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（3）专业工程暂估价金额：</w:t>
      </w:r>
    </w:p>
    <w:p w14:paraId="58C7F3E4">
      <w:pPr>
        <w:keepNext w:val="0"/>
        <w:keepLines w:val="0"/>
        <w:pageBreakBefore w:val="0"/>
        <w:kinsoku/>
        <w:wordWrap/>
        <w:overflowPunct/>
        <w:topLinePunct w:val="0"/>
        <w:bidi w:val="0"/>
        <w:snapToGrid/>
        <w:spacing w:before="0" w:beforeLines="0" w:after="0" w:afterLines="0" w:line="360" w:lineRule="auto"/>
        <w:ind w:left="0" w:leftChars="0" w:firstLine="1080" w:firstLineChars="45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人民币（大写）</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元)；</w:t>
      </w:r>
    </w:p>
    <w:p w14:paraId="06453FD2">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（4）暂列金额：</w:t>
      </w:r>
    </w:p>
    <w:p w14:paraId="040A5B2A">
      <w:pPr>
        <w:keepNext w:val="0"/>
        <w:keepLines w:val="0"/>
        <w:pageBreakBefore w:val="0"/>
        <w:kinsoku/>
        <w:wordWrap/>
        <w:overflowPunct/>
        <w:topLinePunct w:val="0"/>
        <w:bidi w:val="0"/>
        <w:snapToGrid/>
        <w:spacing w:before="0" w:beforeLines="0" w:after="0" w:afterLines="0" w:line="360" w:lineRule="auto"/>
        <w:ind w:left="0" w:leftChars="0" w:firstLine="1080" w:firstLineChars="45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人民币（大写）</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元)。</w:t>
      </w:r>
    </w:p>
    <w:p w14:paraId="158F55AE">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2.合同价格形式：</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cs="宋体"/>
          <w:b w:val="0"/>
          <w:bCs/>
          <w:sz w:val="24"/>
          <w:highlight w:val="none"/>
          <w:u w:val="single"/>
          <w:lang w:val="en-US" w:eastAsia="zh-CN"/>
        </w:rPr>
        <w:t>固定总价合同</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w:t>
      </w:r>
    </w:p>
    <w:p w14:paraId="3ED620A9">
      <w:pPr>
        <w:keepNext w:val="0"/>
        <w:keepLines w:val="0"/>
        <w:pageBreakBefore w:val="0"/>
        <w:kinsoku/>
        <w:wordWrap/>
        <w:overflowPunct/>
        <w:topLinePunct w:val="0"/>
        <w:bidi w:val="0"/>
        <w:snapToGrid/>
        <w:spacing w:before="0" w:beforeLines="0" w:after="0" w:afterLines="0" w:line="360" w:lineRule="auto"/>
        <w:ind w:left="0" w:leftChars="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bookmarkStart w:id="11" w:name="_Toc351203485"/>
      <w:r>
        <w:rPr>
          <w:rFonts w:hint="eastAsia" w:ascii="宋体" w:hAnsi="宋体" w:eastAsia="宋体" w:cs="宋体"/>
          <w:b w:val="0"/>
          <w:bCs/>
          <w:sz w:val="24"/>
          <w:highlight w:val="none"/>
        </w:rPr>
        <w:t>五、</w:t>
      </w:r>
      <w:bookmarkEnd w:id="11"/>
      <w:r>
        <w:rPr>
          <w:rFonts w:hint="eastAsia" w:ascii="宋体" w:hAnsi="宋体" w:eastAsia="宋体" w:cs="宋体"/>
          <w:b w:val="0"/>
          <w:bCs/>
          <w:sz w:val="24"/>
          <w:highlight w:val="none"/>
        </w:rPr>
        <w:t>项目经理</w:t>
      </w:r>
    </w:p>
    <w:p w14:paraId="37DB6A4C">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承包人项目经理：</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w:t>
      </w:r>
      <w:r>
        <w:rPr>
          <w:rFonts w:hint="eastAsia" w:ascii="宋体" w:hAnsi="宋体" w:eastAsia="宋体" w:cs="宋体"/>
          <w:b w:val="0"/>
          <w:bCs/>
          <w:sz w:val="24"/>
          <w:highlight w:val="none"/>
        </w:rPr>
        <w:t>。</w:t>
      </w:r>
    </w:p>
    <w:p w14:paraId="5B87872D">
      <w:pPr>
        <w:keepNext w:val="0"/>
        <w:keepLines w:val="0"/>
        <w:pageBreakBefore w:val="0"/>
        <w:kinsoku/>
        <w:wordWrap/>
        <w:overflowPunct/>
        <w:topLinePunct w:val="0"/>
        <w:bidi w:val="0"/>
        <w:snapToGrid/>
        <w:spacing w:before="0" w:beforeLines="0" w:after="0" w:afterLines="0" w:line="360" w:lineRule="auto"/>
        <w:ind w:left="0" w:leftChars="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bookmarkStart w:id="12" w:name="_Toc351203486"/>
      <w:r>
        <w:rPr>
          <w:rFonts w:hint="eastAsia" w:ascii="宋体" w:hAnsi="宋体" w:eastAsia="宋体" w:cs="宋体"/>
          <w:b w:val="0"/>
          <w:bCs/>
          <w:sz w:val="24"/>
          <w:highlight w:val="none"/>
        </w:rPr>
        <w:t>六、合同文件构成</w:t>
      </w:r>
      <w:bookmarkEnd w:id="12"/>
    </w:p>
    <w:p w14:paraId="2480AD31">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本协议书与下列文件一起构成合同文件：</w:t>
      </w:r>
    </w:p>
    <w:p w14:paraId="4F65747E">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（1）中标通知书（如果有）；</w:t>
      </w:r>
    </w:p>
    <w:p w14:paraId="51486AE5">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（2）投标函及其附录（如果有）； </w:t>
      </w:r>
    </w:p>
    <w:p w14:paraId="36E1F1F8">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（3）专用合同条款及其附件；</w:t>
      </w:r>
    </w:p>
    <w:p w14:paraId="77B16388">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（4）通用合同条款；</w:t>
      </w:r>
    </w:p>
    <w:p w14:paraId="3E929EB0">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（5）技术标准和要求；</w:t>
      </w:r>
    </w:p>
    <w:p w14:paraId="0E15326C">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（6）图纸；</w:t>
      </w:r>
    </w:p>
    <w:p w14:paraId="51931C5D">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（7）已标价工程量清单或预算书；</w:t>
      </w:r>
    </w:p>
    <w:p w14:paraId="05367A59">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（8）其他合同文件。</w:t>
      </w:r>
    </w:p>
    <w:p w14:paraId="2C2A9978">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在合同订立及履行过程中形成的与合同有关的文件均构成合同文件组成部分。</w:t>
      </w:r>
    </w:p>
    <w:p w14:paraId="54F0F6EA">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上述各项合同文件包括合同当事人就该项合同文件所作出的补充和修改，属于同一类内容的文件，应以最新签署的为准。专用合同条款及其附件须经合同当事人签字或盖章。</w:t>
      </w:r>
    </w:p>
    <w:p w14:paraId="18662E1A">
      <w:pPr>
        <w:keepNext w:val="0"/>
        <w:keepLines w:val="0"/>
        <w:pageBreakBefore w:val="0"/>
        <w:kinsoku/>
        <w:wordWrap/>
        <w:overflowPunct/>
        <w:topLinePunct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 xml:space="preserve">    </w:t>
      </w:r>
      <w:bookmarkStart w:id="13" w:name="_Toc351203487"/>
      <w:r>
        <w:rPr>
          <w:rFonts w:hint="eastAsia" w:ascii="宋体" w:hAnsi="宋体"/>
          <w:sz w:val="24"/>
          <w:highlight w:val="none"/>
        </w:rPr>
        <w:t>七、承诺</w:t>
      </w:r>
      <w:bookmarkEnd w:id="13"/>
    </w:p>
    <w:p w14:paraId="1C90BDB1">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1.发包人承诺按照法律规定履行项目审批手续、筹集工程建设资金并按照合同约定的期限和方式支付合同价款。</w:t>
      </w:r>
    </w:p>
    <w:p w14:paraId="370A663C">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2.承包人承诺按照法律规定及合同约定组织完成工程施工，确保工程质量和安全，不进行转包及违法分包，并在缺陷责任期及保修期内承担相应的工程维修责任。</w:t>
      </w:r>
    </w:p>
    <w:p w14:paraId="45ACEAC3">
      <w:pPr>
        <w:keepNext w:val="0"/>
        <w:keepLines w:val="0"/>
        <w:pageBreakBefore w:val="0"/>
        <w:widowControl/>
        <w:kinsoku/>
        <w:wordWrap/>
        <w:overflowPunct/>
        <w:topLinePunct w:val="0"/>
        <w:autoSpaceDE w:val="0"/>
        <w:bidi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3.发包人和承包人通过招投标形式签订合同的，双方理解并承诺不再就同一工程另行签订与合同实质性内容相背离的协议。</w:t>
      </w:r>
    </w:p>
    <w:p w14:paraId="563D4C9E">
      <w:pPr>
        <w:keepNext w:val="0"/>
        <w:keepLines w:val="0"/>
        <w:pageBreakBefore w:val="0"/>
        <w:widowControl/>
        <w:kinsoku/>
        <w:wordWrap/>
        <w:overflowPunct/>
        <w:topLinePunct w:val="0"/>
        <w:autoSpaceDE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bookmarkStart w:id="14" w:name="_Toc351203488"/>
      <w:bookmarkEnd w:id="14"/>
      <w:r>
        <w:rPr>
          <w:rFonts w:hint="eastAsia" w:ascii="宋体" w:hAnsi="宋体"/>
          <w:b/>
          <w:bCs/>
          <w:sz w:val="24"/>
          <w:highlight w:val="none"/>
        </w:rPr>
        <w:t xml:space="preserve">   </w:t>
      </w:r>
      <w:r>
        <w:rPr>
          <w:rFonts w:hint="eastAsia" w:ascii="宋体" w:hAnsi="宋体"/>
          <w:sz w:val="24"/>
          <w:highlight w:val="none"/>
        </w:rPr>
        <w:t xml:space="preserve"> 八、词语含义</w:t>
      </w:r>
    </w:p>
    <w:p w14:paraId="1E61DA35">
      <w:pPr>
        <w:keepNext w:val="0"/>
        <w:keepLines w:val="0"/>
        <w:pageBreakBefore w:val="0"/>
        <w:widowControl/>
        <w:kinsoku/>
        <w:wordWrap/>
        <w:overflowPunct/>
        <w:topLinePunct w:val="0"/>
        <w:autoSpaceDE w:val="0"/>
        <w:bidi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本协议书中词语含义与第二部分通用合同条款中赋予的含义相同。</w:t>
      </w:r>
    </w:p>
    <w:p w14:paraId="5E9332F4">
      <w:pPr>
        <w:keepNext w:val="0"/>
        <w:keepLines w:val="0"/>
        <w:pageBreakBefore w:val="0"/>
        <w:widowControl/>
        <w:kinsoku/>
        <w:wordWrap/>
        <w:overflowPunct/>
        <w:topLinePunct w:val="0"/>
        <w:autoSpaceDE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 xml:space="preserve">    </w:t>
      </w:r>
      <w:bookmarkStart w:id="15" w:name="_Toc351203489"/>
      <w:r>
        <w:rPr>
          <w:rFonts w:hint="eastAsia" w:ascii="宋体" w:hAnsi="宋体"/>
          <w:sz w:val="24"/>
          <w:highlight w:val="none"/>
        </w:rPr>
        <w:t>九、签订时间</w:t>
      </w:r>
      <w:bookmarkEnd w:id="15"/>
    </w:p>
    <w:p w14:paraId="19DED0F2">
      <w:pPr>
        <w:keepNext w:val="0"/>
        <w:keepLines w:val="0"/>
        <w:pageBreakBefore w:val="0"/>
        <w:widowControl/>
        <w:kinsoku/>
        <w:wordWrap/>
        <w:overflowPunct/>
        <w:topLinePunct w:val="0"/>
        <w:autoSpaceDE w:val="0"/>
        <w:bidi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本合同于</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日签订。</w:t>
      </w:r>
    </w:p>
    <w:p w14:paraId="14BB89C2">
      <w:pPr>
        <w:keepNext w:val="0"/>
        <w:keepLines w:val="0"/>
        <w:pageBreakBefore w:val="0"/>
        <w:widowControl/>
        <w:kinsoku/>
        <w:wordWrap/>
        <w:overflowPunct/>
        <w:topLinePunct w:val="0"/>
        <w:autoSpaceDE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 xml:space="preserve">    </w:t>
      </w:r>
      <w:bookmarkStart w:id="16" w:name="_Toc351203490"/>
      <w:bookmarkEnd w:id="16"/>
      <w:r>
        <w:rPr>
          <w:rFonts w:hint="eastAsia" w:ascii="宋体" w:hAnsi="宋体"/>
          <w:sz w:val="24"/>
          <w:highlight w:val="none"/>
        </w:rPr>
        <w:t>十、签订地点</w:t>
      </w:r>
    </w:p>
    <w:p w14:paraId="7AB61CE7">
      <w:pPr>
        <w:keepNext w:val="0"/>
        <w:keepLines w:val="0"/>
        <w:pageBreakBefore w:val="0"/>
        <w:widowControl/>
        <w:kinsoku/>
        <w:wordWrap/>
        <w:overflowPunct/>
        <w:topLinePunct w:val="0"/>
        <w:autoSpaceDE w:val="0"/>
        <w:bidi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本合同在</w:t>
      </w:r>
      <w:r>
        <w:rPr>
          <w:rFonts w:hint="eastAsia" w:ascii="宋体" w:hAnsi="宋体"/>
          <w:sz w:val="24"/>
          <w:highlight w:val="none"/>
          <w:u w:val="single"/>
        </w:rPr>
        <w:t xml:space="preserve">                                    </w:t>
      </w:r>
      <w:r>
        <w:rPr>
          <w:rFonts w:hint="eastAsia" w:ascii="宋体" w:hAnsi="宋体"/>
          <w:sz w:val="24"/>
          <w:highlight w:val="none"/>
        </w:rPr>
        <w:t>签订。</w:t>
      </w:r>
    </w:p>
    <w:p w14:paraId="0F3DB8BB">
      <w:pPr>
        <w:keepNext w:val="0"/>
        <w:keepLines w:val="0"/>
        <w:pageBreakBefore w:val="0"/>
        <w:widowControl/>
        <w:kinsoku/>
        <w:wordWrap/>
        <w:overflowPunct/>
        <w:topLinePunct w:val="0"/>
        <w:autoSpaceDE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 xml:space="preserve">    </w:t>
      </w:r>
      <w:bookmarkStart w:id="17" w:name="_Toc351203491"/>
      <w:bookmarkEnd w:id="17"/>
      <w:r>
        <w:rPr>
          <w:rFonts w:hint="eastAsia" w:ascii="宋体" w:hAnsi="宋体"/>
          <w:sz w:val="24"/>
          <w:highlight w:val="none"/>
        </w:rPr>
        <w:t>十一、补充协议</w:t>
      </w:r>
    </w:p>
    <w:p w14:paraId="48D316F9">
      <w:pPr>
        <w:keepNext w:val="0"/>
        <w:keepLines w:val="0"/>
        <w:pageBreakBefore w:val="0"/>
        <w:widowControl/>
        <w:kinsoku/>
        <w:wordWrap/>
        <w:overflowPunct/>
        <w:topLinePunct w:val="0"/>
        <w:autoSpaceDE w:val="0"/>
        <w:bidi w:val="0"/>
        <w:snapToGrid/>
        <w:spacing w:before="0" w:beforeLines="0" w:after="0" w:afterLines="0" w:line="360" w:lineRule="auto"/>
        <w:ind w:left="0" w:leftChars="0" w:firstLine="480" w:firstLineChars="200"/>
        <w:jc w:val="left"/>
        <w:textAlignment w:val="auto"/>
        <w:outlineLvl w:val="9"/>
        <w:rPr>
          <w:rFonts w:hint="eastAsia" w:ascii="宋体" w:hAnsi="宋体"/>
          <w:b/>
          <w:bCs/>
          <w:sz w:val="24"/>
          <w:highlight w:val="none"/>
        </w:rPr>
      </w:pPr>
      <w:r>
        <w:rPr>
          <w:rFonts w:hint="eastAsia" w:ascii="宋体" w:hAnsi="宋体"/>
          <w:sz w:val="24"/>
          <w:highlight w:val="none"/>
        </w:rPr>
        <w:t>合同未尽事宜，合同当事人另行签订补充协议，补充协议是合同的组成部分。</w:t>
      </w:r>
    </w:p>
    <w:p w14:paraId="3CD88F8D">
      <w:pPr>
        <w:keepNext w:val="0"/>
        <w:keepLines w:val="0"/>
        <w:pageBreakBefore w:val="0"/>
        <w:widowControl/>
        <w:kinsoku/>
        <w:wordWrap/>
        <w:overflowPunct/>
        <w:topLinePunct w:val="0"/>
        <w:autoSpaceDE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 xml:space="preserve">    </w:t>
      </w:r>
      <w:bookmarkStart w:id="18" w:name="_Toc351203492"/>
      <w:bookmarkEnd w:id="18"/>
      <w:r>
        <w:rPr>
          <w:rFonts w:hint="eastAsia" w:ascii="宋体" w:hAnsi="宋体"/>
          <w:sz w:val="24"/>
          <w:highlight w:val="none"/>
        </w:rPr>
        <w:t>十二、合同生效</w:t>
      </w:r>
    </w:p>
    <w:p w14:paraId="297AA421">
      <w:pPr>
        <w:keepNext w:val="0"/>
        <w:keepLines w:val="0"/>
        <w:pageBreakBefore w:val="0"/>
        <w:widowControl/>
        <w:kinsoku/>
        <w:wordWrap/>
        <w:overflowPunct/>
        <w:topLinePunct w:val="0"/>
        <w:autoSpaceDE w:val="0"/>
        <w:bidi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本合同自</w:t>
      </w:r>
      <w:r>
        <w:rPr>
          <w:rFonts w:hint="eastAsia" w:ascii="宋体" w:hAnsi="宋体"/>
          <w:sz w:val="24"/>
          <w:highlight w:val="none"/>
          <w:u w:val="single"/>
        </w:rPr>
        <w:t xml:space="preserve">  </w:t>
      </w:r>
      <w:r>
        <w:rPr>
          <w:rFonts w:hint="eastAsia" w:ascii="宋体" w:hAnsi="宋体"/>
          <w:kern w:val="2"/>
          <w:sz w:val="24"/>
          <w:highlight w:val="none"/>
          <w:u w:val="single"/>
        </w:rPr>
        <w:t>发包方和承包方的法定代表人或其授权代理人在协议书上签字并盖单位章后本合同</w:t>
      </w:r>
      <w:r>
        <w:rPr>
          <w:rFonts w:hint="eastAsia" w:ascii="宋体" w:hAnsi="宋体"/>
          <w:sz w:val="24"/>
          <w:highlight w:val="none"/>
          <w:u w:val="single"/>
        </w:rPr>
        <w:t xml:space="preserve">  </w:t>
      </w:r>
      <w:r>
        <w:rPr>
          <w:rFonts w:hint="eastAsia" w:ascii="宋体" w:hAnsi="宋体"/>
          <w:sz w:val="24"/>
          <w:highlight w:val="none"/>
        </w:rPr>
        <w:t>生效。</w:t>
      </w:r>
    </w:p>
    <w:p w14:paraId="38235E09">
      <w:pPr>
        <w:keepNext w:val="0"/>
        <w:keepLines w:val="0"/>
        <w:pageBreakBefore w:val="0"/>
        <w:widowControl/>
        <w:kinsoku/>
        <w:wordWrap/>
        <w:overflowPunct/>
        <w:topLinePunct w:val="0"/>
        <w:autoSpaceDE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 xml:space="preserve">    </w:t>
      </w:r>
      <w:bookmarkStart w:id="19" w:name="_Toc351203493"/>
      <w:bookmarkEnd w:id="19"/>
      <w:r>
        <w:rPr>
          <w:rFonts w:hint="eastAsia" w:ascii="宋体" w:hAnsi="宋体"/>
          <w:sz w:val="24"/>
          <w:highlight w:val="none"/>
        </w:rPr>
        <w:t>十三、合同份数</w:t>
      </w:r>
    </w:p>
    <w:p w14:paraId="4DBB78A8">
      <w:pPr>
        <w:keepNext w:val="0"/>
        <w:keepLines w:val="0"/>
        <w:pageBreakBefore w:val="0"/>
        <w:widowControl/>
        <w:kinsoku/>
        <w:wordWrap/>
        <w:overflowPunct/>
        <w:topLinePunct w:val="0"/>
        <w:bidi w:val="0"/>
        <w:snapToGrid/>
        <w:spacing w:before="0" w:beforeLines="0" w:after="0" w:afterLines="0" w:line="360" w:lineRule="auto"/>
        <w:ind w:left="0" w:leftChars="0"/>
        <w:jc w:val="left"/>
        <w:textAlignment w:val="auto"/>
        <w:outlineLvl w:val="9"/>
        <w:rPr>
          <w:rFonts w:hint="eastAsia" w:ascii="宋体" w:hAnsi="宋体" w:eastAsia="宋体" w:cs="宋体"/>
          <w:b w:val="0"/>
          <w:bCs/>
          <w:sz w:val="24"/>
          <w:highlight w:val="none"/>
        </w:rPr>
      </w:pPr>
      <w:r>
        <w:rPr>
          <w:rFonts w:hint="eastAsia" w:ascii="宋体" w:hAnsi="宋体"/>
          <w:sz w:val="24"/>
          <w:highlight w:val="none"/>
        </w:rPr>
        <w:t>本合同一式</w:t>
      </w:r>
      <w:r>
        <w:rPr>
          <w:rFonts w:hint="eastAsia" w:ascii="宋体" w:hAnsi="宋体"/>
          <w:sz w:val="24"/>
          <w:highlight w:val="none"/>
          <w:u w:val="single"/>
          <w:lang w:val="en-US" w:eastAsia="zh-CN"/>
        </w:rPr>
        <w:t xml:space="preserve">     </w:t>
      </w:r>
      <w:r>
        <w:rPr>
          <w:rFonts w:hint="eastAsia" w:ascii="宋体" w:hAnsi="宋体"/>
          <w:sz w:val="24"/>
          <w:highlight w:val="none"/>
        </w:rPr>
        <w:t>份，均具有同等法律效力，</w:t>
      </w:r>
      <w:r>
        <w:rPr>
          <w:rFonts w:hint="eastAsia" w:ascii="宋体" w:hAnsi="宋体"/>
          <w:kern w:val="2"/>
          <w:sz w:val="24"/>
          <w:highlight w:val="none"/>
        </w:rPr>
        <w:t>双方各持</w:t>
      </w:r>
      <w:r>
        <w:rPr>
          <w:rFonts w:hint="eastAsia" w:ascii="宋体" w:hAnsi="宋体"/>
          <w:kern w:val="2"/>
          <w:sz w:val="24"/>
          <w:highlight w:val="none"/>
          <w:u w:val="single"/>
          <w:lang w:val="en-US" w:eastAsia="zh-CN"/>
        </w:rPr>
        <w:t xml:space="preserve">     </w:t>
      </w:r>
      <w:r>
        <w:rPr>
          <w:rFonts w:hint="eastAsia" w:ascii="宋体" w:hAnsi="宋体"/>
          <w:kern w:val="2"/>
          <w:sz w:val="24"/>
          <w:highlight w:val="none"/>
        </w:rPr>
        <w:t>份</w:t>
      </w:r>
      <w:r>
        <w:rPr>
          <w:rFonts w:hint="eastAsia" w:ascii="宋体" w:hAnsi="宋体"/>
          <w:sz w:val="24"/>
          <w:highlight w:val="none"/>
        </w:rPr>
        <w:t>。</w:t>
      </w:r>
    </w:p>
    <w:p w14:paraId="3738CCCC">
      <w:pPr>
        <w:spacing w:line="360" w:lineRule="auto"/>
        <w:outlineLvl w:val="9"/>
        <w:rPr>
          <w:rFonts w:hint="eastAsia" w:ascii="宋体" w:hAnsi="宋体" w:eastAsia="宋体" w:cs="宋体"/>
          <w:b w:val="0"/>
          <w:bCs/>
          <w:sz w:val="24"/>
          <w:highlight w:val="none"/>
          <w:u w:val="single"/>
        </w:rPr>
      </w:pPr>
      <w:r>
        <w:rPr>
          <w:rFonts w:hint="eastAsia" w:ascii="宋体" w:hAnsi="宋体" w:eastAsia="宋体" w:cs="宋体"/>
          <w:b w:val="0"/>
          <w:bCs/>
          <w:sz w:val="24"/>
          <w:highlight w:val="none"/>
        </w:rPr>
        <w:t>发包人：</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(公章) </w:t>
      </w:r>
      <w:r>
        <w:rPr>
          <w:rFonts w:hint="eastAsia" w:ascii="宋体" w:hAnsi="宋体" w:eastAsia="宋体" w:cs="宋体"/>
          <w:b w:val="0"/>
          <w:bCs/>
          <w:sz w:val="24"/>
          <w:highlight w:val="none"/>
        </w:rPr>
        <w:t xml:space="preserve">   承包人：</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(公章)</w:t>
      </w:r>
    </w:p>
    <w:p w14:paraId="70A98645">
      <w:pPr>
        <w:spacing w:line="360" w:lineRule="auto"/>
        <w:outlineLvl w:val="9"/>
        <w:rPr>
          <w:rFonts w:hint="default" w:ascii="宋体" w:hAnsi="宋体" w:eastAsia="宋体" w:cs="宋体"/>
          <w:b w:val="0"/>
          <w:bCs/>
          <w:sz w:val="24"/>
          <w:highlight w:val="none"/>
          <w:u w:val="single"/>
          <w:lang w:val="en-US" w:eastAsia="zh-CN"/>
        </w:rPr>
      </w:pPr>
      <w:r>
        <w:rPr>
          <w:rFonts w:hint="eastAsia" w:ascii="宋体" w:hAnsi="宋体" w:eastAsia="宋体" w:cs="宋体"/>
          <w:b w:val="0"/>
          <w:bCs/>
          <w:sz w:val="24"/>
          <w:highlight w:val="none"/>
        </w:rPr>
        <w:t>法定代表人</w:t>
      </w:r>
      <w:r>
        <w:rPr>
          <w:rFonts w:hint="eastAsia" w:ascii="宋体" w:hAnsi="宋体" w:eastAsia="宋体" w:cs="宋体"/>
          <w:b w:val="0"/>
          <w:bCs/>
          <w:sz w:val="24"/>
          <w:highlight w:val="none"/>
          <w:lang w:val="en-US" w:eastAsia="zh-CN"/>
        </w:rPr>
        <w:t>或其</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u w:val="none"/>
        </w:rPr>
        <w:t xml:space="preserve">              </w:t>
      </w:r>
      <w:r>
        <w:rPr>
          <w:rFonts w:hint="eastAsia" w:ascii="宋体" w:hAnsi="宋体" w:eastAsia="宋体" w:cs="宋体"/>
          <w:b w:val="0"/>
          <w:bCs/>
          <w:sz w:val="24"/>
          <w:highlight w:val="none"/>
          <w:u w:val="non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法定代表人或其</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none"/>
          <w:lang w:val="en-US" w:eastAsia="zh-CN"/>
        </w:rPr>
        <w:t xml:space="preserve">                    </w:t>
      </w:r>
      <w:r>
        <w:rPr>
          <w:rFonts w:hint="eastAsia" w:ascii="宋体" w:hAnsi="宋体" w:eastAsia="宋体" w:cs="宋体"/>
          <w:b w:val="0"/>
          <w:bCs/>
          <w:color w:val="FFFFFF"/>
          <w:sz w:val="24"/>
          <w:highlight w:val="none"/>
          <w:u w:val="none"/>
          <w:lang w:val="en-US" w:eastAsia="zh-CN"/>
        </w:rPr>
        <w:t>.</w:t>
      </w:r>
      <w:r>
        <w:rPr>
          <w:rFonts w:hint="eastAsia" w:ascii="宋体" w:hAnsi="宋体" w:eastAsia="宋体" w:cs="宋体"/>
          <w:b w:val="0"/>
          <w:bCs/>
          <w:sz w:val="24"/>
          <w:highlight w:val="none"/>
          <w:u w:val="single"/>
          <w:lang w:val="en-US" w:eastAsia="zh-CN"/>
        </w:rPr>
        <w:t xml:space="preserve">  </w:t>
      </w:r>
    </w:p>
    <w:p w14:paraId="33C57112">
      <w:pPr>
        <w:spacing w:line="360" w:lineRule="auto"/>
        <w:outlineLvl w:val="9"/>
        <w:rPr>
          <w:rFonts w:hint="default" w:ascii="宋体" w:hAnsi="宋体" w:eastAsia="宋体" w:cs="宋体"/>
          <w:b w:val="0"/>
          <w:bCs/>
          <w:color w:val="FFFFFF"/>
          <w:sz w:val="24"/>
          <w:highlight w:val="none"/>
          <w:u w:val="single"/>
          <w:lang w:val="en-US" w:eastAsia="zh-CN"/>
        </w:rPr>
      </w:pPr>
      <w:r>
        <w:rPr>
          <w:rFonts w:hint="eastAsia" w:ascii="宋体" w:hAnsi="宋体" w:eastAsia="宋体" w:cs="宋体"/>
          <w:b w:val="0"/>
          <w:bCs/>
          <w:sz w:val="24"/>
          <w:highlight w:val="none"/>
        </w:rPr>
        <w:t>委托代理人（签字）：</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委托代理人（签字）：</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color w:val="FFFFFF"/>
          <w:sz w:val="24"/>
          <w:highlight w:val="none"/>
          <w:u w:val="single"/>
          <w:lang w:val="en-US" w:eastAsia="zh-CN"/>
        </w:rPr>
        <w:t>.</w:t>
      </w:r>
    </w:p>
    <w:p w14:paraId="5AD2541B">
      <w:pPr>
        <w:tabs>
          <w:tab w:val="left" w:pos="4410"/>
        </w:tabs>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组织机构代码：</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组织机构代码：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        </w:t>
      </w:r>
      <w:r>
        <w:rPr>
          <w:rFonts w:hint="eastAsia" w:ascii="宋体" w:hAnsi="宋体" w:eastAsia="宋体" w:cs="宋体"/>
          <w:b w:val="0"/>
          <w:bCs/>
          <w:sz w:val="24"/>
          <w:highlight w:val="none"/>
        </w:rPr>
        <w:t xml:space="preserve"> </w:t>
      </w:r>
    </w:p>
    <w:p w14:paraId="350AE5FA">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地  址：</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地  址：</w:t>
      </w:r>
      <w:r>
        <w:rPr>
          <w:rFonts w:hint="eastAsia" w:ascii="宋体" w:hAnsi="宋体" w:eastAsia="宋体" w:cs="宋体"/>
          <w:b w:val="0"/>
          <w:bCs/>
          <w:sz w:val="24"/>
          <w:highlight w:val="none"/>
          <w:u w:val="single"/>
        </w:rPr>
        <w:t xml:space="preserve"> 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      </w:t>
      </w:r>
    </w:p>
    <w:p w14:paraId="0C207D0F">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邮政编码：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邮政编码：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42E44502">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电  话：</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电  话：</w:t>
      </w:r>
      <w:r>
        <w:rPr>
          <w:rFonts w:hint="eastAsia" w:ascii="宋体" w:hAnsi="宋体" w:eastAsia="宋体" w:cs="宋体"/>
          <w:b w:val="0"/>
          <w:bCs/>
          <w:sz w:val="24"/>
          <w:highlight w:val="none"/>
          <w:u w:val="single"/>
        </w:rPr>
        <w:t>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390E9C0F">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传  真：</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传  真：</w:t>
      </w:r>
      <w:r>
        <w:rPr>
          <w:rFonts w:hint="eastAsia" w:ascii="宋体" w:hAnsi="宋体" w:eastAsia="宋体" w:cs="宋体"/>
          <w:b w:val="0"/>
          <w:bCs/>
          <w:sz w:val="24"/>
          <w:highlight w:val="none"/>
          <w:u w:val="single"/>
        </w:rPr>
        <w:t>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   </w:t>
      </w:r>
    </w:p>
    <w:p w14:paraId="20FB09AD">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电子信箱：</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电子信箱：</w:t>
      </w:r>
      <w:r>
        <w:rPr>
          <w:rFonts w:hint="eastAsia" w:ascii="宋体" w:hAnsi="宋体" w:eastAsia="宋体" w:cs="宋体"/>
          <w:b w:val="0"/>
          <w:bCs/>
          <w:sz w:val="24"/>
          <w:highlight w:val="none"/>
          <w:u w:val="single"/>
        </w:rPr>
        <w:t>   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6A93B796">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开户银行：</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开户银行：</w:t>
      </w:r>
      <w:r>
        <w:rPr>
          <w:rFonts w:hint="eastAsia" w:ascii="宋体" w:hAnsi="宋体" w:eastAsia="宋体" w:cs="宋体"/>
          <w:b w:val="0"/>
          <w:bCs/>
          <w:sz w:val="24"/>
          <w:highlight w:val="none"/>
          <w:u w:val="single"/>
        </w:rPr>
        <w:t>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3247C01C">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账  号：</w:t>
      </w:r>
      <w:r>
        <w:rPr>
          <w:rFonts w:hint="eastAsia" w:ascii="宋体" w:hAnsi="宋体" w:eastAsia="宋体" w:cs="宋体"/>
          <w:b w:val="0"/>
          <w:bCs/>
          <w:sz w:val="24"/>
          <w:highlight w:val="none"/>
          <w:u w:val="single"/>
        </w:rPr>
        <w:t xml:space="preserve"> 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账  号：</w:t>
      </w:r>
      <w:r>
        <w:rPr>
          <w:rFonts w:hint="eastAsia" w:ascii="宋体" w:hAnsi="宋体" w:eastAsia="宋体" w:cs="宋体"/>
          <w:b w:val="0"/>
          <w:bCs/>
          <w:sz w:val="24"/>
          <w:highlight w:val="none"/>
          <w:u w:val="single"/>
        </w:rPr>
        <w:t>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3A0052C9">
      <w:pPr>
        <w:jc w:val="center"/>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br w:type="page"/>
      </w:r>
      <w:bookmarkStart w:id="20" w:name="_Toc351203494"/>
      <w:r>
        <w:rPr>
          <w:rFonts w:hint="eastAsia" w:ascii="宋体" w:hAnsi="宋体" w:eastAsia="宋体" w:cs="宋体"/>
          <w:b w:val="0"/>
          <w:bCs/>
          <w:sz w:val="32"/>
          <w:szCs w:val="32"/>
          <w:highlight w:val="none"/>
        </w:rPr>
        <w:t>第二部分 通用合同条款</w:t>
      </w:r>
      <w:bookmarkEnd w:id="20"/>
    </w:p>
    <w:p w14:paraId="66EE0857">
      <w:pPr>
        <w:jc w:val="left"/>
        <w:outlineLvl w:val="9"/>
        <w:rPr>
          <w:rFonts w:hint="eastAsia" w:ascii="宋体" w:hAnsi="宋体" w:eastAsia="宋体" w:cs="宋体"/>
          <w:b w:val="0"/>
          <w:bCs/>
          <w:sz w:val="30"/>
          <w:szCs w:val="30"/>
          <w:highlight w:val="none"/>
        </w:rPr>
      </w:pPr>
    </w:p>
    <w:p w14:paraId="6E106E18">
      <w:pPr>
        <w:ind w:left="0" w:leftChars="0" w:firstLine="0" w:firstLineChars="0"/>
        <w:jc w:val="left"/>
        <w:outlineLvl w:val="9"/>
        <w:rPr>
          <w:rFonts w:hint="eastAsia" w:ascii="宋体" w:hAnsi="宋体" w:eastAsia="宋体" w:cs="宋体"/>
          <w:b w:val="0"/>
          <w:bCs/>
          <w:sz w:val="24"/>
          <w:highlight w:val="none"/>
        </w:rPr>
      </w:pPr>
      <w:r>
        <w:rPr>
          <w:rFonts w:hint="eastAsia" w:ascii="宋体" w:hAnsi="宋体" w:eastAsia="宋体" w:cs="宋体"/>
          <w:b w:val="0"/>
          <w:bCs/>
          <w:sz w:val="30"/>
          <w:szCs w:val="30"/>
          <w:highlight w:val="none"/>
        </w:rPr>
        <w:t>执行《建设工程施工合同（示范文本）》（GF-2017-0201）版本</w:t>
      </w:r>
    </w:p>
    <w:p w14:paraId="488C41A6">
      <w:pPr>
        <w:jc w:val="both"/>
        <w:outlineLvl w:val="9"/>
        <w:rPr>
          <w:rFonts w:hint="eastAsia" w:ascii="宋体" w:hAnsi="宋体"/>
          <w:b/>
          <w:sz w:val="36"/>
          <w:highlight w:val="none"/>
        </w:rPr>
      </w:pPr>
    </w:p>
    <w:p w14:paraId="32FB647C">
      <w:pPr>
        <w:pStyle w:val="9"/>
        <w:outlineLvl w:val="9"/>
        <w:rPr>
          <w:rFonts w:hint="eastAsia"/>
          <w:highlight w:val="none"/>
        </w:rPr>
      </w:pPr>
    </w:p>
    <w:p w14:paraId="38B64C54">
      <w:pPr>
        <w:outlineLvl w:val="9"/>
        <w:rPr>
          <w:rFonts w:hint="eastAsia"/>
          <w:highlight w:val="none"/>
        </w:rPr>
      </w:pPr>
    </w:p>
    <w:p w14:paraId="1B1FC127">
      <w:pPr>
        <w:pStyle w:val="24"/>
        <w:outlineLvl w:val="9"/>
        <w:rPr>
          <w:rFonts w:hint="eastAsia"/>
          <w:highlight w:val="none"/>
        </w:rPr>
      </w:pPr>
    </w:p>
    <w:p w14:paraId="5972BCF0">
      <w:pPr>
        <w:pStyle w:val="24"/>
        <w:outlineLvl w:val="9"/>
        <w:rPr>
          <w:rFonts w:hint="eastAsia"/>
          <w:highlight w:val="none"/>
        </w:rPr>
      </w:pPr>
    </w:p>
    <w:p w14:paraId="72159B0E">
      <w:pPr>
        <w:pStyle w:val="24"/>
        <w:outlineLvl w:val="9"/>
        <w:rPr>
          <w:rFonts w:hint="eastAsia"/>
          <w:highlight w:val="none"/>
        </w:rPr>
      </w:pPr>
    </w:p>
    <w:p w14:paraId="2138ACBC">
      <w:pPr>
        <w:pStyle w:val="24"/>
        <w:outlineLvl w:val="9"/>
        <w:rPr>
          <w:rFonts w:hint="eastAsia"/>
          <w:highlight w:val="none"/>
        </w:rPr>
      </w:pPr>
    </w:p>
    <w:p w14:paraId="50D93BEC">
      <w:pPr>
        <w:pStyle w:val="24"/>
        <w:outlineLvl w:val="9"/>
        <w:rPr>
          <w:rFonts w:hint="eastAsia"/>
          <w:highlight w:val="none"/>
        </w:rPr>
      </w:pPr>
    </w:p>
    <w:p w14:paraId="78394BB4">
      <w:pPr>
        <w:pStyle w:val="24"/>
        <w:outlineLvl w:val="9"/>
        <w:rPr>
          <w:rFonts w:hint="eastAsia"/>
          <w:highlight w:val="none"/>
        </w:rPr>
      </w:pPr>
    </w:p>
    <w:p w14:paraId="30108E03">
      <w:pPr>
        <w:pStyle w:val="24"/>
        <w:outlineLvl w:val="9"/>
        <w:rPr>
          <w:rFonts w:hint="eastAsia"/>
          <w:highlight w:val="none"/>
        </w:rPr>
      </w:pPr>
    </w:p>
    <w:p w14:paraId="62E3D5C6">
      <w:pPr>
        <w:pStyle w:val="24"/>
        <w:outlineLvl w:val="9"/>
        <w:rPr>
          <w:rFonts w:hint="eastAsia"/>
          <w:highlight w:val="none"/>
        </w:rPr>
      </w:pPr>
    </w:p>
    <w:p w14:paraId="5191B559">
      <w:pPr>
        <w:pStyle w:val="24"/>
        <w:outlineLvl w:val="9"/>
        <w:rPr>
          <w:rFonts w:hint="eastAsia"/>
          <w:highlight w:val="none"/>
        </w:rPr>
      </w:pPr>
    </w:p>
    <w:p w14:paraId="2480ABC3">
      <w:pPr>
        <w:pStyle w:val="24"/>
        <w:outlineLvl w:val="9"/>
        <w:rPr>
          <w:rFonts w:hint="eastAsia"/>
          <w:highlight w:val="none"/>
        </w:rPr>
      </w:pPr>
    </w:p>
    <w:p w14:paraId="68DCC8B2">
      <w:pPr>
        <w:pStyle w:val="24"/>
        <w:outlineLvl w:val="9"/>
        <w:rPr>
          <w:rFonts w:hint="eastAsia"/>
          <w:highlight w:val="none"/>
        </w:rPr>
      </w:pPr>
    </w:p>
    <w:p w14:paraId="33BD92EE">
      <w:pPr>
        <w:pStyle w:val="24"/>
        <w:outlineLvl w:val="9"/>
        <w:rPr>
          <w:rFonts w:hint="eastAsia"/>
          <w:highlight w:val="none"/>
        </w:rPr>
      </w:pPr>
    </w:p>
    <w:p w14:paraId="3002D57A">
      <w:pPr>
        <w:pStyle w:val="24"/>
        <w:outlineLvl w:val="9"/>
        <w:rPr>
          <w:rFonts w:hint="eastAsia"/>
          <w:highlight w:val="none"/>
        </w:rPr>
      </w:pPr>
    </w:p>
    <w:p w14:paraId="3814724B">
      <w:pPr>
        <w:pStyle w:val="24"/>
        <w:ind w:left="0" w:leftChars="0" w:firstLine="0" w:firstLineChars="0"/>
        <w:outlineLvl w:val="9"/>
        <w:rPr>
          <w:rFonts w:hint="eastAsia"/>
          <w:highlight w:val="none"/>
        </w:rPr>
      </w:pPr>
    </w:p>
    <w:p w14:paraId="724D7896">
      <w:pPr>
        <w:jc w:val="center"/>
        <w:outlineLvl w:val="9"/>
        <w:rPr>
          <w:rFonts w:hint="eastAsia" w:ascii="宋体" w:hAnsi="宋体" w:eastAsia="宋体" w:cs="宋体"/>
          <w:b w:val="0"/>
          <w:bCs/>
          <w:sz w:val="32"/>
          <w:szCs w:val="32"/>
          <w:highlight w:val="none"/>
        </w:rPr>
      </w:pPr>
      <w:r>
        <w:rPr>
          <w:rFonts w:hint="eastAsia" w:ascii="宋体" w:hAnsi="宋体" w:eastAsia="宋体" w:cs="宋体"/>
          <w:b w:val="0"/>
          <w:bCs/>
          <w:sz w:val="32"/>
          <w:szCs w:val="32"/>
          <w:highlight w:val="none"/>
        </w:rPr>
        <w:t>第三部分 专用合同条款</w:t>
      </w:r>
    </w:p>
    <w:p w14:paraId="3B5D8ADB">
      <w:pPr>
        <w:pStyle w:val="12"/>
        <w:ind w:left="0" w:leftChars="0" w:firstLine="0" w:firstLineChars="0"/>
        <w:rPr>
          <w:color w:val="000000"/>
          <w:highlight w:val="none"/>
        </w:rPr>
      </w:pPr>
    </w:p>
    <w:p w14:paraId="2351B0E8">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21" w:name="_Toc351203633"/>
      <w:r>
        <w:rPr>
          <w:rFonts w:hint="eastAsia" w:ascii="宋体" w:hAnsi="宋体" w:eastAsia="宋体" w:cs="宋体"/>
          <w:color w:val="000000"/>
          <w:sz w:val="21"/>
          <w:szCs w:val="21"/>
          <w:highlight w:val="none"/>
        </w:rPr>
        <w:t>1</w:t>
      </w:r>
      <w:bookmarkStart w:id="22" w:name="_Toc296891196"/>
      <w:bookmarkStart w:id="23" w:name="_Toc296890984"/>
      <w:bookmarkStart w:id="24" w:name="_Toc292559866"/>
      <w:bookmarkStart w:id="25" w:name="_Toc297048342"/>
      <w:bookmarkStart w:id="26" w:name="_Toc296944495"/>
      <w:bookmarkStart w:id="27" w:name="_Toc292559361"/>
      <w:bookmarkStart w:id="28" w:name="_Toc296503156"/>
      <w:bookmarkStart w:id="29" w:name="_Toc297120456"/>
      <w:bookmarkStart w:id="30" w:name="_Toc296347155"/>
      <w:bookmarkStart w:id="31" w:name="_Toc296346657"/>
      <w:r>
        <w:rPr>
          <w:rFonts w:hint="eastAsia" w:ascii="宋体" w:hAnsi="宋体" w:eastAsia="宋体" w:cs="宋体"/>
          <w:color w:val="000000"/>
          <w:sz w:val="21"/>
          <w:szCs w:val="21"/>
          <w:highlight w:val="none"/>
        </w:rPr>
        <w:t>. 一般约定</w:t>
      </w:r>
      <w:bookmarkEnd w:id="21"/>
    </w:p>
    <w:bookmarkEnd w:id="22"/>
    <w:bookmarkEnd w:id="23"/>
    <w:bookmarkEnd w:id="24"/>
    <w:bookmarkEnd w:id="25"/>
    <w:bookmarkEnd w:id="26"/>
    <w:bookmarkEnd w:id="27"/>
    <w:bookmarkEnd w:id="28"/>
    <w:bookmarkEnd w:id="29"/>
    <w:bookmarkEnd w:id="30"/>
    <w:bookmarkEnd w:id="31"/>
    <w:p w14:paraId="245A75B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 词语定义</w:t>
      </w:r>
    </w:p>
    <w:p w14:paraId="271D0BF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1.1.1合同</w:t>
      </w:r>
    </w:p>
    <w:p w14:paraId="665F2D5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1.1.1.10其他合同文件包括：</w:t>
      </w:r>
      <w:r>
        <w:rPr>
          <w:rFonts w:hint="eastAsia" w:ascii="宋体" w:hAnsi="宋体" w:eastAsia="宋体" w:cs="宋体"/>
          <w:color w:val="000000"/>
          <w:sz w:val="21"/>
          <w:szCs w:val="21"/>
          <w:highlight w:val="none"/>
          <w:u w:val="single"/>
        </w:rPr>
        <w:t>①本合同协议书②中标通知书③招标文件及招标答疑文件④投标书及其附件⑤合同专用条款⑥合同通用条款⑦标准、规范及有关技术文件⑧施工图纸⑨工程预算书</w:t>
      </w:r>
      <w:r>
        <w:rPr>
          <w:rFonts w:hint="eastAsia" w:ascii="宋体" w:hAnsi="宋体" w:eastAsia="宋体" w:cs="宋体"/>
          <w:color w:val="000000"/>
          <w:sz w:val="21"/>
          <w:szCs w:val="21"/>
          <w:highlight w:val="none"/>
        </w:rPr>
        <w:t>。</w:t>
      </w:r>
    </w:p>
    <w:p w14:paraId="75F3E6B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 合同当事人及其他相关方</w:t>
      </w:r>
    </w:p>
    <w:p w14:paraId="7975457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1.1.2.4监理人：</w:t>
      </w:r>
    </w:p>
    <w:p w14:paraId="6A5A7D1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B53ECC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3083D9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081BB3F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2A8D9CA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57F8BE8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1.1.2.5 设计人：</w:t>
      </w:r>
    </w:p>
    <w:p w14:paraId="40F2855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6EFC02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0D95E6C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322A2F5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A0670A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0B401CE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 工程和设备</w:t>
      </w:r>
    </w:p>
    <w:p w14:paraId="3A62321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1.1.3.7 作为施工现场组成部分的其他场所包括：</w:t>
      </w:r>
      <w:r>
        <w:rPr>
          <w:rFonts w:hint="eastAsia" w:ascii="宋体" w:hAnsi="宋体" w:eastAsia="宋体" w:cs="宋体"/>
          <w:color w:val="000000"/>
          <w:sz w:val="21"/>
          <w:szCs w:val="21"/>
          <w:highlight w:val="none"/>
          <w:u w:val="single"/>
        </w:rPr>
        <w:t xml:space="preserve"> 无</w:t>
      </w:r>
      <w:r>
        <w:rPr>
          <w:rFonts w:hint="eastAsia" w:ascii="宋体" w:hAnsi="宋体" w:eastAsia="宋体" w:cs="宋体"/>
          <w:color w:val="000000"/>
          <w:sz w:val="21"/>
          <w:szCs w:val="21"/>
          <w:highlight w:val="none"/>
        </w:rPr>
        <w:t>。</w:t>
      </w:r>
    </w:p>
    <w:p w14:paraId="0BE4149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1.1.3.9 永久占地包括：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 </w:t>
      </w:r>
      <w:r>
        <w:rPr>
          <w:rFonts w:hint="eastAsia" w:ascii="宋体" w:hAnsi="宋体" w:eastAsia="宋体" w:cs="宋体"/>
          <w:color w:val="000000"/>
          <w:sz w:val="21"/>
          <w:szCs w:val="21"/>
          <w:highlight w:val="none"/>
          <w:u w:val="single"/>
        </w:rPr>
        <w:t></w:t>
      </w:r>
      <w:r>
        <w:rPr>
          <w:rFonts w:hint="eastAsia" w:ascii="宋体" w:hAnsi="宋体" w:eastAsia="宋体" w:cs="宋体"/>
          <w:color w:val="000000"/>
          <w:kern w:val="0"/>
          <w:sz w:val="21"/>
          <w:szCs w:val="21"/>
          <w:highlight w:val="none"/>
        </w:rPr>
        <w:t>。</w:t>
      </w:r>
    </w:p>
    <w:p w14:paraId="3DB1618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1.1.3.10 临时占地包括：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kern w:val="0"/>
          <w:sz w:val="21"/>
          <w:szCs w:val="21"/>
          <w:highlight w:val="none"/>
        </w:rPr>
        <w:t>。</w:t>
      </w:r>
    </w:p>
    <w:p w14:paraId="13E23C2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1.3法律 </w:t>
      </w:r>
    </w:p>
    <w:p w14:paraId="087A2F25">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适用于合同的其他规范性文件：</w:t>
      </w:r>
      <w:r>
        <w:rPr>
          <w:rFonts w:hint="eastAsia" w:ascii="宋体" w:hAnsi="宋体" w:eastAsia="宋体" w:cs="宋体"/>
          <w:color w:val="000000"/>
          <w:sz w:val="21"/>
          <w:szCs w:val="21"/>
          <w:highlight w:val="none"/>
          <w:u w:val="single"/>
        </w:rPr>
        <w:t>《中华人民共和国建筑法》、《中华人民共和国民法典》、《中华人民共和国招标投标法》、《建筑工程质量管理条例》等</w:t>
      </w:r>
      <w:r>
        <w:rPr>
          <w:rFonts w:hint="eastAsia" w:ascii="宋体" w:hAnsi="宋体" w:eastAsia="宋体" w:cs="宋体"/>
          <w:color w:val="000000"/>
          <w:sz w:val="21"/>
          <w:szCs w:val="21"/>
          <w:highlight w:val="none"/>
        </w:rPr>
        <w:t>。</w:t>
      </w:r>
    </w:p>
    <w:p w14:paraId="342EAA0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 标准和规范</w:t>
      </w:r>
    </w:p>
    <w:p w14:paraId="0231C01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1.4.1适用于工程的标准规范包括：</w:t>
      </w:r>
      <w:r>
        <w:rPr>
          <w:rFonts w:hint="eastAsia" w:ascii="宋体" w:hAnsi="宋体" w:eastAsia="宋体" w:cs="宋体"/>
          <w:color w:val="000000"/>
          <w:sz w:val="21"/>
          <w:szCs w:val="21"/>
          <w:highlight w:val="none"/>
          <w:u w:val="single"/>
        </w:rPr>
        <w:t>《建筑工程施工质量验收统一标准》</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电气装置安装工程 电缆线路施工及验收规范</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等国家现行建设工程适用标准和规范</w:t>
      </w:r>
      <w:r>
        <w:rPr>
          <w:rFonts w:hint="eastAsia" w:ascii="宋体" w:hAnsi="宋体" w:eastAsia="宋体" w:cs="宋体"/>
          <w:color w:val="000000"/>
          <w:sz w:val="21"/>
          <w:szCs w:val="21"/>
          <w:highlight w:val="none"/>
        </w:rPr>
        <w:t>。</w:t>
      </w:r>
    </w:p>
    <w:p w14:paraId="0A35F5E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1.4.2 发包人提供国外标准、规范的名称：</w:t>
      </w:r>
      <w:r>
        <w:rPr>
          <w:rFonts w:hint="eastAsia" w:ascii="宋体" w:hAnsi="宋体" w:eastAsia="宋体" w:cs="宋体"/>
          <w:color w:val="000000"/>
          <w:kern w:val="0"/>
          <w:sz w:val="21"/>
          <w:szCs w:val="21"/>
          <w:highlight w:val="none"/>
          <w:u w:val="single"/>
        </w:rPr>
        <w:t xml:space="preserve">  无  </w:t>
      </w:r>
      <w:r>
        <w:rPr>
          <w:rFonts w:hint="eastAsia" w:ascii="宋体" w:hAnsi="宋体" w:eastAsia="宋体" w:cs="宋体"/>
          <w:color w:val="000000"/>
          <w:kern w:val="0"/>
          <w:sz w:val="21"/>
          <w:szCs w:val="21"/>
          <w:highlight w:val="none"/>
        </w:rPr>
        <w:t>；</w:t>
      </w:r>
    </w:p>
    <w:p w14:paraId="53AF6CB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发包人提供国外标准、规范的份数：</w:t>
      </w:r>
      <w:r>
        <w:rPr>
          <w:rFonts w:hint="eastAsia" w:ascii="宋体" w:hAnsi="宋体" w:eastAsia="宋体" w:cs="宋体"/>
          <w:color w:val="000000"/>
          <w:kern w:val="0"/>
          <w:sz w:val="21"/>
          <w:szCs w:val="21"/>
          <w:highlight w:val="none"/>
          <w:u w:val="single"/>
        </w:rPr>
        <w:t xml:space="preserve">   无  </w:t>
      </w:r>
      <w:r>
        <w:rPr>
          <w:rFonts w:hint="eastAsia" w:ascii="宋体" w:hAnsi="宋体" w:eastAsia="宋体" w:cs="宋体"/>
          <w:color w:val="000000"/>
          <w:kern w:val="0"/>
          <w:sz w:val="21"/>
          <w:szCs w:val="21"/>
          <w:highlight w:val="none"/>
        </w:rPr>
        <w:t>；</w:t>
      </w:r>
    </w:p>
    <w:p w14:paraId="4FE78A7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发包人提供国外标准、规范的名称：</w:t>
      </w:r>
      <w:r>
        <w:rPr>
          <w:rFonts w:hint="eastAsia" w:ascii="宋体" w:hAnsi="宋体" w:eastAsia="宋体" w:cs="宋体"/>
          <w:color w:val="000000"/>
          <w:kern w:val="0"/>
          <w:sz w:val="21"/>
          <w:szCs w:val="21"/>
          <w:highlight w:val="none"/>
          <w:u w:val="single"/>
        </w:rPr>
        <w:t xml:space="preserve">  无  </w:t>
      </w:r>
      <w:r>
        <w:rPr>
          <w:rFonts w:hint="eastAsia" w:ascii="宋体" w:hAnsi="宋体" w:eastAsia="宋体" w:cs="宋体"/>
          <w:color w:val="000000"/>
          <w:kern w:val="0"/>
          <w:sz w:val="21"/>
          <w:szCs w:val="21"/>
          <w:highlight w:val="none"/>
        </w:rPr>
        <w:t>。</w:t>
      </w:r>
    </w:p>
    <w:p w14:paraId="44B844E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1.4.3发包人对工程的技术标准和功能要求的特殊要求：</w:t>
      </w:r>
      <w:r>
        <w:rPr>
          <w:rFonts w:hint="eastAsia" w:ascii="宋体" w:hAnsi="宋体" w:eastAsia="宋体" w:cs="宋体"/>
          <w:color w:val="000000"/>
          <w:sz w:val="21"/>
          <w:szCs w:val="21"/>
          <w:highlight w:val="none"/>
          <w:u w:val="single"/>
        </w:rPr>
        <w:t xml:space="preserve">    无    </w:t>
      </w:r>
      <w:r>
        <w:rPr>
          <w:rFonts w:hint="eastAsia" w:ascii="宋体" w:hAnsi="宋体" w:eastAsia="宋体" w:cs="宋体"/>
          <w:color w:val="000000"/>
          <w:sz w:val="21"/>
          <w:szCs w:val="21"/>
          <w:highlight w:val="none"/>
        </w:rPr>
        <w:t>。</w:t>
      </w:r>
    </w:p>
    <w:p w14:paraId="38F8E06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 合同文件的优先顺序</w:t>
      </w:r>
    </w:p>
    <w:p w14:paraId="0493281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合同文件组成及优先顺序为：</w:t>
      </w:r>
      <w:r>
        <w:rPr>
          <w:rFonts w:hint="eastAsia" w:ascii="宋体" w:hAnsi="宋体" w:eastAsia="宋体" w:cs="宋体"/>
          <w:color w:val="000000"/>
          <w:sz w:val="21"/>
          <w:szCs w:val="21"/>
          <w:highlight w:val="none"/>
          <w:u w:val="single"/>
        </w:rPr>
        <w:t>①本合同协议书②中标通知书③招标文件及招标答疑文件④投标书及其附件⑤合同专用条款⑥合同通用条款⑦标准、规范及有关技术文件⑧施工图纸⑨工程预算书</w:t>
      </w:r>
      <w:r>
        <w:rPr>
          <w:rFonts w:hint="eastAsia" w:ascii="宋体" w:hAnsi="宋体" w:eastAsia="宋体" w:cs="宋体"/>
          <w:color w:val="000000"/>
          <w:sz w:val="21"/>
          <w:szCs w:val="21"/>
          <w:highlight w:val="none"/>
        </w:rPr>
        <w:t>。</w:t>
      </w:r>
    </w:p>
    <w:p w14:paraId="6F604C1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 图纸和承包人文件</w:t>
      </w:r>
      <w:r>
        <w:rPr>
          <w:rFonts w:hint="eastAsia" w:ascii="宋体" w:hAnsi="宋体" w:eastAsia="宋体" w:cs="宋体"/>
          <w:color w:val="000000"/>
          <w:sz w:val="21"/>
          <w:szCs w:val="21"/>
          <w:highlight w:val="none"/>
        </w:rPr>
        <w:tab/>
      </w:r>
    </w:p>
    <w:p w14:paraId="2ED533C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 图纸的提供</w:t>
      </w:r>
    </w:p>
    <w:p w14:paraId="36DB902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发包人向承包人提供图纸的期限：</w:t>
      </w:r>
      <w:r>
        <w:rPr>
          <w:rFonts w:hint="eastAsia" w:ascii="宋体" w:hAnsi="宋体" w:eastAsia="宋体" w:cs="宋体"/>
          <w:color w:val="000000"/>
          <w:sz w:val="21"/>
          <w:szCs w:val="21"/>
          <w:highlight w:val="none"/>
          <w:u w:val="single"/>
        </w:rPr>
        <w:t>开工前一周</w:t>
      </w:r>
      <w:r>
        <w:rPr>
          <w:rFonts w:hint="eastAsia" w:ascii="宋体" w:hAnsi="宋体" w:eastAsia="宋体" w:cs="宋体"/>
          <w:color w:val="000000"/>
          <w:sz w:val="21"/>
          <w:szCs w:val="21"/>
          <w:highlight w:val="none"/>
        </w:rPr>
        <w:t>；</w:t>
      </w:r>
    </w:p>
    <w:p w14:paraId="691B0AC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发包人向承包人提供图纸的数量：</w:t>
      </w:r>
      <w:r>
        <w:rPr>
          <w:rFonts w:hint="eastAsia" w:ascii="宋体" w:hAnsi="宋体" w:eastAsia="宋体" w:cs="宋体"/>
          <w:color w:val="000000"/>
          <w:sz w:val="21"/>
          <w:szCs w:val="21"/>
          <w:highlight w:val="none"/>
          <w:u w:val="single"/>
        </w:rPr>
        <w:t>提供整套施工图纸1套(如有要求增加套数承包人按实支付晒图费)</w:t>
      </w:r>
      <w:r>
        <w:rPr>
          <w:rFonts w:hint="eastAsia" w:ascii="宋体" w:hAnsi="宋体" w:eastAsia="宋体" w:cs="宋体"/>
          <w:color w:val="000000"/>
          <w:sz w:val="21"/>
          <w:szCs w:val="21"/>
          <w:highlight w:val="none"/>
        </w:rPr>
        <w:t>；</w:t>
      </w:r>
    </w:p>
    <w:p w14:paraId="0713077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发包人向承包人提供图纸的内容：</w:t>
      </w:r>
      <w:r>
        <w:rPr>
          <w:rFonts w:hint="eastAsia" w:ascii="宋体" w:hAnsi="宋体" w:eastAsia="宋体" w:cs="宋体"/>
          <w:color w:val="000000"/>
          <w:sz w:val="21"/>
          <w:szCs w:val="21"/>
          <w:highlight w:val="none"/>
          <w:u w:val="single"/>
        </w:rPr>
        <w:t>本项目施工内容</w:t>
      </w:r>
      <w:r>
        <w:rPr>
          <w:rFonts w:hint="eastAsia" w:ascii="宋体" w:hAnsi="宋体" w:eastAsia="宋体" w:cs="宋体"/>
          <w:color w:val="000000"/>
          <w:sz w:val="21"/>
          <w:szCs w:val="21"/>
          <w:highlight w:val="none"/>
        </w:rPr>
        <w:t>。</w:t>
      </w:r>
    </w:p>
    <w:p w14:paraId="1A0700E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1.6.4 承包人文件</w:t>
      </w:r>
    </w:p>
    <w:p w14:paraId="2868627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需要由承包人提供的文件，包括：</w:t>
      </w:r>
      <w:r>
        <w:rPr>
          <w:rFonts w:hint="eastAsia" w:ascii="宋体" w:hAnsi="宋体" w:eastAsia="宋体" w:cs="宋体"/>
          <w:color w:val="000000"/>
          <w:sz w:val="21"/>
          <w:szCs w:val="21"/>
          <w:highlight w:val="none"/>
          <w:u w:val="single"/>
        </w:rPr>
        <w:t xml:space="preserve"> 无 </w:t>
      </w:r>
      <w:r>
        <w:rPr>
          <w:rFonts w:hint="eastAsia" w:ascii="宋体" w:hAnsi="宋体" w:eastAsia="宋体" w:cs="宋体"/>
          <w:color w:val="000000"/>
          <w:sz w:val="21"/>
          <w:szCs w:val="21"/>
          <w:highlight w:val="none"/>
        </w:rPr>
        <w:t>；</w:t>
      </w:r>
    </w:p>
    <w:p w14:paraId="6AD40C5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承包人提供的文件的期限为：</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21D064F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承包人提供的文件的数量为：</w:t>
      </w:r>
      <w:r>
        <w:rPr>
          <w:rFonts w:hint="eastAsia" w:ascii="宋体" w:hAnsi="宋体" w:eastAsia="宋体" w:cs="宋体"/>
          <w:color w:val="000000"/>
          <w:sz w:val="21"/>
          <w:szCs w:val="21"/>
          <w:highlight w:val="none"/>
          <w:u w:val="single"/>
        </w:rPr>
        <w:t>无 </w:t>
      </w:r>
      <w:r>
        <w:rPr>
          <w:rFonts w:hint="eastAsia" w:ascii="宋体" w:hAnsi="宋体" w:eastAsia="宋体" w:cs="宋体"/>
          <w:color w:val="000000"/>
          <w:sz w:val="21"/>
          <w:szCs w:val="21"/>
          <w:highlight w:val="none"/>
        </w:rPr>
        <w:t>；</w:t>
      </w:r>
    </w:p>
    <w:p w14:paraId="2556783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承包人提供的文件的形式为：</w:t>
      </w:r>
      <w:r>
        <w:rPr>
          <w:rFonts w:hint="eastAsia" w:ascii="宋体" w:hAnsi="宋体" w:eastAsia="宋体" w:cs="宋体"/>
          <w:color w:val="000000"/>
          <w:sz w:val="21"/>
          <w:szCs w:val="21"/>
          <w:highlight w:val="none"/>
          <w:u w:val="single"/>
        </w:rPr>
        <w:t> 无</w:t>
      </w:r>
      <w:r>
        <w:rPr>
          <w:rFonts w:hint="eastAsia" w:ascii="宋体" w:hAnsi="宋体" w:eastAsia="宋体" w:cs="宋体"/>
          <w:color w:val="000000"/>
          <w:sz w:val="21"/>
          <w:szCs w:val="21"/>
          <w:highlight w:val="none"/>
        </w:rPr>
        <w:t>；</w:t>
      </w:r>
    </w:p>
    <w:p w14:paraId="08F2C7F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发包人审批承包人文件的期限：</w:t>
      </w:r>
      <w:r>
        <w:rPr>
          <w:rFonts w:hint="eastAsia" w:ascii="宋体" w:hAnsi="宋体" w:eastAsia="宋体" w:cs="宋体"/>
          <w:color w:val="000000"/>
          <w:sz w:val="21"/>
          <w:szCs w:val="21"/>
          <w:highlight w:val="none"/>
          <w:u w:val="single"/>
        </w:rPr>
        <w:t> 无</w:t>
      </w:r>
      <w:r>
        <w:rPr>
          <w:rFonts w:hint="eastAsia" w:ascii="宋体" w:hAnsi="宋体" w:eastAsia="宋体" w:cs="宋体"/>
          <w:color w:val="000000"/>
          <w:sz w:val="21"/>
          <w:szCs w:val="21"/>
          <w:highlight w:val="none"/>
        </w:rPr>
        <w:t>。</w:t>
      </w:r>
    </w:p>
    <w:p w14:paraId="0BD2310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1.6.5 现场图纸准备</w:t>
      </w:r>
    </w:p>
    <w:p w14:paraId="3F66912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关于现场图纸准备的约定：</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24DB876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1.7 联络</w:t>
      </w:r>
    </w:p>
    <w:p w14:paraId="35F8760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1.7.1发包人和承包人应当在</w:t>
      </w:r>
      <w:r>
        <w:rPr>
          <w:rFonts w:hint="eastAsia" w:ascii="宋体" w:hAnsi="宋体" w:eastAsia="宋体" w:cs="宋体"/>
          <w:color w:val="000000"/>
          <w:sz w:val="21"/>
          <w:szCs w:val="21"/>
          <w:highlight w:val="none"/>
          <w:u w:val="single"/>
        </w:rPr>
        <w:t xml:space="preserve">3 </w:t>
      </w:r>
      <w:r>
        <w:rPr>
          <w:rFonts w:hint="eastAsia" w:ascii="宋体" w:hAnsi="宋体" w:eastAsia="宋体" w:cs="宋体"/>
          <w:color w:val="000000"/>
          <w:kern w:val="0"/>
          <w:sz w:val="21"/>
          <w:szCs w:val="21"/>
          <w:highlight w:val="none"/>
        </w:rPr>
        <w:t>天内将与合同有关的通知、批准、证明、证书、指示、指令、要求、请求、同意、意见、确定和决定等书面函件送达对方当事人。</w:t>
      </w:r>
    </w:p>
    <w:p w14:paraId="26BE9D7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1.7.2 发包人接收文件的地点：</w:t>
      </w:r>
      <w:r>
        <w:rPr>
          <w:rFonts w:hint="eastAsia" w:ascii="宋体" w:hAnsi="宋体" w:cs="宋体"/>
          <w:color w:val="000000"/>
          <w:sz w:val="21"/>
          <w:szCs w:val="21"/>
          <w:highlight w:val="none"/>
          <w:u w:val="single"/>
          <w:lang w:eastAsia="zh-CN"/>
        </w:rPr>
        <w:t>佛坪县河道管理站(县水政水资源管理办公室）</w:t>
      </w:r>
      <w:r>
        <w:rPr>
          <w:rFonts w:hint="eastAsia" w:ascii="宋体" w:hAnsi="宋体" w:eastAsia="宋体" w:cs="宋体"/>
          <w:color w:val="000000"/>
          <w:kern w:val="0"/>
          <w:sz w:val="21"/>
          <w:szCs w:val="21"/>
          <w:highlight w:val="none"/>
        </w:rPr>
        <w:t>；</w:t>
      </w:r>
    </w:p>
    <w:p w14:paraId="3A6815A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发包人指定的接收人为：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kern w:val="0"/>
          <w:sz w:val="21"/>
          <w:szCs w:val="21"/>
          <w:highlight w:val="none"/>
        </w:rPr>
        <w:t>。</w:t>
      </w:r>
    </w:p>
    <w:p w14:paraId="547A029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承包人接收文件的地点：</w:t>
      </w:r>
      <w:r>
        <w:rPr>
          <w:rFonts w:hint="eastAsia" w:ascii="宋体" w:hAnsi="宋体" w:cs="宋体"/>
          <w:color w:val="000000"/>
          <w:sz w:val="21"/>
          <w:szCs w:val="21"/>
          <w:highlight w:val="none"/>
          <w:u w:val="single"/>
          <w:lang w:eastAsia="zh-CN"/>
        </w:rPr>
        <w:t>佛坪县河道管理站(县水政水资源管理办公室）</w:t>
      </w:r>
      <w:r>
        <w:rPr>
          <w:rFonts w:hint="eastAsia" w:ascii="宋体" w:hAnsi="宋体" w:eastAsia="宋体" w:cs="宋体"/>
          <w:color w:val="000000"/>
          <w:kern w:val="0"/>
          <w:sz w:val="21"/>
          <w:szCs w:val="21"/>
          <w:highlight w:val="none"/>
        </w:rPr>
        <w:t>；</w:t>
      </w:r>
    </w:p>
    <w:p w14:paraId="5109635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承包人指定的接收人为：</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kern w:val="0"/>
          <w:sz w:val="21"/>
          <w:szCs w:val="21"/>
          <w:highlight w:val="none"/>
        </w:rPr>
        <w:t>。</w:t>
      </w:r>
    </w:p>
    <w:p w14:paraId="21F9B18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监理人接收文件的地点：</w:t>
      </w:r>
      <w:r>
        <w:rPr>
          <w:rFonts w:hint="eastAsia" w:ascii="宋体" w:hAnsi="宋体" w:cs="宋体"/>
          <w:color w:val="000000"/>
          <w:sz w:val="21"/>
          <w:szCs w:val="21"/>
          <w:highlight w:val="none"/>
          <w:u w:val="single"/>
          <w:lang w:eastAsia="zh-CN"/>
        </w:rPr>
        <w:t>佛坪县河道管理站(县水政水资源管理办公室）</w:t>
      </w:r>
      <w:r>
        <w:rPr>
          <w:rFonts w:hint="eastAsia" w:ascii="宋体" w:hAnsi="宋体" w:eastAsia="宋体" w:cs="宋体"/>
          <w:color w:val="000000"/>
          <w:kern w:val="0"/>
          <w:sz w:val="21"/>
          <w:szCs w:val="21"/>
          <w:highlight w:val="none"/>
        </w:rPr>
        <w:t>；</w:t>
      </w:r>
    </w:p>
    <w:p w14:paraId="5C5EA00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监理人指定的接收人为：</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kern w:val="0"/>
          <w:sz w:val="21"/>
          <w:szCs w:val="21"/>
          <w:highlight w:val="none"/>
        </w:rPr>
        <w:t>。</w:t>
      </w:r>
    </w:p>
    <w:p w14:paraId="0CA2282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1.10 交通运输</w:t>
      </w:r>
    </w:p>
    <w:p w14:paraId="68C6656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Start w:id="32" w:name="_Toc304295521"/>
      <w:bookmarkStart w:id="33" w:name="_Toc312677986"/>
      <w:bookmarkStart w:id="34" w:name="_Toc318581155"/>
      <w:bookmarkStart w:id="35" w:name="_Toc300934943"/>
      <w:bookmarkStart w:id="36" w:name="_Toc303539100"/>
      <w:r>
        <w:rPr>
          <w:rFonts w:hint="eastAsia" w:ascii="宋体" w:hAnsi="宋体" w:eastAsia="宋体" w:cs="宋体"/>
          <w:color w:val="000000"/>
          <w:sz w:val="21"/>
          <w:szCs w:val="21"/>
          <w:highlight w:val="none"/>
        </w:rPr>
        <w:t>.10.1 出入现场的权利</w:t>
      </w:r>
    </w:p>
    <w:p w14:paraId="00435A6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关于出入现场的权利的约定：</w:t>
      </w:r>
      <w:r>
        <w:rPr>
          <w:rFonts w:hint="eastAsia" w:ascii="宋体" w:hAnsi="宋体" w:eastAsia="宋体" w:cs="宋体"/>
          <w:color w:val="000000"/>
          <w:sz w:val="21"/>
          <w:szCs w:val="21"/>
          <w:highlight w:val="none"/>
          <w:u w:val="single"/>
        </w:rPr>
        <w:t>由承包人自行负责，并自行承担相关费用</w:t>
      </w:r>
      <w:r>
        <w:rPr>
          <w:rFonts w:hint="eastAsia" w:ascii="宋体" w:hAnsi="宋体" w:eastAsia="宋体" w:cs="宋体"/>
          <w:color w:val="000000"/>
          <w:sz w:val="21"/>
          <w:szCs w:val="21"/>
          <w:highlight w:val="none"/>
        </w:rPr>
        <w:t>。</w:t>
      </w:r>
    </w:p>
    <w:bookmarkEnd w:id="32"/>
    <w:bookmarkEnd w:id="33"/>
    <w:bookmarkEnd w:id="34"/>
    <w:bookmarkEnd w:id="35"/>
    <w:bookmarkEnd w:id="36"/>
    <w:p w14:paraId="4AFAC9C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Start w:id="37" w:name="_Toc304295522"/>
      <w:bookmarkStart w:id="38" w:name="_Toc303539101"/>
      <w:bookmarkStart w:id="39" w:name="_Toc318581156"/>
      <w:bookmarkStart w:id="40" w:name="_Toc312677987"/>
      <w:bookmarkStart w:id="41" w:name="_Toc300934944"/>
      <w:r>
        <w:rPr>
          <w:rFonts w:hint="eastAsia" w:ascii="宋体" w:hAnsi="宋体" w:eastAsia="宋体" w:cs="宋体"/>
          <w:color w:val="000000"/>
          <w:sz w:val="21"/>
          <w:szCs w:val="21"/>
          <w:highlight w:val="none"/>
        </w:rPr>
        <w:t>.10.3 场内交通</w:t>
      </w:r>
    </w:p>
    <w:p w14:paraId="61130BC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关于场外交通和场内交通的边界的约定：</w:t>
      </w:r>
      <w:r>
        <w:rPr>
          <w:rFonts w:hint="eastAsia" w:ascii="宋体" w:hAnsi="宋体" w:eastAsia="宋体" w:cs="宋体"/>
          <w:color w:val="000000"/>
          <w:sz w:val="21"/>
          <w:szCs w:val="21"/>
          <w:highlight w:val="none"/>
          <w:u w:val="single"/>
        </w:rPr>
        <w:t>详见施工图</w:t>
      </w:r>
      <w:r>
        <w:rPr>
          <w:rFonts w:hint="eastAsia" w:ascii="宋体" w:hAnsi="宋体" w:eastAsia="宋体" w:cs="宋体"/>
          <w:color w:val="000000"/>
          <w:sz w:val="21"/>
          <w:szCs w:val="21"/>
          <w:highlight w:val="none"/>
        </w:rPr>
        <w:t>。</w:t>
      </w:r>
    </w:p>
    <w:p w14:paraId="66E9117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关于发包人向承包人免费提供满足工程施工需要的场内道路和交通设施的约定：</w:t>
      </w:r>
      <w:r>
        <w:rPr>
          <w:rFonts w:hint="eastAsia" w:ascii="宋体" w:hAnsi="宋体" w:eastAsia="宋体" w:cs="宋体"/>
          <w:color w:val="000000"/>
          <w:sz w:val="21"/>
          <w:szCs w:val="21"/>
          <w:highlight w:val="none"/>
          <w:u w:val="single"/>
        </w:rPr>
        <w:t>由承包人自行负责，并自行承担相关费用</w:t>
      </w:r>
      <w:r>
        <w:rPr>
          <w:rFonts w:hint="eastAsia" w:ascii="宋体" w:hAnsi="宋体" w:eastAsia="宋体" w:cs="宋体"/>
          <w:color w:val="000000"/>
          <w:sz w:val="21"/>
          <w:szCs w:val="21"/>
          <w:highlight w:val="none"/>
        </w:rPr>
        <w:t>。</w:t>
      </w:r>
      <w:bookmarkEnd w:id="37"/>
      <w:bookmarkEnd w:id="38"/>
      <w:bookmarkEnd w:id="39"/>
      <w:bookmarkEnd w:id="40"/>
      <w:bookmarkEnd w:id="41"/>
      <w:bookmarkStart w:id="42" w:name="_Toc318581157"/>
    </w:p>
    <w:p w14:paraId="3DC1C2F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1.10.4超大件和超重件的运输</w:t>
      </w:r>
    </w:p>
    <w:p w14:paraId="288A4EC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运输超大件或超重件所需的道路和桥梁临时加固改造费用和其他有关费用由</w:t>
      </w:r>
      <w:r>
        <w:rPr>
          <w:rFonts w:hint="eastAsia" w:ascii="宋体" w:hAnsi="宋体" w:eastAsia="宋体" w:cs="宋体"/>
          <w:color w:val="000000"/>
          <w:sz w:val="21"/>
          <w:szCs w:val="21"/>
          <w:highlight w:val="none"/>
          <w:u w:val="single"/>
        </w:rPr>
        <w:t xml:space="preserve">  由承包人 </w:t>
      </w:r>
      <w:r>
        <w:rPr>
          <w:rFonts w:hint="eastAsia" w:ascii="宋体" w:hAnsi="宋体" w:eastAsia="宋体" w:cs="宋体"/>
          <w:color w:val="000000"/>
          <w:sz w:val="21"/>
          <w:szCs w:val="21"/>
          <w:highlight w:val="none"/>
        </w:rPr>
        <w:t>承担。</w:t>
      </w:r>
    </w:p>
    <w:bookmarkEnd w:id="42"/>
    <w:p w14:paraId="4DBB7BB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 知识产权</w:t>
      </w:r>
    </w:p>
    <w:p w14:paraId="2A97AF5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1"/>
          <w:szCs w:val="21"/>
          <w:highlight w:val="none"/>
          <w:u w:val="single"/>
        </w:rPr>
        <w:t xml:space="preserve">按通用条款执行 </w:t>
      </w:r>
      <w:r>
        <w:rPr>
          <w:rFonts w:hint="eastAsia" w:ascii="宋体" w:hAnsi="宋体" w:eastAsia="宋体" w:cs="宋体"/>
          <w:color w:val="000000"/>
          <w:sz w:val="21"/>
          <w:szCs w:val="21"/>
          <w:highlight w:val="none"/>
        </w:rPr>
        <w:t>。</w:t>
      </w:r>
    </w:p>
    <w:p w14:paraId="700956B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关于发包人提供的上述文件的使用限制的要求：</w:t>
      </w:r>
      <w:r>
        <w:rPr>
          <w:rFonts w:hint="eastAsia" w:ascii="宋体" w:hAnsi="宋体" w:eastAsia="宋体" w:cs="宋体"/>
          <w:color w:val="000000"/>
          <w:sz w:val="21"/>
          <w:szCs w:val="21"/>
          <w:highlight w:val="none"/>
          <w:u w:val="single"/>
        </w:rPr>
        <w:t xml:space="preserve"> 未经过发包人同意不得转借他人使用 </w:t>
      </w:r>
      <w:r>
        <w:rPr>
          <w:rFonts w:hint="eastAsia" w:ascii="宋体" w:hAnsi="宋体" w:eastAsia="宋体" w:cs="宋体"/>
          <w:color w:val="000000"/>
          <w:sz w:val="21"/>
          <w:szCs w:val="21"/>
          <w:highlight w:val="none"/>
        </w:rPr>
        <w:t>。</w:t>
      </w:r>
    </w:p>
    <w:p w14:paraId="2F4BC2B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1.11.2 关于承包人为实施工程所编制文件的著作权的归属：</w:t>
      </w:r>
      <w:r>
        <w:rPr>
          <w:rFonts w:hint="eastAsia" w:ascii="宋体" w:hAnsi="宋体" w:eastAsia="宋体" w:cs="宋体"/>
          <w:color w:val="000000"/>
          <w:sz w:val="21"/>
          <w:szCs w:val="21"/>
          <w:highlight w:val="none"/>
          <w:u w:val="single"/>
        </w:rPr>
        <w:t xml:space="preserve"> 按通用条款执行</w:t>
      </w:r>
      <w:r>
        <w:rPr>
          <w:rFonts w:hint="eastAsia" w:ascii="宋体" w:hAnsi="宋体" w:eastAsia="宋体" w:cs="宋体"/>
          <w:color w:val="000000"/>
          <w:sz w:val="21"/>
          <w:szCs w:val="21"/>
          <w:highlight w:val="none"/>
        </w:rPr>
        <w:t>。</w:t>
      </w:r>
    </w:p>
    <w:p w14:paraId="5AD2329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关于承包人提供的上述文件的使用限制的要求：</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3530E46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1.11.4 承包人在施工过程中所采用的专利、专有技术、技术秘密的使用费的承担方式：</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kern w:val="0"/>
          <w:sz w:val="21"/>
          <w:szCs w:val="21"/>
          <w:highlight w:val="none"/>
        </w:rPr>
        <w:t>。</w:t>
      </w:r>
    </w:p>
    <w:p w14:paraId="4152759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1.13工程量清单错误的修正</w:t>
      </w:r>
    </w:p>
    <w:p w14:paraId="60E6806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出现工程量清单错误时，是否调整合同价格：</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kern w:val="0"/>
          <w:sz w:val="21"/>
          <w:szCs w:val="21"/>
          <w:highlight w:val="none"/>
        </w:rPr>
        <w:t>。</w:t>
      </w:r>
    </w:p>
    <w:p w14:paraId="65C21A6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允许调整合同价格的工程量偏差范围：</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kern w:val="0"/>
          <w:sz w:val="21"/>
          <w:szCs w:val="21"/>
          <w:highlight w:val="none"/>
        </w:rPr>
        <w:t>。</w:t>
      </w:r>
    </w:p>
    <w:p w14:paraId="5070D0D9">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3" w:name="_Toc351203634"/>
      <w:r>
        <w:rPr>
          <w:rFonts w:hint="eastAsia" w:ascii="宋体" w:hAnsi="宋体" w:eastAsia="宋体" w:cs="宋体"/>
          <w:color w:val="000000"/>
          <w:sz w:val="21"/>
          <w:szCs w:val="21"/>
          <w:highlight w:val="none"/>
        </w:rPr>
        <w:t>2</w:t>
      </w:r>
      <w:bookmarkStart w:id="44" w:name="_Toc297120457"/>
      <w:bookmarkStart w:id="45" w:name="_Toc296503157"/>
      <w:bookmarkStart w:id="46" w:name="_Toc292559867"/>
      <w:bookmarkStart w:id="47" w:name="_Toc296890985"/>
      <w:bookmarkStart w:id="48" w:name="_Toc297048343"/>
      <w:bookmarkStart w:id="49" w:name="_Toc296347156"/>
      <w:bookmarkStart w:id="50" w:name="_Toc296346658"/>
      <w:bookmarkStart w:id="51" w:name="_Toc292559362"/>
      <w:bookmarkStart w:id="52" w:name="_Toc296944496"/>
      <w:bookmarkStart w:id="53" w:name="_Toc296891197"/>
      <w:r>
        <w:rPr>
          <w:rFonts w:hint="eastAsia" w:ascii="宋体" w:hAnsi="宋体" w:eastAsia="宋体" w:cs="宋体"/>
          <w:color w:val="000000"/>
          <w:sz w:val="21"/>
          <w:szCs w:val="21"/>
          <w:highlight w:val="none"/>
        </w:rPr>
        <w:t>. 发包人</w:t>
      </w:r>
      <w:bookmarkEnd w:id="43"/>
    </w:p>
    <w:bookmarkEnd w:id="44"/>
    <w:bookmarkEnd w:id="45"/>
    <w:bookmarkEnd w:id="46"/>
    <w:bookmarkEnd w:id="47"/>
    <w:bookmarkEnd w:id="48"/>
    <w:bookmarkEnd w:id="49"/>
    <w:bookmarkEnd w:id="50"/>
    <w:bookmarkEnd w:id="51"/>
    <w:bookmarkEnd w:id="52"/>
    <w:bookmarkEnd w:id="53"/>
    <w:p w14:paraId="542D853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2.2 发包人代表</w:t>
      </w:r>
    </w:p>
    <w:p w14:paraId="5974C50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发包人代表：</w:t>
      </w:r>
    </w:p>
    <w:p w14:paraId="1AA55C7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365E2DA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75FF1C8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4D588FB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  </w:t>
      </w:r>
      <w:r>
        <w:rPr>
          <w:rFonts w:hint="eastAsia" w:ascii="宋体" w:hAnsi="宋体" w:eastAsia="宋体" w:cs="宋体"/>
          <w:color w:val="000000"/>
          <w:sz w:val="21"/>
          <w:szCs w:val="21"/>
          <w:highlight w:val="none"/>
        </w:rPr>
        <w:t>；</w:t>
      </w:r>
    </w:p>
    <w:p w14:paraId="60DD0AE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   </w:t>
      </w:r>
      <w:r>
        <w:rPr>
          <w:rFonts w:hint="eastAsia" w:ascii="宋体" w:hAnsi="宋体" w:eastAsia="宋体" w:cs="宋体"/>
          <w:color w:val="000000"/>
          <w:sz w:val="21"/>
          <w:szCs w:val="21"/>
          <w:highlight w:val="none"/>
        </w:rPr>
        <w:t>；</w:t>
      </w:r>
    </w:p>
    <w:p w14:paraId="4EE63F6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4948CF0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发包人对发包人代表的授权范围如下：</w:t>
      </w:r>
      <w:r>
        <w:rPr>
          <w:rFonts w:hint="eastAsia" w:ascii="宋体" w:hAnsi="宋体" w:eastAsia="宋体" w:cs="宋体"/>
          <w:color w:val="000000"/>
          <w:sz w:val="21"/>
          <w:szCs w:val="21"/>
          <w:highlight w:val="none"/>
          <w:u w:val="single"/>
        </w:rPr>
        <w:t>负责组织施工图纸会审，向有关人员进行施工技术、测量、质量、安全交底，制定施工技术和安全生产措施。配合各管理人员解决施工现场存在的难点或重点技术事项</w:t>
      </w:r>
      <w:r>
        <w:rPr>
          <w:rFonts w:hint="eastAsia" w:ascii="宋体" w:hAnsi="宋体" w:eastAsia="宋体" w:cs="宋体"/>
          <w:color w:val="000000"/>
          <w:sz w:val="21"/>
          <w:szCs w:val="21"/>
          <w:highlight w:val="none"/>
        </w:rPr>
        <w:t>。</w:t>
      </w:r>
    </w:p>
    <w:p w14:paraId="5EDB74B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 施工现场、施工条件和基础资料的提供</w:t>
      </w:r>
    </w:p>
    <w:p w14:paraId="5421740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2.4.1 提供施工现场</w:t>
      </w:r>
    </w:p>
    <w:p w14:paraId="713A432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关于发包人移交施工现场的期限要求：</w:t>
      </w:r>
      <w:r>
        <w:rPr>
          <w:rFonts w:hint="eastAsia" w:ascii="宋体" w:hAnsi="宋体" w:eastAsia="宋体" w:cs="宋体"/>
          <w:color w:val="000000"/>
          <w:sz w:val="21"/>
          <w:szCs w:val="21"/>
          <w:highlight w:val="none"/>
          <w:u w:val="single"/>
        </w:rPr>
        <w:t>甲方负责移交施工现场需在五天内完成，并满足乙方施工要求</w:t>
      </w:r>
      <w:r>
        <w:rPr>
          <w:rFonts w:hint="eastAsia" w:ascii="宋体" w:hAnsi="宋体" w:eastAsia="宋体" w:cs="宋体"/>
          <w:color w:val="000000"/>
          <w:sz w:val="21"/>
          <w:szCs w:val="21"/>
          <w:highlight w:val="none"/>
        </w:rPr>
        <w:t>。</w:t>
      </w:r>
    </w:p>
    <w:p w14:paraId="728591B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 提供施工条件</w:t>
      </w:r>
    </w:p>
    <w:p w14:paraId="5BCEA4C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关于发包人应负责提供施工所需要的条件，包括：</w:t>
      </w:r>
    </w:p>
    <w:p w14:paraId="1620AA5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2.4.2.1施工场地应具备的施工条件及提供的时间：</w:t>
      </w:r>
      <w:r>
        <w:rPr>
          <w:rFonts w:hint="eastAsia" w:ascii="宋体" w:hAnsi="宋体" w:eastAsia="宋体" w:cs="宋体"/>
          <w:color w:val="000000"/>
          <w:sz w:val="21"/>
          <w:szCs w:val="21"/>
          <w:highlight w:val="none"/>
          <w:u w:val="single"/>
        </w:rPr>
        <w:t>开工前7个工作日</w:t>
      </w:r>
      <w:r>
        <w:rPr>
          <w:rFonts w:hint="eastAsia" w:ascii="宋体" w:hAnsi="宋体" w:eastAsia="宋体" w:cs="宋体"/>
          <w:color w:val="000000"/>
          <w:sz w:val="21"/>
          <w:szCs w:val="21"/>
          <w:highlight w:val="none"/>
        </w:rPr>
        <w:t>。</w:t>
      </w:r>
    </w:p>
    <w:p w14:paraId="3768CDB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2.4.2.2施工所需的水、电、汽、电讯等管线接至施工场地的要求、接入地点和提供时间：</w:t>
      </w:r>
      <w:r>
        <w:rPr>
          <w:rFonts w:hint="eastAsia" w:ascii="宋体" w:hAnsi="宋体" w:eastAsia="宋体" w:cs="宋体"/>
          <w:color w:val="000000"/>
          <w:sz w:val="21"/>
          <w:szCs w:val="21"/>
          <w:highlight w:val="none"/>
          <w:u w:val="single"/>
        </w:rPr>
        <w:t>开工前3个工作日</w:t>
      </w:r>
      <w:r>
        <w:rPr>
          <w:rFonts w:hint="eastAsia" w:ascii="宋体" w:hAnsi="宋体" w:eastAsia="宋体" w:cs="宋体"/>
          <w:color w:val="000000"/>
          <w:sz w:val="21"/>
          <w:szCs w:val="21"/>
          <w:highlight w:val="none"/>
        </w:rPr>
        <w:t>。</w:t>
      </w:r>
    </w:p>
    <w:p w14:paraId="2B217B4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2.4.2.3施工场地外部道路通行权提供时间和要求：</w:t>
      </w:r>
      <w:r>
        <w:rPr>
          <w:rFonts w:hint="eastAsia" w:ascii="宋体" w:hAnsi="宋体" w:eastAsia="宋体" w:cs="宋体"/>
          <w:color w:val="000000"/>
          <w:sz w:val="21"/>
          <w:szCs w:val="21"/>
          <w:highlight w:val="none"/>
          <w:u w:val="single"/>
        </w:rPr>
        <w:t>开工前7个工作日</w:t>
      </w:r>
      <w:r>
        <w:rPr>
          <w:rFonts w:hint="eastAsia" w:ascii="宋体" w:hAnsi="宋体" w:eastAsia="宋体" w:cs="宋体"/>
          <w:color w:val="000000"/>
          <w:sz w:val="21"/>
          <w:szCs w:val="21"/>
          <w:highlight w:val="none"/>
        </w:rPr>
        <w:t>。</w:t>
      </w:r>
    </w:p>
    <w:p w14:paraId="5D30A44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2.4.2.4施工场地内工程地质、地下管线、地下设施等有关资料的提供时间和要求：</w:t>
      </w:r>
      <w:r>
        <w:rPr>
          <w:rFonts w:hint="eastAsia" w:ascii="宋体" w:hAnsi="宋体" w:eastAsia="宋体" w:cs="宋体"/>
          <w:color w:val="000000"/>
          <w:sz w:val="21"/>
          <w:szCs w:val="21"/>
          <w:highlight w:val="none"/>
          <w:u w:val="single"/>
        </w:rPr>
        <w:t>开工前7个工作日</w:t>
      </w:r>
      <w:r>
        <w:rPr>
          <w:rFonts w:hint="eastAsia" w:ascii="宋体" w:hAnsi="宋体" w:eastAsia="宋体" w:cs="宋体"/>
          <w:color w:val="000000"/>
          <w:sz w:val="21"/>
          <w:szCs w:val="21"/>
          <w:highlight w:val="none"/>
        </w:rPr>
        <w:t>。</w:t>
      </w:r>
    </w:p>
    <w:p w14:paraId="2E17779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2.4.2.5与施工场地周边环境关系的说明资料及相关协作关系合同的提交时间和要求：</w:t>
      </w:r>
      <w:r>
        <w:rPr>
          <w:rFonts w:hint="eastAsia" w:ascii="宋体" w:hAnsi="宋体" w:eastAsia="宋体" w:cs="宋体"/>
          <w:color w:val="000000"/>
          <w:sz w:val="21"/>
          <w:szCs w:val="21"/>
          <w:highlight w:val="none"/>
          <w:u w:val="single"/>
        </w:rPr>
        <w:t>开工前7个工作日</w:t>
      </w:r>
      <w:r>
        <w:rPr>
          <w:rFonts w:hint="eastAsia" w:ascii="宋体" w:hAnsi="宋体" w:eastAsia="宋体" w:cs="宋体"/>
          <w:color w:val="000000"/>
          <w:sz w:val="21"/>
          <w:szCs w:val="21"/>
          <w:highlight w:val="none"/>
        </w:rPr>
        <w:t>。</w:t>
      </w:r>
    </w:p>
    <w:p w14:paraId="6D0BBB3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2.5 资金来源证明及支付担保</w:t>
      </w:r>
    </w:p>
    <w:p w14:paraId="3892AE2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发包人提供资金来源证明的期限要求：</w:t>
      </w:r>
      <w:r>
        <w:rPr>
          <w:rFonts w:hint="eastAsia" w:ascii="宋体" w:hAnsi="宋体" w:eastAsia="宋体" w:cs="宋体"/>
          <w:color w:val="000000"/>
          <w:sz w:val="21"/>
          <w:szCs w:val="21"/>
          <w:highlight w:val="none"/>
          <w:u w:val="single"/>
        </w:rPr>
        <w:t>合同签订后提供</w:t>
      </w:r>
      <w:r>
        <w:rPr>
          <w:rFonts w:hint="eastAsia" w:ascii="宋体" w:hAnsi="宋体" w:eastAsia="宋体" w:cs="宋体"/>
          <w:color w:val="000000"/>
          <w:sz w:val="21"/>
          <w:szCs w:val="21"/>
          <w:highlight w:val="none"/>
        </w:rPr>
        <w:t>。</w:t>
      </w:r>
    </w:p>
    <w:p w14:paraId="0729F81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发包人是否提供支付担保：</w:t>
      </w:r>
      <w:r>
        <w:rPr>
          <w:rFonts w:hint="eastAsia" w:ascii="宋体" w:hAnsi="宋体" w:eastAsia="宋体" w:cs="宋体"/>
          <w:color w:val="000000"/>
          <w:sz w:val="21"/>
          <w:szCs w:val="21"/>
          <w:highlight w:val="none"/>
          <w:u w:val="single"/>
        </w:rPr>
        <w:t xml:space="preserve">否 </w:t>
      </w:r>
      <w:r>
        <w:rPr>
          <w:rFonts w:hint="eastAsia" w:ascii="宋体" w:hAnsi="宋体" w:eastAsia="宋体" w:cs="宋体"/>
          <w:color w:val="000000"/>
          <w:sz w:val="21"/>
          <w:szCs w:val="21"/>
          <w:highlight w:val="none"/>
        </w:rPr>
        <w:t>。</w:t>
      </w:r>
    </w:p>
    <w:p w14:paraId="18B244F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发包人提供支付担保的形式：</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6BAC024B">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4" w:name="_Toc351203635"/>
      <w:r>
        <w:rPr>
          <w:rFonts w:hint="eastAsia" w:ascii="宋体" w:hAnsi="宋体" w:eastAsia="宋体" w:cs="宋体"/>
          <w:color w:val="000000"/>
          <w:sz w:val="21"/>
          <w:szCs w:val="21"/>
          <w:highlight w:val="none"/>
        </w:rPr>
        <w:t>3</w:t>
      </w:r>
      <w:bookmarkStart w:id="55" w:name="_Toc297120458"/>
      <w:bookmarkStart w:id="56" w:name="_Toc296347157"/>
      <w:bookmarkStart w:id="57" w:name="_Toc292559868"/>
      <w:bookmarkStart w:id="58" w:name="_Toc296944497"/>
      <w:bookmarkStart w:id="59" w:name="_Toc296503158"/>
      <w:bookmarkStart w:id="60" w:name="_Toc297048344"/>
      <w:bookmarkStart w:id="61" w:name="_Toc296890986"/>
      <w:bookmarkStart w:id="62" w:name="_Toc296891198"/>
      <w:bookmarkStart w:id="63" w:name="_Toc292559363"/>
      <w:bookmarkStart w:id="64" w:name="_Toc296346659"/>
      <w:r>
        <w:rPr>
          <w:rFonts w:hint="eastAsia" w:ascii="宋体" w:hAnsi="宋体" w:eastAsia="宋体" w:cs="宋体"/>
          <w:color w:val="000000"/>
          <w:sz w:val="21"/>
          <w:szCs w:val="21"/>
          <w:highlight w:val="none"/>
        </w:rPr>
        <w:t>. 承包人</w:t>
      </w:r>
      <w:bookmarkEnd w:id="54"/>
    </w:p>
    <w:bookmarkEnd w:id="55"/>
    <w:bookmarkEnd w:id="56"/>
    <w:bookmarkEnd w:id="57"/>
    <w:bookmarkEnd w:id="58"/>
    <w:bookmarkEnd w:id="59"/>
    <w:bookmarkEnd w:id="60"/>
    <w:bookmarkEnd w:id="61"/>
    <w:bookmarkEnd w:id="62"/>
    <w:bookmarkEnd w:id="63"/>
    <w:bookmarkEnd w:id="64"/>
    <w:p w14:paraId="3B59AB0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3.1 承包人的一般义务</w:t>
      </w:r>
    </w:p>
    <w:p w14:paraId="0DB091F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（9）</w:t>
      </w:r>
      <w:r>
        <w:rPr>
          <w:rFonts w:hint="eastAsia" w:ascii="宋体" w:hAnsi="宋体" w:eastAsia="宋体" w:cs="宋体"/>
          <w:color w:val="000000"/>
          <w:sz w:val="21"/>
          <w:szCs w:val="21"/>
          <w:highlight w:val="none"/>
        </w:rPr>
        <w:t>承包人提交的竣工资料的内容：</w:t>
      </w:r>
      <w:r>
        <w:rPr>
          <w:rFonts w:hint="eastAsia" w:ascii="宋体" w:hAnsi="宋体" w:eastAsia="宋体" w:cs="宋体"/>
          <w:color w:val="000000"/>
          <w:sz w:val="21"/>
          <w:szCs w:val="21"/>
          <w:highlight w:val="none"/>
          <w:u w:val="single"/>
        </w:rPr>
        <w:t xml:space="preserve">按相关规定执行 </w:t>
      </w:r>
      <w:r>
        <w:rPr>
          <w:rFonts w:hint="eastAsia" w:ascii="宋体" w:hAnsi="宋体" w:eastAsia="宋体" w:cs="宋体"/>
          <w:color w:val="000000"/>
          <w:sz w:val="21"/>
          <w:szCs w:val="21"/>
          <w:highlight w:val="none"/>
        </w:rPr>
        <w:t>。</w:t>
      </w:r>
    </w:p>
    <w:p w14:paraId="3D3E0C1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承包人需要提交的竣工资料套数：</w:t>
      </w:r>
      <w:r>
        <w:rPr>
          <w:rFonts w:hint="eastAsia" w:ascii="宋体" w:hAnsi="宋体" w:eastAsia="宋体" w:cs="宋体"/>
          <w:color w:val="000000"/>
          <w:sz w:val="21"/>
          <w:szCs w:val="21"/>
          <w:highlight w:val="none"/>
          <w:u w:val="single"/>
        </w:rPr>
        <w:t xml:space="preserve"> 7套 </w:t>
      </w:r>
      <w:r>
        <w:rPr>
          <w:rFonts w:hint="eastAsia" w:ascii="宋体" w:hAnsi="宋体" w:eastAsia="宋体" w:cs="宋体"/>
          <w:color w:val="000000"/>
          <w:sz w:val="21"/>
          <w:szCs w:val="21"/>
          <w:highlight w:val="none"/>
        </w:rPr>
        <w:t>。</w:t>
      </w:r>
    </w:p>
    <w:p w14:paraId="480AE1D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承包人提交的竣工资料的费用承担：</w:t>
      </w:r>
      <w:r>
        <w:rPr>
          <w:rFonts w:hint="eastAsia" w:ascii="宋体" w:hAnsi="宋体" w:eastAsia="宋体" w:cs="宋体"/>
          <w:color w:val="000000"/>
          <w:sz w:val="21"/>
          <w:szCs w:val="21"/>
          <w:highlight w:val="none"/>
          <w:u w:val="single"/>
        </w:rPr>
        <w:t xml:space="preserve"> 由承包人承担 </w:t>
      </w:r>
      <w:r>
        <w:rPr>
          <w:rFonts w:hint="eastAsia" w:ascii="宋体" w:hAnsi="宋体" w:eastAsia="宋体" w:cs="宋体"/>
          <w:color w:val="000000"/>
          <w:sz w:val="21"/>
          <w:szCs w:val="21"/>
          <w:highlight w:val="none"/>
        </w:rPr>
        <w:t>。</w:t>
      </w:r>
    </w:p>
    <w:p w14:paraId="1C1C878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承包人提交的竣工资料移交时间：</w:t>
      </w:r>
      <w:r>
        <w:rPr>
          <w:rFonts w:hint="eastAsia" w:ascii="宋体" w:hAnsi="宋体" w:eastAsia="宋体" w:cs="宋体"/>
          <w:color w:val="000000"/>
          <w:sz w:val="21"/>
          <w:szCs w:val="21"/>
          <w:highlight w:val="none"/>
          <w:u w:val="single"/>
        </w:rPr>
        <w:t xml:space="preserve">  在工程竣工验收合格之日起28天内 </w:t>
      </w:r>
      <w:r>
        <w:rPr>
          <w:rFonts w:hint="eastAsia" w:ascii="宋体" w:hAnsi="宋体" w:eastAsia="宋体" w:cs="宋体"/>
          <w:color w:val="000000"/>
          <w:sz w:val="21"/>
          <w:szCs w:val="21"/>
          <w:highlight w:val="none"/>
        </w:rPr>
        <w:t>。</w:t>
      </w:r>
    </w:p>
    <w:p w14:paraId="47A2A01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承包人提交的竣工资料形式要求：</w:t>
      </w:r>
      <w:r>
        <w:rPr>
          <w:rFonts w:hint="eastAsia" w:ascii="宋体" w:hAnsi="宋体" w:eastAsia="宋体" w:cs="宋体"/>
          <w:color w:val="000000"/>
          <w:sz w:val="21"/>
          <w:szCs w:val="21"/>
          <w:highlight w:val="none"/>
          <w:u w:val="single"/>
        </w:rPr>
        <w:t>书面形式现场交验给发包人代表，代表人书面签收</w:t>
      </w:r>
      <w:r>
        <w:rPr>
          <w:rFonts w:hint="eastAsia" w:ascii="宋体" w:hAnsi="宋体" w:eastAsia="宋体" w:cs="宋体"/>
          <w:color w:val="000000"/>
          <w:sz w:val="21"/>
          <w:szCs w:val="21"/>
          <w:highlight w:val="none"/>
        </w:rPr>
        <w:t>。</w:t>
      </w:r>
    </w:p>
    <w:p w14:paraId="04A4AD4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（10）承包人应履行的其他义务：</w:t>
      </w:r>
      <w:r>
        <w:rPr>
          <w:rFonts w:hint="eastAsia" w:ascii="宋体" w:hAnsi="宋体" w:eastAsia="宋体" w:cs="宋体"/>
          <w:color w:val="000000"/>
          <w:sz w:val="21"/>
          <w:szCs w:val="21"/>
          <w:highlight w:val="none"/>
          <w:u w:val="single"/>
        </w:rPr>
        <w:t xml:space="preserve">按相关规定执行 </w:t>
      </w:r>
      <w:r>
        <w:rPr>
          <w:rFonts w:hint="eastAsia" w:ascii="宋体" w:hAnsi="宋体" w:eastAsia="宋体" w:cs="宋体"/>
          <w:color w:val="000000"/>
          <w:sz w:val="21"/>
          <w:szCs w:val="21"/>
          <w:highlight w:val="none"/>
        </w:rPr>
        <w:t>。</w:t>
      </w:r>
    </w:p>
    <w:p w14:paraId="764B351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 项目经理</w:t>
      </w:r>
    </w:p>
    <w:p w14:paraId="521A72B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 xml:space="preserve">3.2.1 </w:t>
      </w:r>
      <w:r>
        <w:rPr>
          <w:rFonts w:hint="eastAsia" w:ascii="宋体" w:hAnsi="宋体" w:eastAsia="宋体" w:cs="宋体"/>
          <w:color w:val="000000"/>
          <w:sz w:val="21"/>
          <w:szCs w:val="21"/>
          <w:highlight w:val="none"/>
        </w:rPr>
        <w:t>项目经理：</w:t>
      </w:r>
    </w:p>
    <w:p w14:paraId="67470DD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78785BC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52FE1DD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建造师执业资格等级：</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1ABDA89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建造师注册证书号：</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4F32071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建造师执业印章号：</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53F5891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安全生产考核合格证书号：</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68831A2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6C68D6A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7605D1C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10D95BD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承包人对项目经理的授权范围如下：</w:t>
      </w:r>
      <w:r>
        <w:rPr>
          <w:rFonts w:hint="eastAsia" w:ascii="宋体" w:hAnsi="宋体" w:eastAsia="宋体" w:cs="宋体"/>
          <w:color w:val="000000"/>
          <w:sz w:val="21"/>
          <w:szCs w:val="21"/>
          <w:highlight w:val="none"/>
          <w:u w:val="single"/>
        </w:rPr>
        <w:t xml:space="preserve">1.代表企业实施施工项目管理.贯彻执行国家法律,法规,方针,政策和强制性标准,执行企业的管理制度,维护企业的合法权益.2.履行"项目管理目标责任书"规定的任务.3.组织编制项目管理实施规划.4.对进入现场的生产要素进行优化配置和动态管理.5.建立质量管理体系和安全管理体系并组织实施.6.在授权范围内负责与企业管理层,劳务作业层,各协作单位,发包人,分包人和监理工程师等协调,解决项目中出现的问题.7.按"项目管理目标责任书"处理项目经理部与国家,企业,分包单位以及职工之间的利益分配.8.进行现场文明施工管理,发现和处理突发事件.9.参与工程竣工验收,准备结算资料和分析总结,接受审计.10.处理项目经理部善后工作. 11.协助企业进行项目的检查,鉴定和评奖申报 </w:t>
      </w:r>
      <w:r>
        <w:rPr>
          <w:rFonts w:hint="eastAsia" w:ascii="宋体" w:hAnsi="宋体" w:eastAsia="宋体" w:cs="宋体"/>
          <w:color w:val="000000"/>
          <w:sz w:val="21"/>
          <w:szCs w:val="21"/>
          <w:highlight w:val="none"/>
        </w:rPr>
        <w:t>。</w:t>
      </w:r>
    </w:p>
    <w:p w14:paraId="3E1951C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关于项目经理每月在施工现场的时间要求：</w:t>
      </w:r>
      <w:r>
        <w:rPr>
          <w:rFonts w:hint="eastAsia" w:ascii="宋体" w:hAnsi="宋体" w:eastAsia="宋体" w:cs="宋体"/>
          <w:color w:val="000000"/>
          <w:sz w:val="21"/>
          <w:szCs w:val="21"/>
          <w:highlight w:val="none"/>
          <w:u w:val="single"/>
        </w:rPr>
        <w:t xml:space="preserve">  不少于28天 </w:t>
      </w:r>
      <w:r>
        <w:rPr>
          <w:rFonts w:hint="eastAsia" w:ascii="宋体" w:hAnsi="宋体" w:eastAsia="宋体" w:cs="宋体"/>
          <w:color w:val="000000"/>
          <w:sz w:val="21"/>
          <w:szCs w:val="21"/>
          <w:highlight w:val="none"/>
        </w:rPr>
        <w:t>。</w:t>
      </w:r>
    </w:p>
    <w:p w14:paraId="28D6282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承包人未提交劳动合同，以及没有为项目经理缴纳社会保险证明的违约责任：</w:t>
      </w:r>
      <w:r>
        <w:rPr>
          <w:rFonts w:hint="eastAsia" w:ascii="宋体" w:hAnsi="宋体" w:eastAsia="宋体" w:cs="宋体"/>
          <w:color w:val="000000"/>
          <w:sz w:val="21"/>
          <w:szCs w:val="21"/>
          <w:highlight w:val="none"/>
          <w:u w:val="single"/>
        </w:rPr>
        <w:t xml:space="preserve">  由承包人承担责任 </w:t>
      </w:r>
      <w:r>
        <w:rPr>
          <w:rFonts w:hint="eastAsia" w:ascii="宋体" w:hAnsi="宋体" w:eastAsia="宋体" w:cs="宋体"/>
          <w:color w:val="000000"/>
          <w:sz w:val="21"/>
          <w:szCs w:val="21"/>
          <w:highlight w:val="none"/>
        </w:rPr>
        <w:t>。</w:t>
      </w:r>
    </w:p>
    <w:p w14:paraId="4CAC728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项目经理未经批准，擅自离开施工现场的违约责任：</w:t>
      </w:r>
      <w:r>
        <w:rPr>
          <w:rFonts w:hint="eastAsia" w:ascii="宋体" w:hAnsi="宋体" w:eastAsia="宋体" w:cs="宋体"/>
          <w:color w:val="000000"/>
          <w:sz w:val="21"/>
          <w:szCs w:val="21"/>
          <w:highlight w:val="none"/>
          <w:u w:val="single"/>
        </w:rPr>
        <w:t>每天扣发工程款1000元</w:t>
      </w:r>
      <w:r>
        <w:rPr>
          <w:rFonts w:hint="eastAsia" w:ascii="宋体" w:hAnsi="宋体" w:eastAsia="宋体" w:cs="宋体"/>
          <w:color w:val="000000"/>
          <w:sz w:val="21"/>
          <w:szCs w:val="21"/>
          <w:highlight w:val="none"/>
        </w:rPr>
        <w:t>。</w:t>
      </w:r>
    </w:p>
    <w:p w14:paraId="0CE2E44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3.2.3 承包人擅自更换项目经理的违约责任：</w:t>
      </w:r>
      <w:r>
        <w:rPr>
          <w:rFonts w:hint="eastAsia" w:ascii="宋体" w:hAnsi="宋体" w:eastAsia="宋体" w:cs="宋体"/>
          <w:color w:val="000000"/>
          <w:sz w:val="21"/>
          <w:szCs w:val="21"/>
          <w:highlight w:val="none"/>
          <w:u w:val="single"/>
        </w:rPr>
        <w:t>每次扣发工程款10000元</w:t>
      </w:r>
      <w:r>
        <w:rPr>
          <w:rFonts w:hint="eastAsia" w:ascii="宋体" w:hAnsi="宋体" w:eastAsia="宋体" w:cs="宋体"/>
          <w:color w:val="000000"/>
          <w:sz w:val="21"/>
          <w:szCs w:val="21"/>
          <w:highlight w:val="none"/>
        </w:rPr>
        <w:t>。</w:t>
      </w:r>
    </w:p>
    <w:p w14:paraId="75BD551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3.2.4 承包人无正当理由拒绝更换项目经理的违约责任：</w:t>
      </w:r>
      <w:r>
        <w:rPr>
          <w:rFonts w:hint="eastAsia" w:ascii="宋体" w:hAnsi="宋体" w:eastAsia="宋体" w:cs="宋体"/>
          <w:color w:val="000000"/>
          <w:sz w:val="21"/>
          <w:szCs w:val="21"/>
          <w:highlight w:val="none"/>
          <w:u w:val="single"/>
        </w:rPr>
        <w:t>每次扣发工程款10000元</w:t>
      </w:r>
      <w:r>
        <w:rPr>
          <w:rFonts w:hint="eastAsia" w:ascii="宋体" w:hAnsi="宋体" w:eastAsia="宋体" w:cs="宋体"/>
          <w:color w:val="000000"/>
          <w:sz w:val="21"/>
          <w:szCs w:val="21"/>
          <w:highlight w:val="none"/>
        </w:rPr>
        <w:t>。</w:t>
      </w:r>
    </w:p>
    <w:p w14:paraId="0C580E2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 承包人人员</w:t>
      </w:r>
    </w:p>
    <w:p w14:paraId="7F262A7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3.3.1 承包人提交项目管理机构及施工现场管理人员安排报告的期限：</w:t>
      </w:r>
      <w:r>
        <w:rPr>
          <w:rFonts w:hint="eastAsia" w:ascii="宋体" w:hAnsi="宋体" w:eastAsia="宋体" w:cs="宋体"/>
          <w:color w:val="000000"/>
          <w:sz w:val="21"/>
          <w:szCs w:val="21"/>
          <w:highlight w:val="none"/>
          <w:u w:val="single"/>
        </w:rPr>
        <w:t xml:space="preserve"> 10天内  </w:t>
      </w:r>
      <w:r>
        <w:rPr>
          <w:rFonts w:hint="eastAsia" w:ascii="宋体" w:hAnsi="宋体" w:eastAsia="宋体" w:cs="宋体"/>
          <w:color w:val="000000"/>
          <w:sz w:val="21"/>
          <w:szCs w:val="21"/>
          <w:highlight w:val="none"/>
        </w:rPr>
        <w:t>。</w:t>
      </w:r>
    </w:p>
    <w:p w14:paraId="6FD68F1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3.3.3 承包人无正当理由拒绝撤换主要施工管理人员的违约责任：</w:t>
      </w:r>
      <w:r>
        <w:rPr>
          <w:rFonts w:hint="eastAsia" w:ascii="宋体" w:hAnsi="宋体" w:eastAsia="宋体" w:cs="宋体"/>
          <w:color w:val="000000"/>
          <w:sz w:val="21"/>
          <w:szCs w:val="21"/>
          <w:highlight w:val="none"/>
          <w:u w:val="single"/>
        </w:rPr>
        <w:t xml:space="preserve"> 每天扣发工程款500元 </w:t>
      </w:r>
      <w:r>
        <w:rPr>
          <w:rFonts w:hint="eastAsia" w:ascii="宋体" w:hAnsi="宋体" w:eastAsia="宋体" w:cs="宋体"/>
          <w:color w:val="000000"/>
          <w:sz w:val="21"/>
          <w:szCs w:val="21"/>
          <w:highlight w:val="none"/>
        </w:rPr>
        <w:t>。</w:t>
      </w:r>
    </w:p>
    <w:p w14:paraId="0EEDC30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 xml:space="preserve">3.3.4 承包人主要施工管理人员离开施工现场的批准要求： </w:t>
      </w:r>
      <w:r>
        <w:rPr>
          <w:rFonts w:hint="eastAsia" w:ascii="宋体" w:hAnsi="宋体" w:eastAsia="宋体" w:cs="宋体"/>
          <w:color w:val="000000"/>
          <w:sz w:val="21"/>
          <w:szCs w:val="21"/>
          <w:highlight w:val="none"/>
          <w:u w:val="single"/>
        </w:rPr>
        <w:t>每天扣发工程款500元</w:t>
      </w:r>
      <w:r>
        <w:rPr>
          <w:rFonts w:hint="eastAsia" w:ascii="宋体" w:hAnsi="宋体" w:eastAsia="宋体" w:cs="宋体"/>
          <w:color w:val="000000"/>
          <w:sz w:val="21"/>
          <w:szCs w:val="21"/>
          <w:highlight w:val="none"/>
        </w:rPr>
        <w:t>。</w:t>
      </w:r>
    </w:p>
    <w:p w14:paraId="7FEC4D2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3.3.5承包人擅自更换主要施工管理人员的违约责任：</w:t>
      </w:r>
      <w:r>
        <w:rPr>
          <w:rFonts w:hint="eastAsia" w:ascii="宋体" w:hAnsi="宋体" w:eastAsia="宋体" w:cs="宋体"/>
          <w:color w:val="000000"/>
          <w:sz w:val="21"/>
          <w:szCs w:val="21"/>
          <w:highlight w:val="none"/>
          <w:u w:val="single"/>
        </w:rPr>
        <w:t xml:space="preserve"> 每天扣发工程款5000元</w:t>
      </w:r>
      <w:r>
        <w:rPr>
          <w:rFonts w:hint="eastAsia" w:ascii="宋体" w:hAnsi="宋体" w:eastAsia="宋体" w:cs="宋体"/>
          <w:color w:val="000000"/>
          <w:sz w:val="21"/>
          <w:szCs w:val="21"/>
          <w:highlight w:val="none"/>
        </w:rPr>
        <w:t>。</w:t>
      </w:r>
    </w:p>
    <w:p w14:paraId="12DB4DE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承包人主要施工管理人员擅自离开施工现场的违约责任：</w:t>
      </w:r>
      <w:r>
        <w:rPr>
          <w:rFonts w:hint="eastAsia" w:ascii="宋体" w:hAnsi="宋体" w:eastAsia="宋体" w:cs="宋体"/>
          <w:color w:val="000000"/>
          <w:sz w:val="21"/>
          <w:szCs w:val="21"/>
          <w:highlight w:val="none"/>
          <w:u w:val="single"/>
        </w:rPr>
        <w:t xml:space="preserve"> 每天扣发工程款500元 </w:t>
      </w:r>
      <w:r>
        <w:rPr>
          <w:rFonts w:hint="eastAsia" w:ascii="宋体" w:hAnsi="宋体" w:eastAsia="宋体" w:cs="宋体"/>
          <w:color w:val="000000"/>
          <w:sz w:val="21"/>
          <w:szCs w:val="21"/>
          <w:highlight w:val="none"/>
        </w:rPr>
        <w:t>。</w:t>
      </w:r>
    </w:p>
    <w:p w14:paraId="4B6BE6A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bookmarkStart w:id="65" w:name="_Toc297123492"/>
      <w:bookmarkStart w:id="66" w:name="_Toc312677988"/>
      <w:bookmarkStart w:id="67" w:name="_Toc296890987"/>
      <w:bookmarkStart w:id="68" w:name="_Toc292559869"/>
      <w:bookmarkStart w:id="69" w:name="_Toc292559364"/>
      <w:bookmarkStart w:id="70" w:name="_Toc296346660"/>
      <w:bookmarkStart w:id="71" w:name="_Toc300934945"/>
      <w:bookmarkStart w:id="72" w:name="_Toc296347158"/>
      <w:bookmarkStart w:id="73" w:name="_Toc297048345"/>
      <w:bookmarkStart w:id="74" w:name="_Toc296944498"/>
      <w:bookmarkStart w:id="75" w:name="_Toc303539102"/>
      <w:bookmarkStart w:id="76" w:name="_Toc297120459"/>
      <w:bookmarkStart w:id="77" w:name="_Toc304295523"/>
      <w:bookmarkStart w:id="78" w:name="_Toc297216151"/>
      <w:bookmarkStart w:id="79" w:name="_Toc296503159"/>
      <w:bookmarkStart w:id="80" w:name="_Toc296891199"/>
      <w:r>
        <w:rPr>
          <w:rFonts w:hint="eastAsia" w:ascii="宋体" w:hAnsi="宋体" w:eastAsia="宋体" w:cs="宋体"/>
          <w:color w:val="000000"/>
          <w:sz w:val="21"/>
          <w:szCs w:val="21"/>
          <w:highlight w:val="none"/>
        </w:rPr>
        <w:t>.5 分包</w:t>
      </w:r>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5CCE98F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bookmarkStart w:id="81" w:name="_Toc296503160"/>
      <w:bookmarkStart w:id="82" w:name="_Toc312677989"/>
      <w:bookmarkStart w:id="83" w:name="_Toc292559870"/>
      <w:bookmarkStart w:id="84" w:name="_Toc297048346"/>
      <w:bookmarkStart w:id="85" w:name="_Toc292559365"/>
      <w:bookmarkStart w:id="86" w:name="_Toc296347159"/>
      <w:bookmarkStart w:id="87" w:name="_Toc296890988"/>
      <w:bookmarkStart w:id="88" w:name="_Toc300934946"/>
      <w:bookmarkStart w:id="89" w:name="_Toc296891200"/>
      <w:bookmarkStart w:id="90" w:name="_Toc303539103"/>
      <w:bookmarkStart w:id="91" w:name="_Toc296346661"/>
      <w:bookmarkStart w:id="92" w:name="_Toc297216152"/>
      <w:bookmarkStart w:id="93" w:name="_Toc297123493"/>
      <w:bookmarkStart w:id="94" w:name="_Toc304295524"/>
      <w:bookmarkStart w:id="95" w:name="_Toc296944499"/>
      <w:bookmarkStart w:id="96" w:name="_Toc318581158"/>
      <w:bookmarkStart w:id="97" w:name="_Toc297120460"/>
      <w:r>
        <w:rPr>
          <w:rFonts w:hint="eastAsia" w:ascii="宋体" w:hAnsi="宋体" w:eastAsia="宋体" w:cs="宋体"/>
          <w:color w:val="000000"/>
          <w:sz w:val="21"/>
          <w:szCs w:val="21"/>
          <w:highlight w:val="none"/>
        </w:rPr>
        <w:t>.5.1 本项目不允许分包</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Start w:id="98" w:name="_Toc312677990"/>
      <w:bookmarkStart w:id="99" w:name="_Toc318581159"/>
      <w:r>
        <w:rPr>
          <w:rFonts w:hint="eastAsia" w:ascii="宋体" w:hAnsi="宋体" w:eastAsia="宋体" w:cs="宋体"/>
          <w:color w:val="000000"/>
          <w:sz w:val="21"/>
          <w:szCs w:val="21"/>
          <w:highlight w:val="none"/>
        </w:rPr>
        <w:t>。</w:t>
      </w:r>
    </w:p>
    <w:bookmarkEnd w:id="98"/>
    <w:bookmarkEnd w:id="99"/>
    <w:p w14:paraId="00C0C26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3.6 工程照管与成品、半成品保护</w:t>
      </w:r>
    </w:p>
    <w:p w14:paraId="6996138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承包人负责照管工程及工程相关的材料、工程设备的起始时间：</w:t>
      </w:r>
      <w:r>
        <w:rPr>
          <w:rFonts w:hint="eastAsia" w:ascii="宋体" w:hAnsi="宋体" w:eastAsia="宋体" w:cs="宋体"/>
          <w:color w:val="000000"/>
          <w:kern w:val="0"/>
          <w:sz w:val="21"/>
          <w:szCs w:val="21"/>
          <w:highlight w:val="none"/>
          <w:u w:val="single"/>
        </w:rPr>
        <w:t>每天扣发工程款500元</w:t>
      </w:r>
      <w:r>
        <w:rPr>
          <w:rFonts w:hint="eastAsia" w:ascii="宋体" w:hAnsi="宋体" w:eastAsia="宋体" w:cs="宋体"/>
          <w:color w:val="000000"/>
          <w:kern w:val="0"/>
          <w:sz w:val="21"/>
          <w:szCs w:val="21"/>
          <w:highlight w:val="none"/>
        </w:rPr>
        <w:t>。</w:t>
      </w:r>
    </w:p>
    <w:p w14:paraId="69CB365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3.7 履约担保</w:t>
      </w:r>
    </w:p>
    <w:p w14:paraId="699151C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承包人是否提供履约担保：</w:t>
      </w:r>
      <w:r>
        <w:rPr>
          <w:rFonts w:hint="eastAsia" w:ascii="宋体" w:hAnsi="宋体" w:eastAsia="宋体" w:cs="宋体"/>
          <w:color w:val="000000"/>
          <w:sz w:val="21"/>
          <w:szCs w:val="21"/>
          <w:highlight w:val="none"/>
          <w:u w:val="single"/>
        </w:rPr>
        <w:t>否</w:t>
      </w:r>
      <w:r>
        <w:rPr>
          <w:rFonts w:hint="eastAsia" w:ascii="宋体" w:hAnsi="宋体" w:eastAsia="宋体" w:cs="宋体"/>
          <w:color w:val="000000"/>
          <w:sz w:val="21"/>
          <w:szCs w:val="21"/>
          <w:highlight w:val="none"/>
        </w:rPr>
        <w:t>。</w:t>
      </w:r>
    </w:p>
    <w:p w14:paraId="32A869C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承包人提供履约担保的形式、金额及期限的：</w:t>
      </w:r>
      <w:r>
        <w:rPr>
          <w:rFonts w:hint="eastAsia" w:ascii="宋体" w:hAnsi="宋体" w:eastAsia="宋体" w:cs="宋体"/>
          <w:color w:val="000000"/>
          <w:sz w:val="21"/>
          <w:szCs w:val="21"/>
          <w:highlight w:val="none"/>
          <w:u w:val="single"/>
        </w:rPr>
        <w:t>履约保证金的形式：支票、电汇、网银、汇票、本票等方式，均应从基本账户转出；履约保证金：</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；合同签订后5个工作日内缴纳</w:t>
      </w:r>
      <w:r>
        <w:rPr>
          <w:rFonts w:hint="eastAsia" w:ascii="宋体" w:hAnsi="宋体" w:eastAsia="宋体" w:cs="宋体"/>
          <w:color w:val="000000"/>
          <w:sz w:val="21"/>
          <w:szCs w:val="21"/>
          <w:highlight w:val="none"/>
        </w:rPr>
        <w:t>。</w:t>
      </w:r>
    </w:p>
    <w:p w14:paraId="42EDCD76">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00" w:name="_Toc351203636"/>
      <w:r>
        <w:rPr>
          <w:rFonts w:hint="eastAsia" w:ascii="宋体" w:hAnsi="宋体" w:eastAsia="宋体" w:cs="宋体"/>
          <w:color w:val="000000"/>
          <w:sz w:val="21"/>
          <w:szCs w:val="21"/>
          <w:highlight w:val="none"/>
        </w:rPr>
        <w:t>4</w:t>
      </w:r>
      <w:bookmarkStart w:id="101" w:name="_Toc292559366"/>
      <w:bookmarkStart w:id="102" w:name="_Toc267251413"/>
      <w:bookmarkStart w:id="103" w:name="_Toc297120462"/>
      <w:bookmarkStart w:id="104" w:name="_Toc296890990"/>
      <w:bookmarkStart w:id="105" w:name="_Toc296891202"/>
      <w:bookmarkStart w:id="106" w:name="_Toc292559871"/>
      <w:bookmarkStart w:id="107" w:name="_Toc296503162"/>
      <w:bookmarkStart w:id="108" w:name="_Toc296347161"/>
      <w:bookmarkStart w:id="109" w:name="_Toc297048348"/>
      <w:bookmarkStart w:id="110" w:name="_Toc296346663"/>
      <w:bookmarkStart w:id="111" w:name="_Toc296944501"/>
      <w:r>
        <w:rPr>
          <w:rFonts w:hint="eastAsia" w:ascii="宋体" w:hAnsi="宋体" w:eastAsia="宋体" w:cs="宋体"/>
          <w:color w:val="000000"/>
          <w:sz w:val="21"/>
          <w:szCs w:val="21"/>
          <w:highlight w:val="none"/>
        </w:rPr>
        <w:t>. 监</w:t>
      </w:r>
      <w:bookmarkEnd w:id="101"/>
      <w:bookmarkEnd w:id="102"/>
      <w:bookmarkEnd w:id="103"/>
      <w:bookmarkEnd w:id="104"/>
      <w:bookmarkEnd w:id="105"/>
      <w:bookmarkEnd w:id="106"/>
      <w:bookmarkEnd w:id="107"/>
      <w:bookmarkEnd w:id="108"/>
      <w:bookmarkEnd w:id="109"/>
      <w:bookmarkEnd w:id="110"/>
      <w:bookmarkEnd w:id="111"/>
      <w:r>
        <w:rPr>
          <w:rFonts w:hint="eastAsia" w:ascii="宋体" w:hAnsi="宋体" w:eastAsia="宋体" w:cs="宋体"/>
          <w:color w:val="000000"/>
          <w:sz w:val="21"/>
          <w:szCs w:val="21"/>
          <w:highlight w:val="none"/>
        </w:rPr>
        <w:t>理人</w:t>
      </w:r>
      <w:bookmarkEnd w:id="100"/>
    </w:p>
    <w:p w14:paraId="77F9255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4.1监理人的一般规定</w:t>
      </w:r>
    </w:p>
    <w:p w14:paraId="7A854BD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关于监理人的监理内容：</w:t>
      </w:r>
      <w:r>
        <w:rPr>
          <w:rFonts w:hint="eastAsia" w:ascii="宋体" w:hAnsi="宋体" w:eastAsia="宋体" w:cs="宋体"/>
          <w:color w:val="000000"/>
          <w:sz w:val="21"/>
          <w:szCs w:val="21"/>
          <w:highlight w:val="none"/>
          <w:u w:val="single"/>
        </w:rPr>
        <w:t>组织复核设计文件、审查施工组织设计、材料、施工方法与工艺、保证施工质量的试验、检测、监督合同中有关质量标准的实施、纠正不符合设计要求和质量标准的行为、监督承包人的工程施工质量、适时进行检验和检测、进行工程计量的初步审核、工程变更和索赔的初审、控制工程进度、协调参与建设各单位的关系等</w:t>
      </w:r>
      <w:r>
        <w:rPr>
          <w:rFonts w:hint="eastAsia" w:ascii="宋体" w:hAnsi="宋体" w:eastAsia="宋体" w:cs="宋体"/>
          <w:color w:val="000000"/>
          <w:sz w:val="21"/>
          <w:szCs w:val="21"/>
          <w:highlight w:val="none"/>
        </w:rPr>
        <w:t>。</w:t>
      </w:r>
    </w:p>
    <w:p w14:paraId="265504C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关于监理人的监理权限：</w:t>
      </w:r>
      <w:r>
        <w:rPr>
          <w:rFonts w:hint="eastAsia" w:ascii="宋体" w:hAnsi="宋体" w:eastAsia="宋体" w:cs="宋体"/>
          <w:color w:val="000000"/>
          <w:sz w:val="21"/>
          <w:szCs w:val="21"/>
          <w:highlight w:val="none"/>
          <w:u w:val="single"/>
        </w:rPr>
        <w:t>发包人全权委托</w:t>
      </w:r>
      <w:r>
        <w:rPr>
          <w:rFonts w:hint="eastAsia" w:ascii="宋体" w:hAnsi="宋体" w:eastAsia="宋体" w:cs="宋体"/>
          <w:color w:val="000000"/>
          <w:sz w:val="21"/>
          <w:szCs w:val="21"/>
          <w:highlight w:val="none"/>
        </w:rPr>
        <w:t>。</w:t>
      </w:r>
    </w:p>
    <w:p w14:paraId="58971E3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关于监理人在施工现场的办公场所、生活场所的提供和费用承担的约定：</w:t>
      </w:r>
      <w:r>
        <w:rPr>
          <w:rFonts w:hint="eastAsia" w:ascii="宋体" w:hAnsi="宋体" w:eastAsia="宋体" w:cs="宋体"/>
          <w:color w:val="000000"/>
          <w:sz w:val="21"/>
          <w:szCs w:val="21"/>
          <w:highlight w:val="none"/>
          <w:u w:val="single"/>
        </w:rPr>
        <w:t>由甲方承担</w:t>
      </w:r>
      <w:r>
        <w:rPr>
          <w:rFonts w:hint="eastAsia" w:ascii="宋体" w:hAnsi="宋体" w:eastAsia="宋体" w:cs="宋体"/>
          <w:color w:val="000000"/>
          <w:sz w:val="21"/>
          <w:szCs w:val="21"/>
          <w:highlight w:val="none"/>
        </w:rPr>
        <w:t>。</w:t>
      </w:r>
    </w:p>
    <w:p w14:paraId="136F17F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 监理人员</w:t>
      </w:r>
    </w:p>
    <w:p w14:paraId="28C3B06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总监理工程师：</w:t>
      </w:r>
    </w:p>
    <w:p w14:paraId="3DA48A8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3555816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BA0AAD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监理工程师执业资格证书号：</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586AEFD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3861255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B60AAE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6FDB3AD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关于监理人的其他约定：</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844999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4.4 商定或确定</w:t>
      </w:r>
    </w:p>
    <w:p w14:paraId="2913F04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12" w:name="_Toc267251418"/>
      <w:r>
        <w:rPr>
          <w:rFonts w:hint="eastAsia" w:ascii="宋体" w:hAnsi="宋体" w:eastAsia="宋体" w:cs="宋体"/>
          <w:color w:val="000000"/>
          <w:sz w:val="21"/>
          <w:szCs w:val="21"/>
          <w:highlight w:val="none"/>
        </w:rPr>
        <w:t>在发包人和承包人不能通过协商达成一致意见时，发包人授权监理人对以下事项进行确定：</w:t>
      </w:r>
    </w:p>
    <w:p w14:paraId="1419BFE9">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r>
        <w:rPr>
          <w:rFonts w:hint="eastAsia" w:ascii="宋体" w:hAnsi="宋体" w:eastAsia="宋体" w:cs="宋体"/>
          <w:color w:val="000000"/>
          <w:sz w:val="21"/>
          <w:szCs w:val="21"/>
          <w:highlight w:val="none"/>
          <w:u w:val="single"/>
        </w:rPr>
        <w:t xml:space="preserve">  按通用条款执行  </w:t>
      </w:r>
      <w:r>
        <w:rPr>
          <w:rFonts w:hint="eastAsia" w:ascii="宋体" w:hAnsi="宋体" w:eastAsia="宋体" w:cs="宋体"/>
          <w:color w:val="000000"/>
          <w:sz w:val="21"/>
          <w:szCs w:val="21"/>
          <w:highlight w:val="none"/>
        </w:rPr>
        <w:t>；</w:t>
      </w:r>
    </w:p>
    <w:p w14:paraId="7EA2FE74">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13" w:name="_Toc351203637"/>
      <w:r>
        <w:rPr>
          <w:rFonts w:hint="eastAsia" w:ascii="宋体" w:hAnsi="宋体" w:eastAsia="宋体" w:cs="宋体"/>
          <w:color w:val="000000"/>
          <w:sz w:val="21"/>
          <w:szCs w:val="21"/>
          <w:highlight w:val="none"/>
        </w:rPr>
        <w:t>5</w:t>
      </w:r>
      <w:bookmarkEnd w:id="112"/>
      <w:bookmarkStart w:id="114" w:name="_Toc297120463"/>
      <w:bookmarkStart w:id="115" w:name="_Toc296891203"/>
      <w:bookmarkStart w:id="116" w:name="_Toc292559367"/>
      <w:bookmarkStart w:id="117" w:name="_Toc296347162"/>
      <w:bookmarkStart w:id="118" w:name="_Toc296944502"/>
      <w:bookmarkStart w:id="119" w:name="_Toc296890991"/>
      <w:bookmarkStart w:id="120" w:name="_Toc297048349"/>
      <w:bookmarkStart w:id="121" w:name="_Toc296346664"/>
      <w:bookmarkStart w:id="122" w:name="_Toc296503163"/>
      <w:bookmarkStart w:id="123" w:name="_Toc292559872"/>
      <w:r>
        <w:rPr>
          <w:rFonts w:hint="eastAsia" w:ascii="宋体" w:hAnsi="宋体" w:eastAsia="宋体" w:cs="宋体"/>
          <w:color w:val="000000"/>
          <w:sz w:val="21"/>
          <w:szCs w:val="21"/>
          <w:highlight w:val="none"/>
        </w:rPr>
        <w:t>. 工程质量</w:t>
      </w:r>
      <w:bookmarkEnd w:id="113"/>
    </w:p>
    <w:p w14:paraId="2E6755E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5.1 质量要求</w:t>
      </w:r>
    </w:p>
    <w:p w14:paraId="79BC7DF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w:t>
      </w:r>
      <w:bookmarkStart w:id="124" w:name="_Toc297216155"/>
      <w:bookmarkStart w:id="125" w:name="_Toc312677997"/>
      <w:bookmarkStart w:id="126" w:name="_Toc300934949"/>
      <w:bookmarkStart w:id="127" w:name="_Toc297123496"/>
      <w:bookmarkStart w:id="128" w:name="_Toc304295527"/>
      <w:bookmarkStart w:id="129" w:name="_Toc318581164"/>
      <w:bookmarkStart w:id="130" w:name="_Toc303539106"/>
      <w:r>
        <w:rPr>
          <w:rFonts w:hint="eastAsia" w:ascii="宋体" w:hAnsi="宋体" w:eastAsia="宋体" w:cs="宋体"/>
          <w:color w:val="000000"/>
          <w:sz w:val="21"/>
          <w:szCs w:val="21"/>
          <w:highlight w:val="none"/>
        </w:rPr>
        <w:t>.1.1 特殊质量标准和要求：</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2405EB7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关于工程奖项的约定：</w:t>
      </w:r>
      <w:r>
        <w:rPr>
          <w:rFonts w:hint="eastAsia" w:ascii="宋体" w:hAnsi="宋体" w:eastAsia="宋体" w:cs="宋体"/>
          <w:color w:val="000000"/>
          <w:sz w:val="21"/>
          <w:szCs w:val="21"/>
          <w:highlight w:val="none"/>
          <w:u w:val="single"/>
        </w:rPr>
        <w:t>发包人不支付奖金</w:t>
      </w:r>
      <w:r>
        <w:rPr>
          <w:rFonts w:hint="eastAsia" w:ascii="宋体" w:hAnsi="宋体" w:eastAsia="宋体" w:cs="宋体"/>
          <w:color w:val="000000"/>
          <w:sz w:val="21"/>
          <w:szCs w:val="21"/>
          <w:highlight w:val="none"/>
        </w:rPr>
        <w:t>。</w:t>
      </w:r>
    </w:p>
    <w:p w14:paraId="2060A00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5.3 隐蔽工程检查</w:t>
      </w:r>
    </w:p>
    <w:p w14:paraId="047A913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5.3.2承包人提前通知监理人隐蔽工程检查的期限的约定：</w:t>
      </w:r>
      <w:r>
        <w:rPr>
          <w:rFonts w:hint="eastAsia" w:ascii="宋体" w:hAnsi="宋体" w:eastAsia="宋体" w:cs="宋体"/>
          <w:color w:val="000000"/>
          <w:sz w:val="21"/>
          <w:szCs w:val="21"/>
          <w:highlight w:val="none"/>
          <w:u w:val="single"/>
        </w:rPr>
        <w:t xml:space="preserve"> 24小时内 </w:t>
      </w:r>
      <w:r>
        <w:rPr>
          <w:rFonts w:hint="eastAsia" w:ascii="宋体" w:hAnsi="宋体" w:eastAsia="宋体" w:cs="宋体"/>
          <w:color w:val="000000"/>
          <w:sz w:val="21"/>
          <w:szCs w:val="21"/>
          <w:highlight w:val="none"/>
        </w:rPr>
        <w:t>。</w:t>
      </w:r>
    </w:p>
    <w:p w14:paraId="63E651C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监理人不能按时进行检查时，应提前</w:t>
      </w:r>
      <w:r>
        <w:rPr>
          <w:rFonts w:hint="eastAsia" w:ascii="宋体" w:hAnsi="宋体" w:eastAsia="宋体" w:cs="宋体"/>
          <w:color w:val="000000"/>
          <w:sz w:val="21"/>
          <w:szCs w:val="21"/>
          <w:highlight w:val="none"/>
          <w:u w:val="single"/>
        </w:rPr>
        <w:t>12</w:t>
      </w:r>
      <w:r>
        <w:rPr>
          <w:rFonts w:hint="eastAsia" w:ascii="宋体" w:hAnsi="宋体" w:eastAsia="宋体" w:cs="宋体"/>
          <w:color w:val="000000"/>
          <w:sz w:val="21"/>
          <w:szCs w:val="21"/>
          <w:highlight w:val="none"/>
        </w:rPr>
        <w:t>小时提交书面延期要求。</w:t>
      </w:r>
    </w:p>
    <w:p w14:paraId="604D410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关于延期最长不得超过：</w:t>
      </w:r>
      <w:r>
        <w:rPr>
          <w:rFonts w:hint="eastAsia" w:ascii="宋体" w:hAnsi="宋体" w:eastAsia="宋体" w:cs="宋体"/>
          <w:color w:val="000000"/>
          <w:sz w:val="21"/>
          <w:szCs w:val="21"/>
          <w:highlight w:val="none"/>
          <w:u w:val="single"/>
        </w:rPr>
        <w:t>24</w:t>
      </w:r>
      <w:r>
        <w:rPr>
          <w:rFonts w:hint="eastAsia" w:ascii="宋体" w:hAnsi="宋体" w:eastAsia="宋体" w:cs="宋体"/>
          <w:color w:val="000000"/>
          <w:sz w:val="21"/>
          <w:szCs w:val="21"/>
          <w:highlight w:val="none"/>
        </w:rPr>
        <w:t>小时。</w:t>
      </w:r>
    </w:p>
    <w:p w14:paraId="01B85E9A">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31" w:name="_Toc351203638"/>
      <w:r>
        <w:rPr>
          <w:rFonts w:hint="eastAsia" w:ascii="宋体" w:hAnsi="宋体" w:eastAsia="宋体" w:cs="宋体"/>
          <w:color w:val="000000"/>
          <w:sz w:val="21"/>
          <w:szCs w:val="21"/>
          <w:highlight w:val="none"/>
        </w:rPr>
        <w:t>6. 安全文明施工与环境保护</w:t>
      </w:r>
      <w:bookmarkEnd w:id="131"/>
    </w:p>
    <w:p w14:paraId="13B89A5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6.1安全文明施工</w:t>
      </w:r>
    </w:p>
    <w:p w14:paraId="7EE5E96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6.1.1 项目安全生产的达标目标及相应事项的约定：</w:t>
      </w:r>
      <w:r>
        <w:rPr>
          <w:rFonts w:hint="eastAsia" w:ascii="宋体" w:hAnsi="宋体" w:eastAsia="宋体" w:cs="宋体"/>
          <w:color w:val="000000"/>
          <w:sz w:val="21"/>
          <w:szCs w:val="21"/>
          <w:highlight w:val="none"/>
          <w:u w:val="single"/>
        </w:rPr>
        <w:t>安全生产必须按照国家有关管理条例进行施工，如发生安全事故，应查明原因，一切后果及经济损失由责任方承担</w:t>
      </w:r>
      <w:r>
        <w:rPr>
          <w:rFonts w:hint="eastAsia" w:ascii="宋体" w:hAnsi="宋体" w:eastAsia="宋体" w:cs="宋体"/>
          <w:color w:val="000000"/>
          <w:sz w:val="21"/>
          <w:szCs w:val="21"/>
          <w:highlight w:val="none"/>
        </w:rPr>
        <w:t>。</w:t>
      </w:r>
    </w:p>
    <w:p w14:paraId="265BE09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6.1.4 关于治安保卫的特别约定：</w:t>
      </w:r>
      <w:r>
        <w:rPr>
          <w:rFonts w:hint="eastAsia" w:ascii="宋体" w:hAnsi="宋体" w:eastAsia="宋体" w:cs="宋体"/>
          <w:color w:val="000000"/>
          <w:sz w:val="21"/>
          <w:szCs w:val="21"/>
          <w:highlight w:val="none"/>
          <w:u w:val="single"/>
        </w:rPr>
        <w:t>承包人应加强与当地公安派出所的联系，做好治安防范。在施工现场建立治安管理机构或联防组织，确保施工场地的人身安全，确保工程项目建设顺利实施。要加强施工队伍的管理，加强员工的法制教育，严禁违法违纪事件发生</w:t>
      </w:r>
      <w:r>
        <w:rPr>
          <w:rFonts w:hint="eastAsia" w:ascii="宋体" w:hAnsi="宋体" w:eastAsia="宋体" w:cs="宋体"/>
          <w:color w:val="000000"/>
          <w:sz w:val="21"/>
          <w:szCs w:val="21"/>
          <w:highlight w:val="none"/>
        </w:rPr>
        <w:t>。</w:t>
      </w:r>
    </w:p>
    <w:p w14:paraId="0E06288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关于编制施工场地治安管理计划的约定：</w:t>
      </w:r>
      <w:r>
        <w:rPr>
          <w:rFonts w:hint="eastAsia" w:ascii="宋体" w:hAnsi="宋体" w:eastAsia="宋体" w:cs="宋体"/>
          <w:color w:val="000000"/>
          <w:sz w:val="21"/>
          <w:szCs w:val="21"/>
          <w:highlight w:val="none"/>
          <w:u w:val="single"/>
        </w:rPr>
        <w:t xml:space="preserve">  按通用条款执行  </w:t>
      </w:r>
      <w:r>
        <w:rPr>
          <w:rFonts w:hint="eastAsia" w:ascii="宋体" w:hAnsi="宋体" w:eastAsia="宋体" w:cs="宋体"/>
          <w:color w:val="000000"/>
          <w:sz w:val="21"/>
          <w:szCs w:val="21"/>
          <w:highlight w:val="none"/>
        </w:rPr>
        <w:t>。</w:t>
      </w:r>
    </w:p>
    <w:p w14:paraId="5289E7B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6.1.5 文明施工</w:t>
      </w:r>
    </w:p>
    <w:p w14:paraId="5FBA07F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合同当事人对文明施工的要求：</w:t>
      </w:r>
      <w:r>
        <w:rPr>
          <w:rFonts w:hint="eastAsia" w:ascii="宋体" w:hAnsi="宋体" w:eastAsia="宋体" w:cs="宋体"/>
          <w:color w:val="000000"/>
          <w:sz w:val="21"/>
          <w:szCs w:val="21"/>
          <w:highlight w:val="none"/>
          <w:u w:val="single"/>
        </w:rPr>
        <w:t xml:space="preserve">    按通用条款执行  </w:t>
      </w:r>
      <w:r>
        <w:rPr>
          <w:rFonts w:hint="eastAsia" w:ascii="宋体" w:hAnsi="宋体" w:eastAsia="宋体" w:cs="宋体"/>
          <w:color w:val="000000"/>
          <w:sz w:val="21"/>
          <w:szCs w:val="21"/>
          <w:highlight w:val="none"/>
        </w:rPr>
        <w:t>。</w:t>
      </w:r>
    </w:p>
    <w:p w14:paraId="0513B93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6.1.6 关于安全文明施工费支付比例和支付期限的约定：</w:t>
      </w:r>
      <w:r>
        <w:rPr>
          <w:rFonts w:hint="eastAsia" w:ascii="宋体" w:hAnsi="宋体" w:eastAsia="宋体" w:cs="宋体"/>
          <w:color w:val="000000"/>
          <w:sz w:val="21"/>
          <w:szCs w:val="21"/>
          <w:highlight w:val="none"/>
          <w:u w:val="single"/>
        </w:rPr>
        <w:t xml:space="preserve">计入工程造价，开工前一次性足额支付给承包人   </w:t>
      </w:r>
      <w:r>
        <w:rPr>
          <w:rFonts w:hint="eastAsia" w:ascii="宋体" w:hAnsi="宋体" w:eastAsia="宋体" w:cs="宋体"/>
          <w:color w:val="000000"/>
          <w:sz w:val="21"/>
          <w:szCs w:val="21"/>
          <w:highlight w:val="none"/>
        </w:rPr>
        <w:t>。</w:t>
      </w:r>
    </w:p>
    <w:bookmarkEnd w:id="124"/>
    <w:bookmarkEnd w:id="125"/>
    <w:bookmarkEnd w:id="126"/>
    <w:bookmarkEnd w:id="127"/>
    <w:bookmarkEnd w:id="128"/>
    <w:bookmarkEnd w:id="129"/>
    <w:bookmarkEnd w:id="130"/>
    <w:p w14:paraId="387D049A">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32" w:name="_Toc351203639"/>
      <w:r>
        <w:rPr>
          <w:rFonts w:hint="eastAsia" w:ascii="宋体" w:hAnsi="宋体" w:eastAsia="宋体" w:cs="宋体"/>
          <w:color w:val="000000"/>
          <w:sz w:val="21"/>
          <w:szCs w:val="21"/>
          <w:highlight w:val="none"/>
        </w:rPr>
        <w:t>7. 工期和进度</w:t>
      </w:r>
      <w:bookmarkEnd w:id="132"/>
    </w:p>
    <w:p w14:paraId="22B5155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7.1 施工组织设计</w:t>
      </w:r>
    </w:p>
    <w:p w14:paraId="4A0E999C">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7.1.1 合</w:t>
      </w:r>
      <w:r>
        <w:rPr>
          <w:rFonts w:hint="eastAsia" w:ascii="宋体" w:hAnsi="宋体" w:eastAsia="宋体" w:cs="宋体"/>
          <w:color w:val="000000"/>
          <w:kern w:val="0"/>
          <w:sz w:val="21"/>
          <w:szCs w:val="21"/>
          <w:highlight w:val="none"/>
        </w:rPr>
        <w:t>同当事人约定的施工组织设计应包括的其他内容：</w:t>
      </w:r>
      <w:r>
        <w:rPr>
          <w:rFonts w:hint="eastAsia" w:ascii="宋体" w:hAnsi="宋体" w:eastAsia="宋体" w:cs="宋体"/>
          <w:color w:val="000000"/>
          <w:sz w:val="21"/>
          <w:szCs w:val="21"/>
          <w:highlight w:val="none"/>
          <w:u w:val="single"/>
        </w:rPr>
        <w:t xml:space="preserve"> 按通用条款执行 </w:t>
      </w:r>
      <w:r>
        <w:rPr>
          <w:rFonts w:hint="eastAsia" w:ascii="宋体" w:hAnsi="宋体" w:eastAsia="宋体" w:cs="宋体"/>
          <w:color w:val="000000"/>
          <w:sz w:val="21"/>
          <w:szCs w:val="21"/>
          <w:highlight w:val="none"/>
        </w:rPr>
        <w:t>。</w:t>
      </w:r>
    </w:p>
    <w:p w14:paraId="52151361">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 xml:space="preserve">7.1.2 </w:t>
      </w:r>
      <w:r>
        <w:rPr>
          <w:rFonts w:hint="eastAsia" w:ascii="宋体" w:hAnsi="宋体" w:eastAsia="宋体" w:cs="宋体"/>
          <w:color w:val="000000"/>
          <w:kern w:val="0"/>
          <w:sz w:val="21"/>
          <w:szCs w:val="21"/>
          <w:highlight w:val="none"/>
        </w:rPr>
        <w:t>施工组织设计的提交和修改</w:t>
      </w:r>
    </w:p>
    <w:p w14:paraId="27CEBE11">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承包人提交详细施工组织设计的期限的约定：</w:t>
      </w:r>
      <w:r>
        <w:rPr>
          <w:rFonts w:hint="eastAsia" w:ascii="宋体" w:hAnsi="宋体" w:eastAsia="宋体" w:cs="宋体"/>
          <w:color w:val="000000"/>
          <w:sz w:val="21"/>
          <w:szCs w:val="21"/>
          <w:highlight w:val="none"/>
          <w:u w:val="single"/>
        </w:rPr>
        <w:t>图纸会审后15个工作日内提供</w:t>
      </w:r>
      <w:r>
        <w:rPr>
          <w:rFonts w:hint="eastAsia" w:ascii="宋体" w:hAnsi="宋体" w:eastAsia="宋体" w:cs="宋体"/>
          <w:color w:val="000000"/>
          <w:sz w:val="21"/>
          <w:szCs w:val="21"/>
          <w:highlight w:val="none"/>
        </w:rPr>
        <w:t>。</w:t>
      </w:r>
    </w:p>
    <w:p w14:paraId="0C8B209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发包人和监理人在收到详细的施工组织设计后确认或提出修改意见的期限：</w:t>
      </w:r>
      <w:r>
        <w:rPr>
          <w:rFonts w:hint="eastAsia" w:ascii="宋体" w:hAnsi="宋体" w:eastAsia="宋体" w:cs="宋体"/>
          <w:color w:val="000000"/>
          <w:sz w:val="21"/>
          <w:szCs w:val="21"/>
          <w:highlight w:val="none"/>
          <w:u w:val="single"/>
        </w:rPr>
        <w:t>7个工作日内</w:t>
      </w:r>
      <w:r>
        <w:rPr>
          <w:rFonts w:hint="eastAsia" w:ascii="宋体" w:hAnsi="宋体" w:eastAsia="宋体" w:cs="宋体"/>
          <w:color w:val="000000"/>
          <w:sz w:val="21"/>
          <w:szCs w:val="21"/>
          <w:highlight w:val="none"/>
        </w:rPr>
        <w:t>。</w:t>
      </w:r>
    </w:p>
    <w:p w14:paraId="29AE4F0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133" w:name="_Toc297216173"/>
      <w:bookmarkStart w:id="134" w:name="_Toc303539123"/>
      <w:bookmarkStart w:id="135" w:name="_Toc300934966"/>
      <w:bookmarkStart w:id="136" w:name="_Toc304295541"/>
      <w:bookmarkStart w:id="137" w:name="_Toc312677479"/>
      <w:bookmarkStart w:id="138" w:name="_Toc297123514"/>
      <w:bookmarkStart w:id="139" w:name="_Toc312678005"/>
      <w:r>
        <w:rPr>
          <w:rFonts w:hint="eastAsia" w:ascii="宋体" w:hAnsi="宋体" w:eastAsia="宋体" w:cs="宋体"/>
          <w:color w:val="000000"/>
          <w:sz w:val="21"/>
          <w:szCs w:val="21"/>
          <w:highlight w:val="none"/>
        </w:rPr>
        <w:t>.2 施工进度计划</w:t>
      </w:r>
    </w:p>
    <w:p w14:paraId="42EF1A4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7.2.2 施工进度计划的修订</w:t>
      </w:r>
    </w:p>
    <w:p w14:paraId="0E1A9BA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发包人和监理人在收到修订的施工进度计划后确认或提出修改意见的期限：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1E3C9D1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 开工</w:t>
      </w:r>
    </w:p>
    <w:p w14:paraId="515C5F2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7.3.1 开工准备</w:t>
      </w:r>
    </w:p>
    <w:p w14:paraId="536700E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关于承包人提交</w:t>
      </w:r>
      <w:r>
        <w:rPr>
          <w:rFonts w:hint="eastAsia" w:ascii="宋体" w:hAnsi="宋体" w:eastAsia="宋体" w:cs="宋体"/>
          <w:color w:val="000000"/>
          <w:kern w:val="0"/>
          <w:sz w:val="21"/>
          <w:szCs w:val="21"/>
          <w:highlight w:val="none"/>
        </w:rPr>
        <w:t>工程开工报审表的期限：</w:t>
      </w:r>
      <w:r>
        <w:rPr>
          <w:rFonts w:hint="eastAsia" w:ascii="宋体" w:hAnsi="宋体" w:eastAsia="宋体" w:cs="宋体"/>
          <w:color w:val="000000"/>
          <w:sz w:val="21"/>
          <w:szCs w:val="21"/>
          <w:highlight w:val="none"/>
          <w:u w:val="single"/>
        </w:rPr>
        <w:t xml:space="preserve">按监理人要求 </w:t>
      </w:r>
      <w:r>
        <w:rPr>
          <w:rFonts w:hint="eastAsia" w:ascii="宋体" w:hAnsi="宋体" w:eastAsia="宋体" w:cs="宋体"/>
          <w:color w:val="000000"/>
          <w:sz w:val="21"/>
          <w:szCs w:val="21"/>
          <w:highlight w:val="none"/>
        </w:rPr>
        <w:t>。</w:t>
      </w:r>
    </w:p>
    <w:p w14:paraId="5730E08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关于发包人应完成的其他开工准备工作及期限：</w:t>
      </w:r>
      <w:r>
        <w:rPr>
          <w:rFonts w:hint="eastAsia" w:ascii="宋体" w:hAnsi="宋体" w:eastAsia="宋体" w:cs="宋体"/>
          <w:color w:val="000000"/>
          <w:sz w:val="21"/>
          <w:szCs w:val="21"/>
          <w:highlight w:val="none"/>
          <w:u w:val="single"/>
        </w:rPr>
        <w:t>在开工前办理完毕所有合法手续</w:t>
      </w:r>
      <w:r>
        <w:rPr>
          <w:rFonts w:hint="eastAsia" w:ascii="宋体" w:hAnsi="宋体" w:eastAsia="宋体" w:cs="宋体"/>
          <w:color w:val="000000"/>
          <w:sz w:val="21"/>
          <w:szCs w:val="21"/>
          <w:highlight w:val="none"/>
        </w:rPr>
        <w:t>。</w:t>
      </w:r>
    </w:p>
    <w:p w14:paraId="22304AE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关于承包人应完成的其他开工准备工作及期限：</w:t>
      </w:r>
      <w:r>
        <w:rPr>
          <w:rFonts w:hint="eastAsia" w:ascii="宋体" w:hAnsi="宋体" w:eastAsia="宋体" w:cs="宋体"/>
          <w:color w:val="000000"/>
          <w:sz w:val="21"/>
          <w:szCs w:val="21"/>
          <w:highlight w:val="none"/>
          <w:u w:val="single"/>
        </w:rPr>
        <w:t>在开工前办理完毕所有合法手续</w:t>
      </w:r>
      <w:r>
        <w:rPr>
          <w:rFonts w:hint="eastAsia" w:ascii="宋体" w:hAnsi="宋体" w:eastAsia="宋体" w:cs="宋体"/>
          <w:color w:val="000000"/>
          <w:sz w:val="21"/>
          <w:szCs w:val="21"/>
          <w:highlight w:val="none"/>
        </w:rPr>
        <w:t>。</w:t>
      </w:r>
    </w:p>
    <w:p w14:paraId="0A22086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7.3.2开工通知</w:t>
      </w:r>
    </w:p>
    <w:p w14:paraId="0C4D554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因发包人原因造成监理人未能在计划开工日期之日起</w:t>
      </w:r>
      <w:r>
        <w:rPr>
          <w:rFonts w:hint="eastAsia" w:ascii="宋体" w:hAnsi="宋体" w:eastAsia="宋体" w:cs="宋体"/>
          <w:color w:val="000000"/>
          <w:sz w:val="21"/>
          <w:szCs w:val="21"/>
          <w:highlight w:val="none"/>
          <w:u w:val="single"/>
        </w:rPr>
        <w:t xml:space="preserve"> 10 </w:t>
      </w:r>
      <w:r>
        <w:rPr>
          <w:rFonts w:hint="eastAsia" w:ascii="宋体" w:hAnsi="宋体" w:eastAsia="宋体" w:cs="宋体"/>
          <w:color w:val="000000"/>
          <w:sz w:val="21"/>
          <w:szCs w:val="21"/>
          <w:highlight w:val="none"/>
        </w:rPr>
        <w:t>天内发出开工通知的，承包人有权提出价格调整要求，或者解除合同。</w:t>
      </w:r>
    </w:p>
    <w:bookmarkEnd w:id="133"/>
    <w:bookmarkEnd w:id="134"/>
    <w:bookmarkEnd w:id="135"/>
    <w:bookmarkEnd w:id="136"/>
    <w:bookmarkEnd w:id="137"/>
    <w:bookmarkEnd w:id="138"/>
    <w:bookmarkEnd w:id="139"/>
    <w:p w14:paraId="5C544F5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7.4 测量放线</w:t>
      </w:r>
    </w:p>
    <w:p w14:paraId="2BACE6F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7.4.1发包人通过监理人向承包人提供测量基准点、基准线和水准点及其书面资料的期限：</w:t>
      </w:r>
      <w:r>
        <w:rPr>
          <w:rFonts w:hint="eastAsia" w:ascii="宋体" w:hAnsi="宋体" w:eastAsia="宋体" w:cs="宋体"/>
          <w:color w:val="000000"/>
          <w:sz w:val="21"/>
          <w:szCs w:val="21"/>
          <w:highlight w:val="none"/>
          <w:u w:val="single"/>
        </w:rPr>
        <w:t>开工前3天</w:t>
      </w:r>
      <w:r>
        <w:rPr>
          <w:rFonts w:hint="eastAsia" w:ascii="宋体" w:hAnsi="宋体" w:eastAsia="宋体" w:cs="宋体"/>
          <w:color w:val="000000"/>
          <w:sz w:val="21"/>
          <w:szCs w:val="21"/>
          <w:highlight w:val="none"/>
        </w:rPr>
        <w:t>。</w:t>
      </w:r>
    </w:p>
    <w:p w14:paraId="1C5A7F6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140" w:name="_Toc312677484"/>
      <w:bookmarkStart w:id="141" w:name="_Toc297216175"/>
      <w:bookmarkStart w:id="142" w:name="_Toc300934968"/>
      <w:bookmarkStart w:id="143" w:name="_Toc303539125"/>
      <w:bookmarkStart w:id="144" w:name="_Toc304295546"/>
      <w:bookmarkStart w:id="145" w:name="_Toc297123516"/>
      <w:bookmarkStart w:id="146" w:name="_Toc312678010"/>
      <w:r>
        <w:rPr>
          <w:rFonts w:hint="eastAsia" w:ascii="宋体" w:hAnsi="宋体" w:eastAsia="宋体" w:cs="宋体"/>
          <w:color w:val="000000"/>
          <w:sz w:val="21"/>
          <w:szCs w:val="21"/>
          <w:highlight w:val="none"/>
        </w:rPr>
        <w:t>.5 工期延误</w:t>
      </w:r>
    </w:p>
    <w:bookmarkEnd w:id="140"/>
    <w:bookmarkEnd w:id="141"/>
    <w:bookmarkEnd w:id="142"/>
    <w:bookmarkEnd w:id="143"/>
    <w:bookmarkEnd w:id="144"/>
    <w:bookmarkEnd w:id="145"/>
    <w:bookmarkEnd w:id="146"/>
    <w:p w14:paraId="23F7294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7.5.1 因发包人原因导致工期延误</w:t>
      </w:r>
    </w:p>
    <w:p w14:paraId="33FFAF4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（7）因发包人原因导致工期延误的其他情形：</w:t>
      </w:r>
      <w:r>
        <w:rPr>
          <w:rFonts w:hint="eastAsia" w:ascii="宋体" w:hAnsi="宋体" w:eastAsia="宋体" w:cs="宋体"/>
          <w:color w:val="000000"/>
          <w:sz w:val="21"/>
          <w:szCs w:val="21"/>
          <w:highlight w:val="none"/>
          <w:u w:val="single"/>
        </w:rPr>
        <w:t>工期顺延</w:t>
      </w:r>
      <w:r>
        <w:rPr>
          <w:rFonts w:hint="eastAsia" w:ascii="宋体" w:hAnsi="宋体" w:eastAsia="宋体" w:cs="宋体"/>
          <w:color w:val="000000"/>
          <w:sz w:val="21"/>
          <w:szCs w:val="21"/>
          <w:highlight w:val="none"/>
        </w:rPr>
        <w:t>。</w:t>
      </w:r>
    </w:p>
    <w:p w14:paraId="66BCBE8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147" w:name="_Toc318581169"/>
      <w:bookmarkStart w:id="148" w:name="_Toc312677486"/>
      <w:bookmarkStart w:id="149" w:name="_Toc312678012"/>
      <w:bookmarkStart w:id="150" w:name="_Toc297216177"/>
      <w:bookmarkStart w:id="151" w:name="_Toc304295548"/>
      <w:bookmarkStart w:id="152" w:name="_Toc297123518"/>
      <w:bookmarkStart w:id="153" w:name="_Toc300934970"/>
      <w:bookmarkStart w:id="154" w:name="_Toc303539127"/>
      <w:r>
        <w:rPr>
          <w:rFonts w:hint="eastAsia" w:ascii="宋体" w:hAnsi="宋体" w:eastAsia="宋体" w:cs="宋体"/>
          <w:color w:val="000000"/>
          <w:sz w:val="21"/>
          <w:szCs w:val="21"/>
          <w:highlight w:val="none"/>
        </w:rPr>
        <w:t>.5.2 因承包人原因导致工期延误</w:t>
      </w:r>
    </w:p>
    <w:bookmarkEnd w:id="147"/>
    <w:bookmarkEnd w:id="148"/>
    <w:bookmarkEnd w:id="149"/>
    <w:p w14:paraId="1CE99D5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w:t>
      </w:r>
      <w:bookmarkStart w:id="155" w:name="_Toc312678013"/>
      <w:bookmarkStart w:id="156" w:name="_Toc312677487"/>
      <w:bookmarkStart w:id="157" w:name="_Toc318581170"/>
      <w:r>
        <w:rPr>
          <w:rFonts w:hint="eastAsia" w:ascii="宋体" w:hAnsi="宋体" w:eastAsia="宋体" w:cs="宋体"/>
          <w:color w:val="000000"/>
          <w:sz w:val="21"/>
          <w:szCs w:val="21"/>
          <w:highlight w:val="none"/>
        </w:rPr>
        <w:t>承包人原因造成工期延误，逾期竣工违约金的计算方法为：</w:t>
      </w:r>
      <w:r>
        <w:rPr>
          <w:rFonts w:hint="eastAsia" w:ascii="宋体" w:hAnsi="宋体" w:eastAsia="宋体" w:cs="宋体"/>
          <w:color w:val="000000"/>
          <w:sz w:val="21"/>
          <w:szCs w:val="21"/>
          <w:highlight w:val="none"/>
          <w:u w:val="single"/>
        </w:rPr>
        <w:t>每天2000元</w:t>
      </w:r>
      <w:r>
        <w:rPr>
          <w:rFonts w:hint="eastAsia" w:ascii="宋体" w:hAnsi="宋体" w:eastAsia="宋体" w:cs="宋体"/>
          <w:color w:val="000000"/>
          <w:sz w:val="21"/>
          <w:szCs w:val="21"/>
          <w:highlight w:val="none"/>
        </w:rPr>
        <w:t>。</w:t>
      </w:r>
      <w:bookmarkEnd w:id="150"/>
      <w:bookmarkEnd w:id="151"/>
      <w:bookmarkEnd w:id="152"/>
      <w:bookmarkEnd w:id="153"/>
      <w:bookmarkEnd w:id="154"/>
      <w:bookmarkEnd w:id="155"/>
      <w:bookmarkEnd w:id="156"/>
    </w:p>
    <w:bookmarkEnd w:id="157"/>
    <w:p w14:paraId="2192A80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因承包人原因造成工期延误，逾</w:t>
      </w:r>
      <w:bookmarkStart w:id="158" w:name="_Toc312678014"/>
      <w:bookmarkStart w:id="159" w:name="_Toc318581171"/>
      <w:r>
        <w:rPr>
          <w:rFonts w:hint="eastAsia" w:ascii="宋体" w:hAnsi="宋体" w:eastAsia="宋体" w:cs="宋体"/>
          <w:color w:val="000000"/>
          <w:sz w:val="21"/>
          <w:szCs w:val="21"/>
          <w:highlight w:val="none"/>
        </w:rPr>
        <w:t>期竣工违约金的上限：</w:t>
      </w:r>
      <w:r>
        <w:rPr>
          <w:rFonts w:hint="eastAsia" w:ascii="宋体" w:hAnsi="宋体" w:eastAsia="宋体" w:cs="宋体"/>
          <w:color w:val="000000"/>
          <w:sz w:val="21"/>
          <w:szCs w:val="21"/>
          <w:highlight w:val="none"/>
          <w:u w:val="single"/>
        </w:rPr>
        <w:t>不超过5%的签约合同价</w:t>
      </w:r>
      <w:r>
        <w:rPr>
          <w:rFonts w:hint="eastAsia" w:ascii="宋体" w:hAnsi="宋体" w:eastAsia="宋体" w:cs="宋体"/>
          <w:color w:val="000000"/>
          <w:sz w:val="21"/>
          <w:szCs w:val="21"/>
          <w:highlight w:val="none"/>
        </w:rPr>
        <w:t>。</w:t>
      </w:r>
    </w:p>
    <w:bookmarkEnd w:id="158"/>
    <w:bookmarkEnd w:id="159"/>
    <w:p w14:paraId="68144BA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160" w:name="_Toc300934971"/>
      <w:bookmarkStart w:id="161" w:name="_Toc303539128"/>
      <w:bookmarkStart w:id="162" w:name="_Toc304295549"/>
      <w:bookmarkStart w:id="163" w:name="_Toc312678015"/>
      <w:bookmarkStart w:id="164" w:name="_Toc297216178"/>
      <w:bookmarkStart w:id="165" w:name="_Toc297123519"/>
      <w:r>
        <w:rPr>
          <w:rFonts w:hint="eastAsia" w:ascii="宋体" w:hAnsi="宋体" w:eastAsia="宋体" w:cs="宋体"/>
          <w:color w:val="000000"/>
          <w:sz w:val="21"/>
          <w:szCs w:val="21"/>
          <w:highlight w:val="none"/>
        </w:rPr>
        <w:t>.6 不</w:t>
      </w:r>
      <w:bookmarkEnd w:id="160"/>
      <w:bookmarkEnd w:id="161"/>
      <w:bookmarkEnd w:id="162"/>
      <w:bookmarkEnd w:id="163"/>
      <w:bookmarkEnd w:id="164"/>
      <w:bookmarkEnd w:id="165"/>
      <w:r>
        <w:rPr>
          <w:rFonts w:hint="eastAsia" w:ascii="宋体" w:hAnsi="宋体" w:eastAsia="宋体" w:cs="宋体"/>
          <w:color w:val="000000"/>
          <w:sz w:val="21"/>
          <w:szCs w:val="21"/>
          <w:highlight w:val="none"/>
        </w:rPr>
        <w:t>利物质条件</w:t>
      </w:r>
    </w:p>
    <w:p w14:paraId="126C6EA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66" w:name="_Toc304295550"/>
      <w:bookmarkStart w:id="167" w:name="_Toc297216179"/>
      <w:bookmarkStart w:id="168" w:name="_Toc300934972"/>
      <w:bookmarkStart w:id="169" w:name="_Toc312678016"/>
      <w:bookmarkStart w:id="170" w:name="_Toc318581172"/>
      <w:bookmarkStart w:id="171" w:name="_Toc297123520"/>
      <w:bookmarkStart w:id="172" w:name="_Toc303539129"/>
      <w:r>
        <w:rPr>
          <w:rFonts w:hint="eastAsia" w:ascii="宋体" w:hAnsi="宋体" w:eastAsia="宋体" w:cs="宋体"/>
          <w:color w:val="000000"/>
          <w:sz w:val="21"/>
          <w:szCs w:val="21"/>
          <w:highlight w:val="none"/>
        </w:rPr>
        <w:t>不利物质条件的其他情形和有关约定：</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bookmarkEnd w:id="166"/>
    <w:bookmarkEnd w:id="167"/>
    <w:bookmarkEnd w:id="168"/>
    <w:bookmarkEnd w:id="169"/>
    <w:bookmarkEnd w:id="170"/>
    <w:bookmarkEnd w:id="171"/>
    <w:bookmarkEnd w:id="172"/>
    <w:p w14:paraId="417F987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173" w:name="_Toc303539130"/>
      <w:bookmarkStart w:id="174" w:name="_Toc300934973"/>
      <w:bookmarkStart w:id="175" w:name="_Toc297216180"/>
      <w:bookmarkStart w:id="176" w:name="_Toc312678017"/>
      <w:bookmarkStart w:id="177" w:name="_Toc297123521"/>
      <w:bookmarkStart w:id="178" w:name="_Toc304295551"/>
      <w:r>
        <w:rPr>
          <w:rFonts w:hint="eastAsia" w:ascii="宋体" w:hAnsi="宋体" w:eastAsia="宋体" w:cs="宋体"/>
          <w:color w:val="000000"/>
          <w:sz w:val="21"/>
          <w:szCs w:val="21"/>
          <w:highlight w:val="none"/>
        </w:rPr>
        <w:t>.7异常恶劣的气候条件</w:t>
      </w:r>
    </w:p>
    <w:bookmarkEnd w:id="173"/>
    <w:bookmarkEnd w:id="174"/>
    <w:bookmarkEnd w:id="175"/>
    <w:bookmarkEnd w:id="176"/>
    <w:bookmarkEnd w:id="177"/>
    <w:bookmarkEnd w:id="178"/>
    <w:p w14:paraId="7FFA7B3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发包人和承包人同意以下情形视为异常恶劣的气候条件：</w:t>
      </w:r>
    </w:p>
    <w:p w14:paraId="5C35CDF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5002506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7.9 提前竣工的奖励</w:t>
      </w:r>
    </w:p>
    <w:p w14:paraId="6BA0CCE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7.9.2提前竣工的奖励：</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72A70AC2">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79" w:name="_Toc351203640"/>
      <w:r>
        <w:rPr>
          <w:rFonts w:hint="eastAsia" w:ascii="宋体" w:hAnsi="宋体" w:eastAsia="宋体" w:cs="宋体"/>
          <w:color w:val="000000"/>
          <w:sz w:val="21"/>
          <w:szCs w:val="21"/>
          <w:highlight w:val="none"/>
        </w:rPr>
        <w:t>8. 材料与设备</w:t>
      </w:r>
      <w:bookmarkEnd w:id="179"/>
    </w:p>
    <w:bookmarkEnd w:id="114"/>
    <w:bookmarkEnd w:id="115"/>
    <w:bookmarkEnd w:id="116"/>
    <w:bookmarkEnd w:id="117"/>
    <w:bookmarkEnd w:id="118"/>
    <w:bookmarkEnd w:id="119"/>
    <w:bookmarkEnd w:id="120"/>
    <w:bookmarkEnd w:id="121"/>
    <w:bookmarkEnd w:id="122"/>
    <w:bookmarkEnd w:id="123"/>
    <w:p w14:paraId="561511F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w:t>
      </w:r>
      <w:bookmarkStart w:id="180" w:name="_Toc280868654"/>
      <w:bookmarkStart w:id="181" w:name="_Toc312677493"/>
      <w:bookmarkStart w:id="182" w:name="_Toc296346668"/>
      <w:bookmarkStart w:id="183" w:name="_Toc296944506"/>
      <w:bookmarkStart w:id="184" w:name="_Toc296503167"/>
      <w:bookmarkStart w:id="185" w:name="_Toc296891207"/>
      <w:bookmarkStart w:id="186" w:name="_Toc297120467"/>
      <w:bookmarkStart w:id="187" w:name="_Toc296347166"/>
      <w:bookmarkStart w:id="188" w:name="_Toc304295556"/>
      <w:bookmarkStart w:id="189" w:name="_Toc292559372"/>
      <w:bookmarkStart w:id="190" w:name="_Toc297123527"/>
      <w:bookmarkStart w:id="191" w:name="_Toc296890995"/>
      <w:bookmarkStart w:id="192" w:name="_Toc297048353"/>
      <w:bookmarkStart w:id="193" w:name="_Toc312678019"/>
      <w:bookmarkStart w:id="194" w:name="_Toc297216186"/>
      <w:bookmarkStart w:id="195" w:name="_Toc292559877"/>
      <w:bookmarkStart w:id="196" w:name="_Toc300934979"/>
      <w:bookmarkStart w:id="197" w:name="_Toc303539136"/>
      <w:bookmarkStart w:id="198" w:name="_Toc267251424"/>
      <w:bookmarkStart w:id="199" w:name="_Toc280868655"/>
      <w:bookmarkStart w:id="200" w:name="_Toc280868656"/>
      <w:r>
        <w:rPr>
          <w:rFonts w:hint="eastAsia" w:ascii="宋体" w:hAnsi="宋体" w:eastAsia="宋体" w:cs="宋体"/>
          <w:color w:val="000000"/>
          <w:sz w:val="21"/>
          <w:szCs w:val="21"/>
          <w:highlight w:val="none"/>
        </w:rPr>
        <w:t>.4材料与工程设备的保管与使用</w:t>
      </w:r>
    </w:p>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14:paraId="2DFEFB9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w:t>
      </w:r>
      <w:bookmarkStart w:id="201" w:name="_Toc292559373"/>
      <w:bookmarkStart w:id="202" w:name="_Toc292559878"/>
      <w:bookmarkStart w:id="203" w:name="_Toc296347167"/>
      <w:bookmarkStart w:id="204" w:name="_Toc318581173"/>
      <w:bookmarkStart w:id="205" w:name="_Toc297123528"/>
      <w:bookmarkStart w:id="206" w:name="_Toc296944507"/>
      <w:bookmarkStart w:id="207" w:name="_Toc297048354"/>
      <w:bookmarkStart w:id="208" w:name="_Toc312678020"/>
      <w:bookmarkStart w:id="209" w:name="_Toc296503168"/>
      <w:bookmarkStart w:id="210" w:name="_Toc297216187"/>
      <w:bookmarkStart w:id="211" w:name="_Toc312677494"/>
      <w:bookmarkStart w:id="212" w:name="_Toc303539137"/>
      <w:bookmarkStart w:id="213" w:name="_Toc296890996"/>
      <w:bookmarkStart w:id="214" w:name="_Toc296346669"/>
      <w:bookmarkStart w:id="215" w:name="_Toc297120468"/>
      <w:bookmarkStart w:id="216" w:name="_Toc300934980"/>
      <w:bookmarkStart w:id="217" w:name="_Toc296891208"/>
      <w:bookmarkStart w:id="218" w:name="_Toc304295557"/>
      <w:r>
        <w:rPr>
          <w:rFonts w:hint="eastAsia" w:ascii="宋体" w:hAnsi="宋体" w:eastAsia="宋体" w:cs="宋体"/>
          <w:color w:val="000000"/>
          <w:sz w:val="21"/>
          <w:szCs w:val="21"/>
          <w:highlight w:val="none"/>
        </w:rPr>
        <w:t>.4.1发包人供应的材料设备的保管费用的承担：</w:t>
      </w:r>
      <w:r>
        <w:rPr>
          <w:rFonts w:hint="eastAsia" w:ascii="宋体" w:hAnsi="宋体" w:eastAsia="宋体" w:cs="宋体"/>
          <w:color w:val="000000"/>
          <w:sz w:val="21"/>
          <w:szCs w:val="21"/>
          <w:highlight w:val="none"/>
          <w:u w:val="single"/>
        </w:rPr>
        <w:t>按规定执行</w:t>
      </w:r>
      <w:r>
        <w:rPr>
          <w:rFonts w:hint="eastAsia" w:ascii="宋体" w:hAnsi="宋体" w:eastAsia="宋体" w:cs="宋体"/>
          <w:color w:val="000000"/>
          <w:sz w:val="21"/>
          <w:szCs w:val="21"/>
          <w:highlight w:val="none"/>
        </w:rPr>
        <w:t>。</w:t>
      </w:r>
      <w:bookmarkEnd w:id="201"/>
      <w:bookmarkEnd w:id="202"/>
    </w:p>
    <w:p w14:paraId="3266991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8.6 样品</w:t>
      </w:r>
    </w:p>
    <w:p w14:paraId="3A6B7AD8">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8.6.1</w:t>
      </w:r>
      <w:r>
        <w:rPr>
          <w:rFonts w:hint="eastAsia" w:ascii="宋体" w:hAnsi="宋体" w:eastAsia="宋体" w:cs="宋体"/>
          <w:color w:val="000000"/>
          <w:kern w:val="0"/>
          <w:sz w:val="21"/>
          <w:szCs w:val="21"/>
          <w:highlight w:val="none"/>
        </w:rPr>
        <w:tab/>
      </w:r>
      <w:r>
        <w:rPr>
          <w:rFonts w:hint="eastAsia" w:ascii="宋体" w:hAnsi="宋体" w:eastAsia="宋体" w:cs="宋体"/>
          <w:color w:val="000000"/>
          <w:kern w:val="0"/>
          <w:sz w:val="21"/>
          <w:szCs w:val="21"/>
          <w:highlight w:val="none"/>
        </w:rPr>
        <w:t>样品的报送与封存</w:t>
      </w:r>
    </w:p>
    <w:p w14:paraId="01F4234D">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需要承包人报送样品的材料或工程设备，样品的种类、名称、规格、数量要求：</w:t>
      </w:r>
      <w:r>
        <w:rPr>
          <w:rFonts w:hint="eastAsia" w:ascii="宋体" w:hAnsi="宋体" w:eastAsia="宋体" w:cs="宋体"/>
          <w:color w:val="000000"/>
          <w:sz w:val="21"/>
          <w:szCs w:val="21"/>
          <w:highlight w:val="none"/>
          <w:u w:val="single"/>
        </w:rPr>
        <w:t xml:space="preserve"> 主要材料设备用于施工前，承包人应提交样品供发包人检验。不合格的材料、设备应在工程师指定的时间内搬走</w:t>
      </w:r>
      <w:r>
        <w:rPr>
          <w:rFonts w:hint="eastAsia" w:ascii="宋体" w:hAnsi="宋体" w:eastAsia="宋体" w:cs="宋体"/>
          <w:color w:val="000000"/>
          <w:sz w:val="21"/>
          <w:szCs w:val="21"/>
          <w:highlight w:val="none"/>
        </w:rPr>
        <w:t>。</w:t>
      </w:r>
    </w:p>
    <w:p w14:paraId="31F2D68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8.8 施工设备和临时设施</w:t>
      </w:r>
    </w:p>
    <w:p w14:paraId="06593ACB">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8.8.1 承包人提供的施工设备和临时设施</w:t>
      </w:r>
    </w:p>
    <w:p w14:paraId="2814B157">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关于修建临时设施费用承担的约定：</w:t>
      </w:r>
      <w:r>
        <w:rPr>
          <w:rFonts w:hint="eastAsia" w:ascii="宋体" w:hAnsi="宋体" w:eastAsia="宋体" w:cs="宋体"/>
          <w:color w:val="000000"/>
          <w:sz w:val="21"/>
          <w:szCs w:val="21"/>
          <w:highlight w:val="none"/>
          <w:u w:val="single"/>
        </w:rPr>
        <w:t>由承包人承担</w:t>
      </w:r>
      <w:r>
        <w:rPr>
          <w:rFonts w:hint="eastAsia" w:ascii="宋体" w:hAnsi="宋体" w:eastAsia="宋体" w:cs="宋体"/>
          <w:color w:val="000000"/>
          <w:sz w:val="21"/>
          <w:szCs w:val="21"/>
          <w:highlight w:val="none"/>
        </w:rPr>
        <w:t>。</w:t>
      </w:r>
    </w:p>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14:paraId="641BF414">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219" w:name="_Toc351203641"/>
      <w:r>
        <w:rPr>
          <w:rFonts w:hint="eastAsia" w:ascii="宋体" w:hAnsi="宋体" w:eastAsia="宋体" w:cs="宋体"/>
          <w:color w:val="000000"/>
          <w:sz w:val="21"/>
          <w:szCs w:val="21"/>
          <w:highlight w:val="none"/>
        </w:rPr>
        <w:t>9</w:t>
      </w:r>
      <w:bookmarkEnd w:id="198"/>
      <w:bookmarkEnd w:id="199"/>
      <w:bookmarkEnd w:id="200"/>
      <w:bookmarkStart w:id="220" w:name="_Toc300934982"/>
      <w:bookmarkStart w:id="221" w:name="_Toc297123533"/>
      <w:bookmarkStart w:id="222" w:name="_Toc297216192"/>
      <w:bookmarkStart w:id="223" w:name="_Toc303539139"/>
      <w:bookmarkStart w:id="224" w:name="_Toc304295559"/>
      <w:bookmarkStart w:id="225" w:name="_Toc312678021"/>
      <w:bookmarkStart w:id="226" w:name="_Toc312677495"/>
      <w:bookmarkStart w:id="227" w:name="_Toc296944512"/>
      <w:bookmarkStart w:id="228" w:name="_Toc267251428"/>
      <w:bookmarkStart w:id="229" w:name="_Toc296346674"/>
      <w:bookmarkStart w:id="230" w:name="_Toc297048359"/>
      <w:bookmarkStart w:id="231" w:name="_Toc292559378"/>
      <w:bookmarkStart w:id="232" w:name="_Toc292559883"/>
      <w:bookmarkStart w:id="233" w:name="_Toc267251427"/>
      <w:bookmarkStart w:id="234" w:name="_Toc296347172"/>
      <w:bookmarkStart w:id="235" w:name="_Toc296891001"/>
      <w:bookmarkStart w:id="236" w:name="_Toc296891213"/>
      <w:bookmarkStart w:id="237" w:name="_Toc297120473"/>
      <w:bookmarkStart w:id="238" w:name="_Toc296503173"/>
      <w:r>
        <w:rPr>
          <w:rFonts w:hint="eastAsia" w:ascii="宋体" w:hAnsi="宋体" w:eastAsia="宋体" w:cs="宋体"/>
          <w:color w:val="000000"/>
          <w:sz w:val="21"/>
          <w:szCs w:val="21"/>
          <w:highlight w:val="none"/>
        </w:rPr>
        <w:t>. 试验与检验</w:t>
      </w:r>
      <w:bookmarkEnd w:id="219"/>
    </w:p>
    <w:bookmarkEnd w:id="220"/>
    <w:bookmarkEnd w:id="221"/>
    <w:bookmarkEnd w:id="222"/>
    <w:bookmarkEnd w:id="223"/>
    <w:bookmarkEnd w:id="224"/>
    <w:bookmarkEnd w:id="225"/>
    <w:bookmarkEnd w:id="226"/>
    <w:p w14:paraId="0492852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w:t>
      </w:r>
      <w:bookmarkStart w:id="239" w:name="_Toc303539140"/>
      <w:bookmarkStart w:id="240" w:name="_Toc297216193"/>
      <w:bookmarkStart w:id="241" w:name="_Toc304295560"/>
      <w:bookmarkStart w:id="242" w:name="_Toc297123534"/>
      <w:bookmarkStart w:id="243" w:name="_Toc312677496"/>
      <w:bookmarkStart w:id="244" w:name="_Toc300934983"/>
      <w:bookmarkStart w:id="245" w:name="_Toc312678022"/>
      <w:r>
        <w:rPr>
          <w:rFonts w:hint="eastAsia" w:ascii="宋体" w:hAnsi="宋体" w:eastAsia="宋体" w:cs="宋体"/>
          <w:color w:val="000000"/>
          <w:sz w:val="21"/>
          <w:szCs w:val="21"/>
          <w:highlight w:val="none"/>
        </w:rPr>
        <w:t>.1试验设备与试验人员</w:t>
      </w:r>
    </w:p>
    <w:bookmarkEnd w:id="239"/>
    <w:bookmarkEnd w:id="240"/>
    <w:bookmarkEnd w:id="241"/>
    <w:bookmarkEnd w:id="242"/>
    <w:bookmarkEnd w:id="243"/>
    <w:bookmarkEnd w:id="244"/>
    <w:bookmarkEnd w:id="245"/>
    <w:p w14:paraId="03235C8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w:t>
      </w:r>
      <w:bookmarkStart w:id="246" w:name="_Toc297216194"/>
      <w:bookmarkStart w:id="247" w:name="_Toc304295561"/>
      <w:bookmarkStart w:id="248" w:name="_Toc300934984"/>
      <w:bookmarkStart w:id="249" w:name="_Toc312677497"/>
      <w:bookmarkStart w:id="250" w:name="_Toc312678023"/>
      <w:bookmarkStart w:id="251" w:name="_Toc297123535"/>
      <w:bookmarkStart w:id="252" w:name="_Toc303539141"/>
      <w:bookmarkStart w:id="253" w:name="_Toc318581174"/>
      <w:r>
        <w:rPr>
          <w:rFonts w:hint="eastAsia" w:ascii="宋体" w:hAnsi="宋体" w:eastAsia="宋体" w:cs="宋体"/>
          <w:color w:val="000000"/>
          <w:sz w:val="21"/>
          <w:szCs w:val="21"/>
          <w:highlight w:val="none"/>
        </w:rPr>
        <w:t>.1.2 试验设备</w:t>
      </w:r>
    </w:p>
    <w:p w14:paraId="2F9596B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施工现场需要配置的试验场所：</w:t>
      </w:r>
      <w:bookmarkEnd w:id="246"/>
      <w:bookmarkEnd w:id="247"/>
      <w:bookmarkEnd w:id="248"/>
      <w:bookmarkEnd w:id="249"/>
      <w:bookmarkEnd w:id="250"/>
      <w:bookmarkEnd w:id="251"/>
      <w:bookmarkEnd w:id="252"/>
      <w:bookmarkStart w:id="254" w:name="_Toc297123536"/>
      <w:bookmarkStart w:id="255" w:name="_Toc312677498"/>
      <w:bookmarkStart w:id="256" w:name="_Toc304295562"/>
      <w:bookmarkStart w:id="257" w:name="_Toc303539142"/>
      <w:bookmarkStart w:id="258" w:name="_Toc300934985"/>
      <w:bookmarkStart w:id="259" w:name="_Toc312678024"/>
      <w:bookmarkStart w:id="260" w:name="_Toc297216195"/>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 xml:space="preserve">。 </w:t>
      </w:r>
    </w:p>
    <w:p w14:paraId="1F3AC49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施工现场需要配备的试验设备：</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0419E86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施工现场需要具备的其他试验条件：</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1CD0D41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9.4 现场工艺试验 </w:t>
      </w:r>
    </w:p>
    <w:p w14:paraId="10F566C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现场工艺试验的有关约定：</w:t>
      </w:r>
      <w:r>
        <w:rPr>
          <w:rFonts w:hint="eastAsia" w:ascii="宋体" w:hAnsi="宋体" w:eastAsia="宋体" w:cs="宋体"/>
          <w:color w:val="000000"/>
          <w:sz w:val="21"/>
          <w:szCs w:val="21"/>
          <w:highlight w:val="none"/>
          <w:u w:val="single"/>
        </w:rPr>
        <w:t xml:space="preserve">按通用条款执行 </w:t>
      </w:r>
      <w:r>
        <w:rPr>
          <w:rFonts w:hint="eastAsia" w:ascii="宋体" w:hAnsi="宋体" w:eastAsia="宋体" w:cs="宋体"/>
          <w:color w:val="000000"/>
          <w:sz w:val="21"/>
          <w:szCs w:val="21"/>
          <w:highlight w:val="none"/>
        </w:rPr>
        <w:t>。</w:t>
      </w:r>
    </w:p>
    <w:bookmarkEnd w:id="253"/>
    <w:bookmarkEnd w:id="254"/>
    <w:bookmarkEnd w:id="255"/>
    <w:bookmarkEnd w:id="256"/>
    <w:bookmarkEnd w:id="257"/>
    <w:bookmarkEnd w:id="258"/>
    <w:bookmarkEnd w:id="259"/>
    <w:bookmarkEnd w:id="260"/>
    <w:p w14:paraId="3B81AEDA">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261" w:name="_Toc351203642"/>
      <w:r>
        <w:rPr>
          <w:rFonts w:hint="eastAsia" w:ascii="宋体" w:hAnsi="宋体" w:eastAsia="宋体" w:cs="宋体"/>
          <w:color w:val="000000"/>
          <w:sz w:val="21"/>
          <w:szCs w:val="21"/>
          <w:highlight w:val="none"/>
        </w:rPr>
        <w:t>1</w:t>
      </w:r>
      <w:bookmarkEnd w:id="227"/>
      <w:bookmarkEnd w:id="228"/>
      <w:bookmarkEnd w:id="229"/>
      <w:bookmarkEnd w:id="230"/>
      <w:bookmarkEnd w:id="231"/>
      <w:bookmarkEnd w:id="232"/>
      <w:bookmarkEnd w:id="233"/>
      <w:bookmarkEnd w:id="234"/>
      <w:bookmarkEnd w:id="235"/>
      <w:bookmarkEnd w:id="236"/>
      <w:bookmarkEnd w:id="237"/>
      <w:bookmarkEnd w:id="238"/>
      <w:bookmarkStart w:id="262" w:name="_Toc297123540"/>
      <w:bookmarkStart w:id="263" w:name="_Toc292559903"/>
      <w:bookmarkStart w:id="264" w:name="_Toc297216199"/>
      <w:bookmarkStart w:id="265" w:name="_Toc297120493"/>
      <w:bookmarkStart w:id="266" w:name="_Toc300934989"/>
      <w:bookmarkStart w:id="267" w:name="_Toc296503193"/>
      <w:bookmarkStart w:id="268" w:name="_Toc292559398"/>
      <w:bookmarkStart w:id="269" w:name="_Toc303539146"/>
      <w:bookmarkStart w:id="270" w:name="_Toc304295566"/>
      <w:bookmarkStart w:id="271" w:name="_Toc296347192"/>
      <w:bookmarkStart w:id="272" w:name="_Toc297048379"/>
      <w:bookmarkStart w:id="273" w:name="_Toc296891021"/>
      <w:bookmarkStart w:id="274" w:name="_Toc296891233"/>
      <w:bookmarkStart w:id="275" w:name="_Toc296944532"/>
      <w:bookmarkStart w:id="276" w:name="_Toc296346694"/>
      <w:bookmarkStart w:id="277" w:name="_Toc312678025"/>
      <w:bookmarkStart w:id="278" w:name="_Toc312677499"/>
      <w:bookmarkStart w:id="279" w:name="_Toc267251435"/>
      <w:bookmarkStart w:id="280" w:name="_Toc267251437"/>
      <w:bookmarkStart w:id="281" w:name="_Toc267251439"/>
      <w:bookmarkStart w:id="282" w:name="_Toc267251433"/>
      <w:bookmarkStart w:id="283" w:name="_Toc267251441"/>
      <w:bookmarkStart w:id="284" w:name="_Toc267251440"/>
      <w:bookmarkStart w:id="285" w:name="_Toc267251442"/>
      <w:r>
        <w:rPr>
          <w:rFonts w:hint="eastAsia" w:ascii="宋体" w:hAnsi="宋体" w:eastAsia="宋体" w:cs="宋体"/>
          <w:color w:val="000000"/>
          <w:sz w:val="21"/>
          <w:szCs w:val="21"/>
          <w:highlight w:val="none"/>
        </w:rPr>
        <w:t>0. 变更</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bookmarkEnd w:id="277"/>
    <w:bookmarkEnd w:id="278"/>
    <w:p w14:paraId="14AC511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Start w:id="286" w:name="_Toc296891022"/>
      <w:bookmarkStart w:id="287" w:name="_Toc297048380"/>
      <w:bookmarkStart w:id="288" w:name="_Toc296503194"/>
      <w:bookmarkStart w:id="289" w:name="_Toc296944533"/>
      <w:bookmarkStart w:id="290" w:name="_Toc304295567"/>
      <w:bookmarkStart w:id="291" w:name="_Toc312677500"/>
      <w:bookmarkStart w:id="292" w:name="_Toc300934990"/>
      <w:bookmarkStart w:id="293" w:name="_Toc297216200"/>
      <w:bookmarkStart w:id="294" w:name="_Toc292559904"/>
      <w:bookmarkStart w:id="295" w:name="_Toc297120494"/>
      <w:bookmarkStart w:id="296" w:name="_Toc292559399"/>
      <w:bookmarkStart w:id="297" w:name="_Toc296891234"/>
      <w:bookmarkStart w:id="298" w:name="_Toc312678026"/>
      <w:bookmarkStart w:id="299" w:name="_Toc297123541"/>
      <w:bookmarkStart w:id="300" w:name="_Toc303539147"/>
      <w:bookmarkStart w:id="301" w:name="_Toc296347193"/>
      <w:bookmarkStart w:id="302" w:name="_Toc296346695"/>
      <w:r>
        <w:rPr>
          <w:rFonts w:hint="eastAsia" w:ascii="宋体" w:hAnsi="宋体" w:eastAsia="宋体" w:cs="宋体"/>
          <w:color w:val="000000"/>
          <w:sz w:val="21"/>
          <w:szCs w:val="21"/>
          <w:highlight w:val="none"/>
        </w:rPr>
        <w:t>0.1变更的范围</w:t>
      </w:r>
    </w:p>
    <w:p w14:paraId="309F9C6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关于变更的范围的约定：</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743E45B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10.4 变更估价</w:t>
      </w:r>
    </w:p>
    <w:p w14:paraId="613A663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10.4.1 变更估价原则</w:t>
      </w:r>
    </w:p>
    <w:p w14:paraId="2A1FB97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 xml:space="preserve">关于变更估价的约定: </w:t>
      </w:r>
      <w:r>
        <w:rPr>
          <w:rFonts w:hint="eastAsia" w:ascii="宋体" w:hAnsi="宋体" w:eastAsia="宋体" w:cs="宋体"/>
          <w:color w:val="000000"/>
          <w:sz w:val="21"/>
          <w:szCs w:val="21"/>
          <w:highlight w:val="none"/>
          <w:u w:val="single"/>
        </w:rPr>
        <w:t xml:space="preserve">按通用条款执行 </w:t>
      </w:r>
      <w:r>
        <w:rPr>
          <w:rFonts w:hint="eastAsia" w:ascii="宋体" w:hAnsi="宋体" w:eastAsia="宋体" w:cs="宋体"/>
          <w:color w:val="000000"/>
          <w:sz w:val="21"/>
          <w:szCs w:val="21"/>
          <w:highlight w:val="none"/>
        </w:rPr>
        <w:t>。</w:t>
      </w:r>
    </w:p>
    <w:p w14:paraId="5C981FE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Start w:id="303" w:name="_Toc296891025"/>
      <w:bookmarkStart w:id="304" w:name="_Toc297216203"/>
      <w:bookmarkStart w:id="305" w:name="_Toc296503197"/>
      <w:bookmarkStart w:id="306" w:name="_Toc292559907"/>
      <w:bookmarkStart w:id="307" w:name="_Toc297120497"/>
      <w:bookmarkStart w:id="308" w:name="_Toc303539150"/>
      <w:bookmarkStart w:id="309" w:name="_Toc296347196"/>
      <w:bookmarkStart w:id="310" w:name="_Toc297123544"/>
      <w:bookmarkStart w:id="311" w:name="_Toc292559402"/>
      <w:bookmarkStart w:id="312" w:name="_Toc296944536"/>
      <w:bookmarkStart w:id="313" w:name="_Toc297048383"/>
      <w:bookmarkStart w:id="314" w:name="_Toc300934993"/>
      <w:bookmarkStart w:id="315" w:name="_Toc296891237"/>
      <w:bookmarkStart w:id="316" w:name="_Toc296346698"/>
      <w:bookmarkStart w:id="317" w:name="_Toc304295570"/>
      <w:bookmarkStart w:id="318" w:name="_Toc312677503"/>
      <w:bookmarkStart w:id="319" w:name="_Toc312678029"/>
      <w:r>
        <w:rPr>
          <w:rFonts w:hint="eastAsia" w:ascii="宋体" w:hAnsi="宋体" w:eastAsia="宋体" w:cs="宋体"/>
          <w:color w:val="000000"/>
          <w:sz w:val="21"/>
          <w:szCs w:val="21"/>
          <w:highlight w:val="none"/>
        </w:rPr>
        <w:t>0.5承</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Start w:id="320" w:name="_Toc292559408"/>
      <w:bookmarkStart w:id="321" w:name="_Toc303539151"/>
      <w:bookmarkStart w:id="322" w:name="_Toc296891031"/>
      <w:bookmarkStart w:id="323" w:name="_Toc300934994"/>
      <w:bookmarkStart w:id="324" w:name="_Toc296891243"/>
      <w:bookmarkStart w:id="325" w:name="_Toc297048389"/>
      <w:bookmarkStart w:id="326" w:name="_Toc292559913"/>
      <w:bookmarkStart w:id="327" w:name="_Toc296346704"/>
      <w:bookmarkStart w:id="328" w:name="_Toc296347202"/>
      <w:bookmarkStart w:id="329" w:name="_Toc296503203"/>
      <w:bookmarkStart w:id="330" w:name="_Toc297120503"/>
      <w:bookmarkStart w:id="331" w:name="_Toc297216204"/>
      <w:bookmarkStart w:id="332" w:name="_Toc296944542"/>
      <w:bookmarkStart w:id="333" w:name="_Toc297123545"/>
      <w:r>
        <w:rPr>
          <w:rFonts w:hint="eastAsia" w:ascii="宋体" w:hAnsi="宋体" w:eastAsia="宋体" w:cs="宋体"/>
          <w:color w:val="000000"/>
          <w:sz w:val="21"/>
          <w:szCs w:val="21"/>
          <w:highlight w:val="none"/>
        </w:rPr>
        <w:t>包人的合理化建议</w:t>
      </w:r>
    </w:p>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14:paraId="710597E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监理人审查承包人合理化建议的期限：</w:t>
      </w:r>
      <w:r>
        <w:rPr>
          <w:rFonts w:hint="eastAsia" w:ascii="宋体" w:hAnsi="宋体" w:eastAsia="宋体" w:cs="宋体"/>
          <w:color w:val="000000"/>
          <w:sz w:val="21"/>
          <w:szCs w:val="21"/>
          <w:highlight w:val="none"/>
          <w:u w:val="single"/>
        </w:rPr>
        <w:t>收到承包人提交的合理化建议后7个工作日内审查完毕并报送发包人</w:t>
      </w:r>
      <w:r>
        <w:rPr>
          <w:rFonts w:hint="eastAsia" w:ascii="宋体" w:hAnsi="宋体" w:eastAsia="宋体" w:cs="宋体"/>
          <w:color w:val="000000"/>
          <w:sz w:val="21"/>
          <w:szCs w:val="21"/>
          <w:highlight w:val="none"/>
        </w:rPr>
        <w:t>。</w:t>
      </w:r>
    </w:p>
    <w:p w14:paraId="542A084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发包人审批承包人合理化建议的期限：</w:t>
      </w:r>
      <w:r>
        <w:rPr>
          <w:rFonts w:hint="eastAsia" w:ascii="宋体" w:hAnsi="宋体" w:eastAsia="宋体" w:cs="宋体"/>
          <w:color w:val="000000"/>
          <w:sz w:val="21"/>
          <w:szCs w:val="21"/>
          <w:highlight w:val="none"/>
          <w:u w:val="single"/>
        </w:rPr>
        <w:t>发包人应在收到监理人报送的合理化建议后7个工作日内审批完毕</w:t>
      </w:r>
      <w:r>
        <w:rPr>
          <w:rFonts w:hint="eastAsia" w:ascii="宋体" w:hAnsi="宋体" w:eastAsia="宋体" w:cs="宋体"/>
          <w:color w:val="000000"/>
          <w:sz w:val="21"/>
          <w:szCs w:val="21"/>
          <w:highlight w:val="none"/>
        </w:rPr>
        <w:t>。</w:t>
      </w:r>
    </w:p>
    <w:p w14:paraId="6B76389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承</w:t>
      </w:r>
      <w:bookmarkStart w:id="334" w:name="_Toc296346705"/>
      <w:bookmarkStart w:id="335" w:name="_Toc297123546"/>
      <w:bookmarkStart w:id="336" w:name="_Toc297216205"/>
      <w:bookmarkStart w:id="337" w:name="_Toc296891032"/>
      <w:bookmarkStart w:id="338" w:name="_Toc296503204"/>
      <w:bookmarkStart w:id="339" w:name="_Toc318581175"/>
      <w:bookmarkStart w:id="340" w:name="_Toc304295571"/>
      <w:bookmarkStart w:id="341" w:name="_Toc292559914"/>
      <w:bookmarkStart w:id="342" w:name="_Toc296944543"/>
      <w:bookmarkStart w:id="343" w:name="_Toc296891244"/>
      <w:bookmarkStart w:id="344" w:name="_Toc303539152"/>
      <w:bookmarkStart w:id="345" w:name="_Toc297048390"/>
      <w:bookmarkStart w:id="346" w:name="_Toc296347203"/>
      <w:bookmarkStart w:id="347" w:name="_Toc292559409"/>
      <w:bookmarkStart w:id="348" w:name="_Toc312678030"/>
      <w:bookmarkStart w:id="349" w:name="_Toc300934995"/>
      <w:bookmarkStart w:id="350" w:name="_Toc297120504"/>
      <w:bookmarkStart w:id="351" w:name="_Toc312677504"/>
      <w:r>
        <w:rPr>
          <w:rFonts w:hint="eastAsia" w:ascii="宋体" w:hAnsi="宋体" w:eastAsia="宋体" w:cs="宋体"/>
          <w:color w:val="000000"/>
          <w:sz w:val="21"/>
          <w:szCs w:val="21"/>
          <w:highlight w:val="none"/>
        </w:rPr>
        <w:t>包人提出的合理化建议降低了合同价格或者提高了工程经济效益的奖励的方法和金额为：</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14:paraId="13A8A07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Start w:id="352" w:name="_Toc312677507"/>
      <w:bookmarkStart w:id="353" w:name="_Toc292559909"/>
      <w:bookmarkStart w:id="354" w:name="_Toc296944538"/>
      <w:bookmarkStart w:id="355" w:name="_Toc292559404"/>
      <w:bookmarkStart w:id="356" w:name="_Toc297120499"/>
      <w:bookmarkStart w:id="357" w:name="_Toc312678033"/>
      <w:bookmarkStart w:id="358" w:name="_Toc296891027"/>
      <w:bookmarkStart w:id="359" w:name="_Toc300934997"/>
      <w:bookmarkStart w:id="360" w:name="_Toc303539154"/>
      <w:bookmarkStart w:id="361" w:name="_Toc296346700"/>
      <w:bookmarkStart w:id="362" w:name="_Toc297123548"/>
      <w:bookmarkStart w:id="363" w:name="_Toc297048385"/>
      <w:bookmarkStart w:id="364" w:name="_Toc296503199"/>
      <w:bookmarkStart w:id="365" w:name="_Toc296347198"/>
      <w:bookmarkStart w:id="366" w:name="_Toc304295574"/>
      <w:bookmarkStart w:id="367" w:name="_Toc297216207"/>
      <w:bookmarkStart w:id="368" w:name="_Toc296891239"/>
      <w:r>
        <w:rPr>
          <w:rFonts w:hint="eastAsia" w:ascii="宋体" w:hAnsi="宋体" w:eastAsia="宋体" w:cs="宋体"/>
          <w:color w:val="000000"/>
          <w:sz w:val="21"/>
          <w:szCs w:val="21"/>
          <w:highlight w:val="none"/>
        </w:rPr>
        <w:t>0.7 暂估价</w:t>
      </w:r>
    </w:p>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14:paraId="232C00C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暂</w:t>
      </w:r>
      <w:bookmarkStart w:id="369" w:name="_Toc312678034"/>
      <w:bookmarkStart w:id="370" w:name="_Toc318581176"/>
      <w:bookmarkStart w:id="371" w:name="_Toc312677508"/>
      <w:r>
        <w:rPr>
          <w:rFonts w:hint="eastAsia" w:ascii="宋体" w:hAnsi="宋体" w:eastAsia="宋体" w:cs="宋体"/>
          <w:color w:val="000000"/>
          <w:kern w:val="0"/>
          <w:sz w:val="21"/>
          <w:szCs w:val="21"/>
          <w:highlight w:val="none"/>
        </w:rPr>
        <w:t>估价材料和工程设备的明细详见附件11：《</w:t>
      </w:r>
      <w:r>
        <w:rPr>
          <w:rFonts w:hint="eastAsia" w:ascii="宋体" w:hAnsi="宋体" w:eastAsia="宋体" w:cs="宋体"/>
          <w:color w:val="000000"/>
          <w:sz w:val="21"/>
          <w:szCs w:val="21"/>
          <w:highlight w:val="none"/>
        </w:rPr>
        <w:t>暂估价一览表》</w:t>
      </w:r>
      <w:r>
        <w:rPr>
          <w:rFonts w:hint="eastAsia" w:ascii="宋体" w:hAnsi="宋体" w:eastAsia="宋体" w:cs="宋体"/>
          <w:color w:val="000000"/>
          <w:kern w:val="0"/>
          <w:sz w:val="21"/>
          <w:szCs w:val="21"/>
          <w:highlight w:val="none"/>
        </w:rPr>
        <w:t>。</w:t>
      </w:r>
    </w:p>
    <w:bookmarkEnd w:id="369"/>
    <w:bookmarkEnd w:id="370"/>
    <w:bookmarkEnd w:id="371"/>
    <w:p w14:paraId="3DBFEDE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Start w:id="372" w:name="_Toc312677509"/>
      <w:bookmarkStart w:id="373" w:name="_Toc312678035"/>
      <w:bookmarkStart w:id="374" w:name="_Toc318581177"/>
      <w:r>
        <w:rPr>
          <w:rFonts w:hint="eastAsia" w:ascii="宋体" w:hAnsi="宋体" w:eastAsia="宋体" w:cs="宋体"/>
          <w:color w:val="000000"/>
          <w:sz w:val="21"/>
          <w:szCs w:val="21"/>
          <w:highlight w:val="none"/>
        </w:rPr>
        <w:t>0.7.1 依法必须招标的暂估价项目</w:t>
      </w:r>
    </w:p>
    <w:bookmarkEnd w:id="372"/>
    <w:bookmarkEnd w:id="373"/>
    <w:bookmarkEnd w:id="374"/>
    <w:p w14:paraId="6B5C785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对于依法必须招标的暂估价项目的确认和批准采取第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种方式确定。</w:t>
      </w:r>
    </w:p>
    <w:p w14:paraId="43045B7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10.7.2 不属于依法必须招标的暂估价项目</w:t>
      </w:r>
    </w:p>
    <w:p w14:paraId="04C5E96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对于不属于依法必须招标的暂估价项目的确认和批准采取第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种方式确定。</w:t>
      </w:r>
    </w:p>
    <w:p w14:paraId="619D5D6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第3种方式：</w:t>
      </w:r>
      <w:r>
        <w:rPr>
          <w:rFonts w:hint="eastAsia" w:ascii="宋体" w:hAnsi="宋体" w:eastAsia="宋体" w:cs="宋体"/>
          <w:color w:val="000000"/>
          <w:kern w:val="0"/>
          <w:sz w:val="21"/>
          <w:szCs w:val="21"/>
          <w:highlight w:val="none"/>
        </w:rPr>
        <w:t>承包人直接实施的暂估价项目</w:t>
      </w:r>
    </w:p>
    <w:p w14:paraId="6C93876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承包人直接实施的暂估价项目的约定：</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253D13A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10.8 暂列金额</w:t>
      </w:r>
    </w:p>
    <w:p w14:paraId="2ADDD9BD">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合同当事人关于暂列金额使用的约定：</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kern w:val="0"/>
          <w:sz w:val="21"/>
          <w:szCs w:val="21"/>
          <w:highlight w:val="none"/>
        </w:rPr>
        <w:t>。</w:t>
      </w:r>
    </w:p>
    <w:p w14:paraId="16C74CE8">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375" w:name="_Toc351203643"/>
      <w:r>
        <w:rPr>
          <w:rFonts w:hint="eastAsia" w:ascii="宋体" w:hAnsi="宋体" w:eastAsia="宋体" w:cs="宋体"/>
          <w:color w:val="000000"/>
          <w:sz w:val="21"/>
          <w:szCs w:val="21"/>
          <w:highlight w:val="none"/>
        </w:rPr>
        <w:t>11. 价格调整</w:t>
      </w:r>
      <w:bookmarkEnd w:id="375"/>
    </w:p>
    <w:p w14:paraId="224801A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376" w:name="_Toc296346702"/>
      <w:bookmarkStart w:id="377" w:name="_Toc292559911"/>
      <w:bookmarkStart w:id="378" w:name="_Toc312678039"/>
      <w:bookmarkStart w:id="379" w:name="_Toc296944540"/>
      <w:bookmarkStart w:id="380" w:name="_Toc297048387"/>
      <w:bookmarkStart w:id="381" w:name="_Toc297120501"/>
      <w:bookmarkStart w:id="382" w:name="_Toc303539157"/>
      <w:bookmarkStart w:id="383" w:name="_Toc304295577"/>
      <w:bookmarkStart w:id="384" w:name="_Toc296891029"/>
      <w:bookmarkStart w:id="385" w:name="_Toc300935000"/>
      <w:bookmarkStart w:id="386" w:name="_Toc296347200"/>
      <w:bookmarkStart w:id="387" w:name="_Toc297216209"/>
      <w:bookmarkStart w:id="388" w:name="_Toc297123550"/>
      <w:bookmarkStart w:id="389" w:name="_Toc296503201"/>
      <w:bookmarkStart w:id="390" w:name="_Toc296891241"/>
      <w:bookmarkStart w:id="391" w:name="_Toc292559406"/>
      <w:r>
        <w:rPr>
          <w:rFonts w:hint="eastAsia" w:ascii="宋体" w:hAnsi="宋体" w:eastAsia="宋体" w:cs="宋体"/>
          <w:color w:val="000000"/>
          <w:sz w:val="21"/>
          <w:szCs w:val="21"/>
          <w:highlight w:val="none"/>
        </w:rPr>
        <w:t>11.1 市场价格波动引起的调整</w:t>
      </w:r>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14:paraId="28E86A2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市场价格波动是否调整合同价格的约定：</w:t>
      </w:r>
      <w:r>
        <w:rPr>
          <w:rFonts w:hint="eastAsia" w:ascii="宋体" w:hAnsi="宋体" w:eastAsia="宋体" w:cs="宋体"/>
          <w:color w:val="000000"/>
          <w:kern w:val="0"/>
          <w:sz w:val="21"/>
          <w:szCs w:val="21"/>
          <w:highlight w:val="none"/>
          <w:u w:val="single"/>
        </w:rPr>
        <w:t>按相关规定执行</w:t>
      </w:r>
      <w:r>
        <w:rPr>
          <w:rFonts w:hint="eastAsia" w:ascii="宋体" w:hAnsi="宋体" w:eastAsia="宋体" w:cs="宋体"/>
          <w:color w:val="000000"/>
          <w:sz w:val="21"/>
          <w:szCs w:val="21"/>
          <w:highlight w:val="none"/>
        </w:rPr>
        <w:t>。</w:t>
      </w:r>
    </w:p>
    <w:p w14:paraId="051854D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因市场价格波动调整合同价格，采用以下第</w:t>
      </w:r>
      <w:r>
        <w:rPr>
          <w:rFonts w:hint="default" w:ascii="宋体" w:hAnsi="宋体" w:eastAsia="宋体" w:cs="宋体"/>
          <w:color w:val="000000"/>
          <w:sz w:val="21"/>
          <w:szCs w:val="21"/>
          <w:highlight w:val="none"/>
          <w:u w:val="single"/>
          <w:lang w:val="en-US"/>
        </w:rPr>
        <w:t>2</w:t>
      </w:r>
      <w:r>
        <w:rPr>
          <w:rFonts w:hint="eastAsia" w:ascii="宋体" w:hAnsi="宋体" w:eastAsia="宋体" w:cs="宋体"/>
          <w:color w:val="000000"/>
          <w:sz w:val="21"/>
          <w:szCs w:val="21"/>
          <w:highlight w:val="none"/>
        </w:rPr>
        <w:t>种方式对合同价格进行调整：</w:t>
      </w:r>
    </w:p>
    <w:p w14:paraId="6ABC920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第1种方式：采用价格指数进行价格调整。</w:t>
      </w:r>
    </w:p>
    <w:p w14:paraId="69196EE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关于各可调因子、定值和变值权重，以及基本价格指数及其来源的约定：</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116461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第2种方式：采用造价信息进行价格调整。</w:t>
      </w:r>
    </w:p>
    <w:p w14:paraId="1FF5FD0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（2）关于基准价格的约定：</w:t>
      </w:r>
      <w:r>
        <w:rPr>
          <w:rFonts w:hint="eastAsia" w:ascii="宋体" w:hAnsi="宋体" w:eastAsia="宋体" w:cs="宋体"/>
          <w:color w:val="000000"/>
          <w:sz w:val="21"/>
          <w:szCs w:val="21"/>
          <w:highlight w:val="none"/>
          <w:u w:val="single"/>
        </w:rPr>
        <w:t>投标截止时间前28天</w:t>
      </w:r>
      <w:r>
        <w:rPr>
          <w:rFonts w:hint="eastAsia" w:ascii="宋体" w:hAnsi="宋体" w:eastAsia="宋体" w:cs="宋体"/>
          <w:color w:val="000000"/>
          <w:sz w:val="21"/>
          <w:szCs w:val="21"/>
          <w:highlight w:val="none"/>
        </w:rPr>
        <w:t>。</w:t>
      </w:r>
    </w:p>
    <w:p w14:paraId="2262A5B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rPr>
        <w:t>%时，或材料单价跌幅以已标价工程量清单或预算书中载明材料单价为基础超过</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rPr>
        <w:t>%时，其超过部分据实调整。</w:t>
      </w:r>
    </w:p>
    <w:p w14:paraId="0185078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rPr>
        <w:t>%时，材料单价涨幅以已标价工程量清单或预算书中载明材料单价为基础超过</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rPr>
        <w:t>%时，其超过部分据实调整。</w:t>
      </w:r>
    </w:p>
    <w:p w14:paraId="40175B0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rPr>
        <w:t>%时，其超过部分据实调整。</w:t>
      </w:r>
    </w:p>
    <w:p w14:paraId="7710185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第3种方式：其他价格调整方式：</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bookmarkEnd w:id="279"/>
    <w:bookmarkEnd w:id="280"/>
    <w:bookmarkEnd w:id="281"/>
    <w:bookmarkEnd w:id="282"/>
    <w:bookmarkEnd w:id="283"/>
    <w:bookmarkEnd w:id="284"/>
    <w:p w14:paraId="65727AF6">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392" w:name="_Toc296944544"/>
      <w:bookmarkStart w:id="393" w:name="_Toc296503205"/>
      <w:bookmarkStart w:id="394" w:name="_Toc296891245"/>
      <w:bookmarkStart w:id="395" w:name="_Toc292559915"/>
      <w:bookmarkStart w:id="396" w:name="_Toc296346706"/>
      <w:bookmarkStart w:id="397" w:name="_Toc297120505"/>
      <w:bookmarkStart w:id="398" w:name="_Toc296347204"/>
      <w:bookmarkStart w:id="399" w:name="_Toc297048391"/>
      <w:bookmarkStart w:id="400" w:name="_Toc292559410"/>
      <w:bookmarkStart w:id="401" w:name="_Toc296891033"/>
      <w:bookmarkStart w:id="402" w:name="_Toc351203644"/>
      <w:bookmarkStart w:id="403" w:name="_Toc304295579"/>
      <w:bookmarkStart w:id="404" w:name="_Toc297123552"/>
      <w:bookmarkStart w:id="405" w:name="_Toc300935002"/>
      <w:bookmarkStart w:id="406" w:name="_Toc303539159"/>
      <w:bookmarkStart w:id="407" w:name="_Toc312678040"/>
      <w:bookmarkStart w:id="408" w:name="_Toc297216211"/>
      <w:r>
        <w:rPr>
          <w:rFonts w:hint="eastAsia" w:ascii="宋体" w:hAnsi="宋体" w:eastAsia="宋体" w:cs="宋体"/>
          <w:color w:val="000000"/>
          <w:sz w:val="21"/>
          <w:szCs w:val="21"/>
          <w:highlight w:val="none"/>
        </w:rPr>
        <w:t xml:space="preserve">12. </w:t>
      </w:r>
      <w:bookmarkEnd w:id="392"/>
      <w:bookmarkEnd w:id="393"/>
      <w:bookmarkEnd w:id="394"/>
      <w:bookmarkEnd w:id="395"/>
      <w:bookmarkEnd w:id="396"/>
      <w:bookmarkEnd w:id="397"/>
      <w:bookmarkEnd w:id="398"/>
      <w:bookmarkEnd w:id="399"/>
      <w:bookmarkEnd w:id="400"/>
      <w:bookmarkEnd w:id="401"/>
      <w:r>
        <w:rPr>
          <w:rFonts w:hint="eastAsia" w:ascii="宋体" w:hAnsi="宋体" w:eastAsia="宋体" w:cs="宋体"/>
          <w:color w:val="000000"/>
          <w:sz w:val="21"/>
          <w:szCs w:val="21"/>
          <w:highlight w:val="none"/>
        </w:rPr>
        <w:t>合同价格、计量与支付</w:t>
      </w:r>
      <w:bookmarkEnd w:id="402"/>
    </w:p>
    <w:bookmarkEnd w:id="403"/>
    <w:bookmarkEnd w:id="404"/>
    <w:bookmarkEnd w:id="405"/>
    <w:bookmarkEnd w:id="406"/>
    <w:bookmarkEnd w:id="407"/>
    <w:bookmarkEnd w:id="408"/>
    <w:p w14:paraId="004B627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09" w:name="_Toc292559916"/>
      <w:bookmarkStart w:id="410" w:name="_Toc267251461"/>
      <w:bookmarkStart w:id="411" w:name="_Toc292559411"/>
      <w:bookmarkStart w:id="412" w:name="_Toc297120506"/>
      <w:bookmarkStart w:id="413" w:name="_Toc296891246"/>
      <w:bookmarkStart w:id="414" w:name="_Toc297048392"/>
      <w:bookmarkStart w:id="415" w:name="_Toc296347205"/>
      <w:bookmarkStart w:id="416" w:name="_Toc296503206"/>
      <w:bookmarkStart w:id="417" w:name="_Toc296891034"/>
      <w:bookmarkStart w:id="418" w:name="_Toc296346707"/>
      <w:bookmarkStart w:id="419" w:name="_Toc296944545"/>
      <w:bookmarkStart w:id="420" w:name="_Toc304295580"/>
      <w:bookmarkStart w:id="421" w:name="_Toc312678041"/>
      <w:bookmarkStart w:id="422" w:name="_Toc297123553"/>
      <w:bookmarkStart w:id="423" w:name="_Toc297216212"/>
      <w:bookmarkStart w:id="424" w:name="_Toc303539160"/>
      <w:bookmarkStart w:id="425" w:name="_Toc300935003"/>
      <w:r>
        <w:rPr>
          <w:rFonts w:hint="eastAsia" w:ascii="宋体" w:hAnsi="宋体" w:eastAsia="宋体" w:cs="宋体"/>
          <w:color w:val="000000"/>
          <w:sz w:val="21"/>
          <w:szCs w:val="21"/>
          <w:highlight w:val="none"/>
        </w:rPr>
        <w:t>12.1 合</w:t>
      </w:r>
      <w:bookmarkEnd w:id="409"/>
      <w:bookmarkEnd w:id="410"/>
      <w:bookmarkEnd w:id="411"/>
      <w:r>
        <w:rPr>
          <w:rFonts w:hint="eastAsia" w:ascii="宋体" w:hAnsi="宋体" w:eastAsia="宋体" w:cs="宋体"/>
          <w:color w:val="000000"/>
          <w:sz w:val="21"/>
          <w:szCs w:val="21"/>
          <w:highlight w:val="none"/>
        </w:rPr>
        <w:t>同价</w:t>
      </w:r>
      <w:bookmarkEnd w:id="412"/>
      <w:bookmarkEnd w:id="413"/>
      <w:bookmarkEnd w:id="414"/>
      <w:bookmarkEnd w:id="415"/>
      <w:bookmarkEnd w:id="416"/>
      <w:bookmarkEnd w:id="417"/>
      <w:bookmarkEnd w:id="418"/>
      <w:bookmarkEnd w:id="419"/>
      <w:r>
        <w:rPr>
          <w:rFonts w:hint="eastAsia" w:ascii="宋体" w:hAnsi="宋体" w:eastAsia="宋体" w:cs="宋体"/>
          <w:color w:val="000000"/>
          <w:sz w:val="21"/>
          <w:szCs w:val="21"/>
          <w:highlight w:val="none"/>
        </w:rPr>
        <w:t>格形式</w:t>
      </w:r>
    </w:p>
    <w:bookmarkEnd w:id="420"/>
    <w:bookmarkEnd w:id="421"/>
    <w:bookmarkEnd w:id="422"/>
    <w:bookmarkEnd w:id="423"/>
    <w:bookmarkEnd w:id="424"/>
    <w:bookmarkEnd w:id="425"/>
    <w:p w14:paraId="1F5808E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1、单价合同。</w:t>
      </w:r>
    </w:p>
    <w:p w14:paraId="54E5259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综合单价包含的风险范围：</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56A1ACE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风险费用的计算方法：</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7EDBB99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风险范围以外合同价格的调整方法：</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78BD475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2、总价合同。</w:t>
      </w:r>
    </w:p>
    <w:p w14:paraId="38C175D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总价包含的风险范围：</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65FF2D9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风险费用的计算方法：</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540EE5D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风险范围以外合同价格的调整方法：</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1DCF193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3、其他价格方式：</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7E39823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26" w:name="_Toc312678042"/>
      <w:bookmarkStart w:id="427" w:name="_Toc304295581"/>
      <w:bookmarkStart w:id="428" w:name="_Toc300935004"/>
      <w:bookmarkStart w:id="429" w:name="_Toc297123554"/>
      <w:bookmarkStart w:id="430" w:name="_Toc297216213"/>
      <w:bookmarkStart w:id="431" w:name="_Toc303539161"/>
      <w:bookmarkStart w:id="432" w:name="_Toc296891035"/>
      <w:bookmarkStart w:id="433" w:name="_Toc296347206"/>
      <w:bookmarkStart w:id="434" w:name="_Toc297120507"/>
      <w:bookmarkStart w:id="435" w:name="_Toc296944546"/>
      <w:bookmarkStart w:id="436" w:name="_Toc292559917"/>
      <w:bookmarkStart w:id="437" w:name="_Toc292559412"/>
      <w:bookmarkStart w:id="438" w:name="_Toc296891247"/>
      <w:bookmarkStart w:id="439" w:name="_Toc296346708"/>
      <w:bookmarkStart w:id="440" w:name="_Toc297048393"/>
      <w:bookmarkStart w:id="441" w:name="_Toc296503207"/>
      <w:r>
        <w:rPr>
          <w:rFonts w:hint="eastAsia" w:ascii="宋体" w:hAnsi="宋体" w:eastAsia="宋体" w:cs="宋体"/>
          <w:color w:val="000000"/>
          <w:sz w:val="21"/>
          <w:szCs w:val="21"/>
          <w:highlight w:val="none"/>
        </w:rPr>
        <w:t>12.2 预付款</w:t>
      </w:r>
    </w:p>
    <w:bookmarkEnd w:id="426"/>
    <w:bookmarkEnd w:id="427"/>
    <w:bookmarkEnd w:id="428"/>
    <w:bookmarkEnd w:id="429"/>
    <w:bookmarkEnd w:id="430"/>
    <w:bookmarkEnd w:id="431"/>
    <w:p w14:paraId="7C7CE7F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12.2.1 预付款的支付</w:t>
      </w:r>
    </w:p>
    <w:p w14:paraId="274E277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shd w:val="clear" w:color="auto" w:fill="FFFFFF"/>
        </w:rPr>
      </w:pPr>
      <w:r>
        <w:rPr>
          <w:rFonts w:hint="eastAsia" w:ascii="宋体" w:hAnsi="宋体" w:eastAsia="宋体" w:cs="宋体"/>
          <w:color w:val="000000"/>
          <w:sz w:val="21"/>
          <w:szCs w:val="21"/>
          <w:highlight w:val="none"/>
        </w:rPr>
        <w:t>预付款支付比例或金额：</w:t>
      </w:r>
      <w:r>
        <w:rPr>
          <w:rFonts w:hint="eastAsia" w:ascii="宋体" w:hAnsi="宋体" w:eastAsia="宋体" w:cs="宋体"/>
          <w:color w:val="000000"/>
          <w:sz w:val="21"/>
          <w:szCs w:val="21"/>
          <w:highlight w:val="none"/>
          <w:u w:val="single"/>
        </w:rPr>
        <w:t>合同价款的</w:t>
      </w:r>
      <w:r>
        <w:rPr>
          <w:rFonts w:hint="default" w:ascii="宋体" w:hAnsi="宋体" w:eastAsia="宋体" w:cs="宋体"/>
          <w:color w:val="000000"/>
          <w:sz w:val="21"/>
          <w:szCs w:val="21"/>
          <w:highlight w:val="none"/>
          <w:u w:val="single"/>
          <w:lang w:val="en-US"/>
        </w:rPr>
        <w:t>1</w:t>
      </w:r>
      <w:r>
        <w:rPr>
          <w:rFonts w:hint="eastAsia" w:ascii="宋体" w:hAnsi="宋体" w:eastAsia="宋体" w:cs="宋体"/>
          <w:color w:val="000000"/>
          <w:sz w:val="21"/>
          <w:szCs w:val="21"/>
          <w:highlight w:val="none"/>
          <w:u w:val="single"/>
        </w:rPr>
        <w:t>0%</w:t>
      </w:r>
      <w:r>
        <w:rPr>
          <w:rFonts w:hint="eastAsia" w:ascii="宋体" w:hAnsi="宋体" w:eastAsia="宋体" w:cs="宋体"/>
          <w:color w:val="000000"/>
          <w:sz w:val="21"/>
          <w:szCs w:val="21"/>
          <w:highlight w:val="none"/>
          <w:shd w:val="clear" w:color="auto" w:fill="FFFFFF"/>
        </w:rPr>
        <w:t>。</w:t>
      </w:r>
    </w:p>
    <w:p w14:paraId="10C8ED9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shd w:val="clear" w:color="auto" w:fill="FFFFFF"/>
        </w:rPr>
        <w:t>支付预付款比例为：</w:t>
      </w:r>
      <w:r>
        <w:rPr>
          <w:rFonts w:hint="eastAsia" w:ascii="宋体" w:hAnsi="宋体" w:eastAsia="宋体" w:cs="宋体"/>
          <w:color w:val="000000"/>
          <w:sz w:val="21"/>
          <w:szCs w:val="21"/>
          <w:highlight w:val="none"/>
          <w:u w:val="single"/>
        </w:rPr>
        <w:t>签约合同价（扣除发包人提供的材料和工程设备及专业工程暂估价、暂列金额、安全文明施工费）的</w:t>
      </w:r>
      <w:r>
        <w:rPr>
          <w:rFonts w:hint="default" w:ascii="宋体" w:hAnsi="宋体" w:eastAsia="宋体" w:cs="宋体"/>
          <w:color w:val="000000"/>
          <w:sz w:val="21"/>
          <w:szCs w:val="21"/>
          <w:highlight w:val="none"/>
          <w:u w:val="single"/>
          <w:lang w:val="en-US"/>
        </w:rPr>
        <w:t>1</w:t>
      </w:r>
      <w:r>
        <w:rPr>
          <w:rFonts w:hint="eastAsia" w:ascii="宋体" w:hAnsi="宋体" w:eastAsia="宋体" w:cs="宋体"/>
          <w:color w:val="000000"/>
          <w:sz w:val="21"/>
          <w:szCs w:val="21"/>
          <w:highlight w:val="none"/>
          <w:u w:val="single"/>
        </w:rPr>
        <w:t>0%（不得低于10%，不宜高于30%）</w:t>
      </w:r>
      <w:r>
        <w:rPr>
          <w:rFonts w:hint="eastAsia" w:ascii="宋体" w:hAnsi="宋体" w:eastAsia="宋体" w:cs="宋体"/>
          <w:color w:val="000000"/>
          <w:sz w:val="21"/>
          <w:szCs w:val="21"/>
          <w:highlight w:val="none"/>
        </w:rPr>
        <w:t>。</w:t>
      </w:r>
    </w:p>
    <w:p w14:paraId="1E161F3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预付款支付期限：</w:t>
      </w:r>
      <w:r>
        <w:rPr>
          <w:rFonts w:hint="eastAsia" w:ascii="宋体" w:hAnsi="宋体" w:eastAsia="宋体" w:cs="宋体"/>
          <w:color w:val="000000"/>
          <w:sz w:val="21"/>
          <w:szCs w:val="21"/>
          <w:highlight w:val="none"/>
          <w:u w:val="single"/>
        </w:rPr>
        <w:t>签订施工合同后10个工作日之内（至迟应在开工通知载明的开工日期7天前）</w:t>
      </w:r>
      <w:r>
        <w:rPr>
          <w:rFonts w:hint="eastAsia" w:ascii="宋体" w:hAnsi="宋体" w:eastAsia="宋体" w:cs="宋体"/>
          <w:color w:val="000000"/>
          <w:sz w:val="21"/>
          <w:szCs w:val="21"/>
          <w:highlight w:val="none"/>
        </w:rPr>
        <w:t>。</w:t>
      </w:r>
    </w:p>
    <w:p w14:paraId="20ED349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预付款扣回的方式：</w:t>
      </w:r>
      <w:r>
        <w:rPr>
          <w:rFonts w:hint="eastAsia" w:ascii="宋体" w:hAnsi="宋体" w:eastAsia="宋体" w:cs="宋体"/>
          <w:color w:val="000000"/>
          <w:sz w:val="21"/>
          <w:szCs w:val="21"/>
          <w:highlight w:val="none"/>
          <w:u w:val="single"/>
        </w:rPr>
        <w:t>工程进度达到40%，开始抵扣预付款。超过40%进度后的每次计量按扣预付款总额的25%，即分四次全部扣完,当支付进度款达到70%时，必须扣完所有预付款</w:t>
      </w:r>
      <w:r>
        <w:rPr>
          <w:rFonts w:hint="eastAsia" w:ascii="宋体" w:hAnsi="宋体" w:eastAsia="宋体" w:cs="宋体"/>
          <w:color w:val="000000"/>
          <w:sz w:val="21"/>
          <w:szCs w:val="21"/>
          <w:highlight w:val="none"/>
        </w:rPr>
        <w:t>。</w:t>
      </w:r>
    </w:p>
    <w:p w14:paraId="44D00C7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12.2.2 预付款担保</w:t>
      </w:r>
    </w:p>
    <w:p w14:paraId="59D923B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承包人提交预付款担保的期限：</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F96865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预付款担保的形式为：</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bookmarkEnd w:id="432"/>
    <w:bookmarkEnd w:id="433"/>
    <w:bookmarkEnd w:id="434"/>
    <w:bookmarkEnd w:id="435"/>
    <w:bookmarkEnd w:id="436"/>
    <w:bookmarkEnd w:id="437"/>
    <w:bookmarkEnd w:id="438"/>
    <w:bookmarkEnd w:id="439"/>
    <w:bookmarkEnd w:id="440"/>
    <w:bookmarkEnd w:id="441"/>
    <w:p w14:paraId="558A512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 计量</w:t>
      </w:r>
    </w:p>
    <w:p w14:paraId="0EC0929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12.3.1 计量原则</w:t>
      </w:r>
    </w:p>
    <w:p w14:paraId="6D2053C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工程量计算规则：</w:t>
      </w:r>
      <w:r>
        <w:rPr>
          <w:rFonts w:hint="eastAsia" w:ascii="宋体" w:hAnsi="宋体" w:eastAsia="宋体" w:cs="宋体"/>
          <w:color w:val="000000"/>
          <w:sz w:val="21"/>
          <w:szCs w:val="21"/>
          <w:highlight w:val="none"/>
          <w:u w:val="single"/>
        </w:rPr>
        <w:t>按《陕西省建设工程工程量清单计价办法》及《陕西省建设工程消耗量标准》规定,以及经评审中心及其委托的造价咨询机构编制并认可的方法,计算工程量</w:t>
      </w:r>
      <w:r>
        <w:rPr>
          <w:rFonts w:hint="eastAsia" w:ascii="宋体" w:hAnsi="宋体" w:eastAsia="宋体" w:cs="宋体"/>
          <w:color w:val="000000"/>
          <w:sz w:val="21"/>
          <w:szCs w:val="21"/>
          <w:highlight w:val="none"/>
        </w:rPr>
        <w:t>。</w:t>
      </w:r>
    </w:p>
    <w:p w14:paraId="4F9C981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12.3.2 计量周期</w:t>
      </w:r>
    </w:p>
    <w:p w14:paraId="5ED9188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关于计量周期的约定：</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3973D3E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12.3.3 单价合同的计量</w:t>
      </w:r>
    </w:p>
    <w:p w14:paraId="22584CA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关于单价合同计量的约定：</w:t>
      </w:r>
      <w:r>
        <w:rPr>
          <w:rFonts w:hint="eastAsia" w:ascii="宋体" w:hAnsi="宋体" w:eastAsia="宋体" w:cs="宋体"/>
          <w:color w:val="000000"/>
          <w:sz w:val="21"/>
          <w:szCs w:val="21"/>
          <w:highlight w:val="none"/>
          <w:u w:val="single"/>
        </w:rPr>
        <w:t>工程量以承包人完成合同工程应予计量的工程量确定</w:t>
      </w:r>
      <w:r>
        <w:rPr>
          <w:rFonts w:hint="eastAsia" w:ascii="宋体" w:hAnsi="宋体" w:eastAsia="宋体" w:cs="宋体"/>
          <w:color w:val="000000"/>
          <w:sz w:val="21"/>
          <w:szCs w:val="21"/>
          <w:highlight w:val="none"/>
        </w:rPr>
        <w:t>。</w:t>
      </w:r>
    </w:p>
    <w:p w14:paraId="0B21F48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12.3.4 总价合同的计量</w:t>
      </w:r>
    </w:p>
    <w:p w14:paraId="4935067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关于总价合同计量的约定：</w:t>
      </w:r>
      <w:r>
        <w:rPr>
          <w:rFonts w:hint="eastAsia" w:ascii="宋体" w:hAnsi="宋体" w:eastAsia="宋体" w:cs="宋体"/>
          <w:color w:val="000000"/>
          <w:sz w:val="21"/>
          <w:szCs w:val="21"/>
          <w:highlight w:val="none"/>
          <w:u w:val="single"/>
        </w:rPr>
        <w:t>按通用合同条款执行</w:t>
      </w:r>
      <w:r>
        <w:rPr>
          <w:rFonts w:hint="eastAsia" w:ascii="宋体" w:hAnsi="宋体" w:eastAsia="宋体" w:cs="宋体"/>
          <w:color w:val="000000"/>
          <w:sz w:val="21"/>
          <w:szCs w:val="21"/>
          <w:highlight w:val="none"/>
        </w:rPr>
        <w:t>。</w:t>
      </w:r>
    </w:p>
    <w:p w14:paraId="497CF35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12.3.5总价合同采用支付分解表计量支付的，是否适用第</w:t>
      </w:r>
      <w:r>
        <w:rPr>
          <w:rFonts w:hint="eastAsia" w:ascii="宋体" w:hAnsi="宋体" w:eastAsia="宋体" w:cs="宋体"/>
          <w:color w:val="000000"/>
          <w:kern w:val="0"/>
          <w:sz w:val="21"/>
          <w:szCs w:val="21"/>
          <w:highlight w:val="none"/>
        </w:rPr>
        <w:t xml:space="preserve">12.3.4 </w:t>
      </w:r>
      <w:r>
        <w:rPr>
          <w:rFonts w:hint="eastAsia" w:ascii="宋体" w:hAnsi="宋体" w:eastAsia="宋体" w:cs="宋体"/>
          <w:color w:val="000000"/>
          <w:sz w:val="21"/>
          <w:szCs w:val="21"/>
          <w:highlight w:val="none"/>
        </w:rPr>
        <w:t>项</w:t>
      </w:r>
      <w:r>
        <w:rPr>
          <w:rFonts w:hint="eastAsia" w:ascii="宋体" w:hAnsi="宋体" w:eastAsia="宋体" w:cs="宋体"/>
          <w:color w:val="000000"/>
          <w:kern w:val="0"/>
          <w:sz w:val="21"/>
          <w:szCs w:val="21"/>
          <w:highlight w:val="none"/>
        </w:rPr>
        <w:t>〔总价合同的计量〕</w:t>
      </w:r>
      <w:r>
        <w:rPr>
          <w:rFonts w:hint="eastAsia" w:ascii="宋体" w:hAnsi="宋体" w:eastAsia="宋体" w:cs="宋体"/>
          <w:color w:val="000000"/>
          <w:sz w:val="21"/>
          <w:szCs w:val="21"/>
          <w:highlight w:val="none"/>
        </w:rPr>
        <w:t>约定进行计量：</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382621F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12.3.6 其他价格形式合同的计量</w:t>
      </w:r>
    </w:p>
    <w:p w14:paraId="5A59442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其他价格形式的计量方式和程序：</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5004CE6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 工程进度款支付</w:t>
      </w:r>
    </w:p>
    <w:p w14:paraId="5B138A3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42" w:name="_Toc296891251"/>
      <w:bookmarkStart w:id="443" w:name="_Toc300935006"/>
      <w:bookmarkStart w:id="444" w:name="_Toc297123556"/>
      <w:bookmarkStart w:id="445" w:name="_Toc297048397"/>
      <w:bookmarkStart w:id="446" w:name="_Toc296503211"/>
      <w:bookmarkStart w:id="447" w:name="_Toc292559416"/>
      <w:bookmarkStart w:id="448" w:name="_Toc297216215"/>
      <w:bookmarkStart w:id="449" w:name="_Toc292559921"/>
      <w:bookmarkStart w:id="450" w:name="_Toc297120511"/>
      <w:bookmarkStart w:id="451" w:name="_Toc296944550"/>
      <w:bookmarkStart w:id="452" w:name="_Toc303539163"/>
      <w:bookmarkStart w:id="453" w:name="_Toc296347210"/>
      <w:bookmarkStart w:id="454" w:name="_Toc296891039"/>
      <w:bookmarkStart w:id="455" w:name="_Toc296346712"/>
      <w:r>
        <w:rPr>
          <w:rFonts w:hint="eastAsia" w:ascii="宋体" w:hAnsi="宋体" w:eastAsia="宋体" w:cs="宋体"/>
          <w:color w:val="000000"/>
          <w:sz w:val="21"/>
          <w:szCs w:val="21"/>
          <w:highlight w:val="none"/>
        </w:rPr>
        <w:t>12.4.1 付款周期</w:t>
      </w:r>
    </w:p>
    <w:p w14:paraId="61D2B66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关于付款周期的约定：</w:t>
      </w:r>
    </w:p>
    <w:p w14:paraId="7EC393A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u w:val="single"/>
          <w:lang w:val="en-US" w:eastAsia="zh-CN"/>
        </w:rPr>
        <w:t>（1）甲方在本合同签订生效后10日内，达到付款条件起10日内，支付合同总金额的40.00%。（</w:t>
      </w:r>
      <w:r>
        <w:rPr>
          <w:rFonts w:hint="default" w:ascii="宋体" w:hAnsi="宋体" w:eastAsia="宋体" w:cs="宋体"/>
          <w:color w:val="000000"/>
          <w:sz w:val="21"/>
          <w:szCs w:val="21"/>
          <w:highlight w:val="none"/>
          <w:u w:val="single"/>
          <w:lang w:val="en-US" w:eastAsia="zh-CN"/>
        </w:rPr>
        <w:t>2</w:t>
      </w:r>
      <w:r>
        <w:rPr>
          <w:rFonts w:hint="eastAsia" w:ascii="宋体" w:hAnsi="宋体" w:eastAsia="宋体" w:cs="宋体"/>
          <w:color w:val="000000"/>
          <w:sz w:val="21"/>
          <w:szCs w:val="21"/>
          <w:highlight w:val="none"/>
          <w:u w:val="single"/>
          <w:lang w:val="en-US" w:eastAsia="zh-CN"/>
        </w:rPr>
        <w:t>）付款条件说明：施工完成并验收合格后30日内，达到付款条件起30日内，支付合同总金额的60.00%。〔</w:t>
      </w:r>
      <w:r>
        <w:rPr>
          <w:rFonts w:hint="eastAsia" w:ascii="宋体" w:hAnsi="宋体" w:eastAsia="宋体" w:cs="宋体"/>
          <w:color w:val="000000"/>
          <w:sz w:val="21"/>
          <w:szCs w:val="21"/>
          <w:highlight w:val="none"/>
          <w:u w:val="single"/>
          <w:lang w:eastAsia="zh-CN"/>
        </w:rPr>
        <w:t>付款约定</w:t>
      </w:r>
      <w:r>
        <w:rPr>
          <w:rFonts w:hint="eastAsia" w:ascii="宋体" w:hAnsi="宋体" w:eastAsia="宋体" w:cs="宋体"/>
          <w:color w:val="000000"/>
          <w:sz w:val="21"/>
          <w:szCs w:val="21"/>
          <w:highlight w:val="none"/>
          <w:u w:val="single"/>
          <w:lang w:val="en-US" w:eastAsia="zh-CN"/>
        </w:rPr>
        <w:t>最终以发包方和中标人协商为准〕</w:t>
      </w:r>
    </w:p>
    <w:p w14:paraId="350C320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12.4.2 进度付款申请单的编制</w:t>
      </w:r>
    </w:p>
    <w:p w14:paraId="0959D98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关于进度付款申请单编制的约定：</w:t>
      </w:r>
      <w:r>
        <w:rPr>
          <w:rFonts w:hint="eastAsia" w:ascii="宋体" w:hAnsi="宋体" w:eastAsia="宋体" w:cs="宋体"/>
          <w:color w:val="000000"/>
          <w:sz w:val="21"/>
          <w:szCs w:val="21"/>
          <w:highlight w:val="none"/>
          <w:u w:val="single"/>
        </w:rPr>
        <w:t>按通用合同条款执行</w:t>
      </w:r>
      <w:r>
        <w:rPr>
          <w:rFonts w:hint="eastAsia" w:ascii="宋体" w:hAnsi="宋体" w:eastAsia="宋体" w:cs="宋体"/>
          <w:color w:val="000000"/>
          <w:sz w:val="21"/>
          <w:szCs w:val="21"/>
          <w:highlight w:val="none"/>
        </w:rPr>
        <w:t>。</w:t>
      </w:r>
    </w:p>
    <w:p w14:paraId="4D9FEA2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rPr>
          <w:rFonts w:hint="eastAsia" w:ascii="宋体" w:hAnsi="宋体" w:eastAsia="宋体" w:cs="宋体"/>
          <w:color w:val="000000"/>
          <w:sz w:val="21"/>
          <w:szCs w:val="21"/>
          <w:highlight w:val="none"/>
        </w:rPr>
        <w:t>2.4.3 进度付款申请单的提交</w:t>
      </w:r>
    </w:p>
    <w:p w14:paraId="51D66C8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（1）单价合同进度付款申请单提交的约定：</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73E98D5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（2）总价合同进度付款申请单提交的约定：</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096E3CA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（3）其他价格形式合同进度付款申请单提交的约定：</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5FA91D7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12.4.4 进度款审核和支付</w:t>
      </w:r>
    </w:p>
    <w:p w14:paraId="61A9A22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（1）监理人审查并报送发包人的期限：</w:t>
      </w:r>
      <w:r>
        <w:rPr>
          <w:rFonts w:hint="eastAsia" w:ascii="宋体" w:hAnsi="宋体" w:eastAsia="宋体" w:cs="宋体"/>
          <w:color w:val="000000"/>
          <w:sz w:val="21"/>
          <w:szCs w:val="21"/>
          <w:highlight w:val="none"/>
          <w:u w:val="single"/>
        </w:rPr>
        <w:t>7天内完成审查并报送发包人</w:t>
      </w:r>
      <w:r>
        <w:rPr>
          <w:rFonts w:hint="eastAsia" w:ascii="宋体" w:hAnsi="宋体" w:eastAsia="宋体" w:cs="宋体"/>
          <w:color w:val="000000"/>
          <w:sz w:val="21"/>
          <w:szCs w:val="21"/>
          <w:highlight w:val="none"/>
        </w:rPr>
        <w:t>。</w:t>
      </w:r>
    </w:p>
    <w:p w14:paraId="0DB1D9A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发包人完成审批并签发进度款支付证书的期限：</w:t>
      </w:r>
      <w:r>
        <w:rPr>
          <w:rFonts w:hint="eastAsia" w:ascii="宋体" w:hAnsi="宋体" w:eastAsia="宋体" w:cs="宋体"/>
          <w:color w:val="000000"/>
          <w:sz w:val="21"/>
          <w:szCs w:val="21"/>
          <w:highlight w:val="none"/>
          <w:u w:val="single"/>
        </w:rPr>
        <w:t>发包人应在收到后7天内完成审批并签发进度款支付证书</w:t>
      </w:r>
      <w:r>
        <w:rPr>
          <w:rFonts w:hint="eastAsia" w:ascii="宋体" w:hAnsi="宋体" w:eastAsia="宋体" w:cs="宋体"/>
          <w:color w:val="000000"/>
          <w:sz w:val="21"/>
          <w:szCs w:val="21"/>
          <w:highlight w:val="none"/>
        </w:rPr>
        <w:t>。</w:t>
      </w:r>
    </w:p>
    <w:p w14:paraId="79F5BED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（2）发包人支付进度款的期限：</w:t>
      </w:r>
      <w:r>
        <w:rPr>
          <w:rFonts w:hint="eastAsia" w:ascii="宋体" w:hAnsi="宋体" w:eastAsia="宋体" w:cs="宋体"/>
          <w:color w:val="000000"/>
          <w:sz w:val="21"/>
          <w:szCs w:val="21"/>
          <w:highlight w:val="none"/>
          <w:u w:val="single"/>
        </w:rPr>
        <w:t>28天内完成支付</w:t>
      </w:r>
      <w:r>
        <w:rPr>
          <w:rFonts w:hint="eastAsia" w:ascii="宋体" w:hAnsi="宋体" w:eastAsia="宋体" w:cs="宋体"/>
          <w:color w:val="000000"/>
          <w:sz w:val="21"/>
          <w:szCs w:val="21"/>
          <w:highlight w:val="none"/>
        </w:rPr>
        <w:t>。</w:t>
      </w:r>
    </w:p>
    <w:p w14:paraId="507395D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发包人逾期支付进度款的违约金的计算方式：</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3C85B07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12.4.6 支付分解表的编制</w:t>
      </w:r>
    </w:p>
    <w:p w14:paraId="15D4A59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2、总价合同支付分解表的编制与审批：</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103AB42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3、单价合同的总价项目支付分解表的编制与审批：</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bookmarkEnd w:id="285"/>
    <w:p w14:paraId="03756206">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56" w:name="_Toc351203645"/>
      <w:bookmarkStart w:id="457" w:name="_Toc312678053"/>
      <w:bookmarkStart w:id="458" w:name="_Toc296891259"/>
      <w:bookmarkStart w:id="459" w:name="_Toc296891047"/>
      <w:bookmarkStart w:id="460" w:name="_Toc292559424"/>
      <w:bookmarkStart w:id="461" w:name="_Toc297216223"/>
      <w:bookmarkStart w:id="462" w:name="_Toc300935015"/>
      <w:bookmarkStart w:id="463" w:name="_Toc297123564"/>
      <w:bookmarkStart w:id="464" w:name="_Toc304295593"/>
      <w:bookmarkStart w:id="465" w:name="_Toc303539172"/>
      <w:bookmarkStart w:id="466" w:name="_Toc296346720"/>
      <w:bookmarkStart w:id="467" w:name="_Toc292559929"/>
      <w:bookmarkStart w:id="468" w:name="_Toc296944558"/>
      <w:bookmarkStart w:id="469" w:name="_Toc297048405"/>
      <w:bookmarkStart w:id="470" w:name="_Toc297120519"/>
      <w:bookmarkStart w:id="471" w:name="_Toc296503219"/>
      <w:bookmarkStart w:id="472" w:name="_Toc296347218"/>
      <w:r>
        <w:rPr>
          <w:rFonts w:hint="eastAsia" w:ascii="宋体" w:hAnsi="宋体" w:eastAsia="宋体" w:cs="宋体"/>
          <w:color w:val="000000"/>
          <w:sz w:val="21"/>
          <w:szCs w:val="21"/>
          <w:highlight w:val="none"/>
        </w:rPr>
        <w:t>13. 验收和工程试车</w:t>
      </w:r>
      <w:bookmarkEnd w:id="456"/>
    </w:p>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14:paraId="3844DF8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 分部分项工程验收</w:t>
      </w:r>
    </w:p>
    <w:p w14:paraId="789B7D8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13.1.2监理人不能按时进行验收时，应提前</w:t>
      </w:r>
      <w:r>
        <w:rPr>
          <w:rFonts w:hint="eastAsia" w:ascii="宋体" w:hAnsi="宋体" w:eastAsia="宋体" w:cs="宋体"/>
          <w:color w:val="000000"/>
          <w:sz w:val="21"/>
          <w:szCs w:val="21"/>
          <w:highlight w:val="none"/>
          <w:u w:val="single"/>
        </w:rPr>
        <w:t xml:space="preserve"> 24 </w:t>
      </w:r>
      <w:r>
        <w:rPr>
          <w:rFonts w:hint="eastAsia" w:ascii="宋体" w:hAnsi="宋体" w:eastAsia="宋体" w:cs="宋体"/>
          <w:color w:val="000000"/>
          <w:sz w:val="21"/>
          <w:szCs w:val="21"/>
          <w:highlight w:val="none"/>
        </w:rPr>
        <w:t>小时提交书面延期要求。</w:t>
      </w:r>
    </w:p>
    <w:p w14:paraId="7D3BFDD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关于延期最长不得超过：</w:t>
      </w:r>
      <w:r>
        <w:rPr>
          <w:rFonts w:hint="eastAsia" w:ascii="宋体" w:hAnsi="宋体" w:eastAsia="宋体" w:cs="宋体"/>
          <w:color w:val="000000"/>
          <w:sz w:val="21"/>
          <w:szCs w:val="21"/>
          <w:highlight w:val="none"/>
          <w:u w:val="single"/>
        </w:rPr>
        <w:t xml:space="preserve"> 48 </w:t>
      </w:r>
      <w:r>
        <w:rPr>
          <w:rFonts w:hint="eastAsia" w:ascii="宋体" w:hAnsi="宋体" w:eastAsia="宋体" w:cs="宋体"/>
          <w:color w:val="000000"/>
          <w:sz w:val="21"/>
          <w:szCs w:val="21"/>
          <w:highlight w:val="none"/>
        </w:rPr>
        <w:t>小时。</w:t>
      </w:r>
    </w:p>
    <w:p w14:paraId="7F69D43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73" w:name="_Toc296891051"/>
      <w:bookmarkStart w:id="474" w:name="_Toc292559933"/>
      <w:bookmarkStart w:id="475" w:name="_Toc297048409"/>
      <w:bookmarkStart w:id="476" w:name="_Toc296891263"/>
      <w:bookmarkStart w:id="477" w:name="_Toc292559428"/>
      <w:bookmarkStart w:id="478" w:name="_Toc296503223"/>
      <w:bookmarkStart w:id="479" w:name="_Toc297123565"/>
      <w:bookmarkStart w:id="480" w:name="_Toc304295596"/>
      <w:bookmarkStart w:id="481" w:name="_Toc296346724"/>
      <w:bookmarkStart w:id="482" w:name="_Toc303539173"/>
      <w:bookmarkStart w:id="483" w:name="_Toc296347222"/>
      <w:bookmarkStart w:id="484" w:name="_Toc297120523"/>
      <w:bookmarkStart w:id="485" w:name="_Toc297216224"/>
      <w:bookmarkStart w:id="486" w:name="_Toc296944562"/>
      <w:bookmarkStart w:id="487" w:name="_Toc312678056"/>
      <w:bookmarkStart w:id="488" w:name="_Toc300935016"/>
      <w:bookmarkStart w:id="489" w:name="_Toc267251476"/>
      <w:bookmarkStart w:id="490" w:name="_Toc267251475"/>
      <w:bookmarkStart w:id="491" w:name="_Toc267251470"/>
      <w:bookmarkStart w:id="492" w:name="_Toc267251473"/>
      <w:bookmarkStart w:id="493" w:name="_Toc267251471"/>
      <w:bookmarkStart w:id="494" w:name="_Toc267251474"/>
      <w:bookmarkStart w:id="495" w:name="_Toc267251472"/>
      <w:r>
        <w:rPr>
          <w:rFonts w:hint="eastAsia" w:ascii="宋体" w:hAnsi="宋体" w:eastAsia="宋体" w:cs="宋体"/>
          <w:color w:val="000000"/>
          <w:sz w:val="21"/>
          <w:szCs w:val="21"/>
          <w:highlight w:val="none"/>
        </w:rPr>
        <w:t>13.2 竣工验收</w:t>
      </w:r>
    </w:p>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14:paraId="556C658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96" w:name="_Toc280868704"/>
      <w:bookmarkStart w:id="497" w:name="_Toc280868705"/>
      <w:bookmarkStart w:id="498" w:name="_Toc280868706"/>
      <w:bookmarkStart w:id="499" w:name="_Toc280868707"/>
      <w:bookmarkStart w:id="500" w:name="_Toc280868708"/>
      <w:bookmarkStart w:id="501" w:name="_Toc280868709"/>
      <w:r>
        <w:rPr>
          <w:rFonts w:hint="eastAsia" w:ascii="宋体" w:hAnsi="宋体" w:eastAsia="宋体" w:cs="宋体"/>
          <w:color w:val="000000"/>
          <w:sz w:val="21"/>
          <w:szCs w:val="21"/>
          <w:highlight w:val="none"/>
        </w:rPr>
        <w:t>13.2.2竣工验收程序</w:t>
      </w:r>
    </w:p>
    <w:bookmarkEnd w:id="496"/>
    <w:p w14:paraId="64A915F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关于竣工验收程序的约定：</w:t>
      </w:r>
      <w:r>
        <w:rPr>
          <w:rFonts w:hint="eastAsia" w:ascii="宋体" w:hAnsi="宋体" w:eastAsia="宋体" w:cs="宋体"/>
          <w:color w:val="000000"/>
          <w:sz w:val="21"/>
          <w:szCs w:val="21"/>
          <w:highlight w:val="none"/>
          <w:u w:val="single"/>
        </w:rPr>
        <w:t>按通用合同条款执行</w:t>
      </w:r>
      <w:r>
        <w:rPr>
          <w:rFonts w:hint="eastAsia" w:ascii="宋体" w:hAnsi="宋体" w:eastAsia="宋体" w:cs="宋体"/>
          <w:color w:val="000000"/>
          <w:sz w:val="21"/>
          <w:szCs w:val="21"/>
          <w:highlight w:val="none"/>
        </w:rPr>
        <w:t>。</w:t>
      </w:r>
    </w:p>
    <w:p w14:paraId="367C323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发包人不按照本项约定组织竣工验收、颁发工程接收证书的违约金的计算方法：</w:t>
      </w:r>
      <w:r>
        <w:rPr>
          <w:rFonts w:hint="eastAsia" w:ascii="宋体" w:hAnsi="宋体" w:eastAsia="宋体" w:cs="宋体"/>
          <w:color w:val="000000"/>
          <w:sz w:val="21"/>
          <w:szCs w:val="21"/>
          <w:highlight w:val="none"/>
          <w:u w:val="single"/>
        </w:rPr>
        <w:t xml:space="preserve">  无  </w:t>
      </w:r>
      <w:r>
        <w:rPr>
          <w:rFonts w:hint="eastAsia" w:ascii="宋体" w:hAnsi="宋体" w:eastAsia="宋体" w:cs="宋体"/>
          <w:color w:val="000000"/>
          <w:sz w:val="21"/>
          <w:szCs w:val="21"/>
          <w:highlight w:val="none"/>
        </w:rPr>
        <w:t>。</w:t>
      </w:r>
    </w:p>
    <w:bookmarkEnd w:id="497"/>
    <w:p w14:paraId="35078F9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13.2.5移交、接收全部与部分工程</w:t>
      </w:r>
    </w:p>
    <w:bookmarkEnd w:id="498"/>
    <w:p w14:paraId="49B9815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承包人向发包人移交工程的期限：</w:t>
      </w:r>
      <w:r>
        <w:rPr>
          <w:rFonts w:hint="eastAsia" w:ascii="宋体" w:hAnsi="宋体" w:eastAsia="宋体" w:cs="宋体"/>
          <w:color w:val="000000"/>
          <w:sz w:val="21"/>
          <w:szCs w:val="21"/>
          <w:highlight w:val="none"/>
          <w:u w:val="single"/>
        </w:rPr>
        <w:t xml:space="preserve">按通用合同条款执行 </w:t>
      </w:r>
      <w:r>
        <w:rPr>
          <w:rFonts w:hint="eastAsia" w:ascii="宋体" w:hAnsi="宋体" w:eastAsia="宋体" w:cs="宋体"/>
          <w:color w:val="000000"/>
          <w:sz w:val="21"/>
          <w:szCs w:val="21"/>
          <w:highlight w:val="none"/>
        </w:rPr>
        <w:t>。</w:t>
      </w:r>
    </w:p>
    <w:p w14:paraId="3CB3896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发包人未按本合同约定接收全部或部分工程的，违约金的计算方法为：</w:t>
      </w:r>
      <w:r>
        <w:rPr>
          <w:rFonts w:hint="eastAsia" w:ascii="宋体" w:hAnsi="宋体" w:eastAsia="宋体" w:cs="宋体"/>
          <w:color w:val="000000"/>
          <w:sz w:val="21"/>
          <w:szCs w:val="21"/>
          <w:highlight w:val="none"/>
          <w:u w:val="single"/>
        </w:rPr>
        <w:t xml:space="preserve">  无  </w:t>
      </w:r>
      <w:r>
        <w:rPr>
          <w:rFonts w:hint="eastAsia" w:ascii="宋体" w:hAnsi="宋体" w:eastAsia="宋体" w:cs="宋体"/>
          <w:color w:val="000000"/>
          <w:sz w:val="21"/>
          <w:szCs w:val="21"/>
          <w:highlight w:val="none"/>
        </w:rPr>
        <w:t>。</w:t>
      </w:r>
    </w:p>
    <w:bookmarkEnd w:id="499"/>
    <w:p w14:paraId="0952FED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承包人未按时移交工程的，违约金的计算方法为：</w:t>
      </w:r>
      <w:r>
        <w:rPr>
          <w:rFonts w:hint="eastAsia" w:ascii="宋体" w:hAnsi="宋体" w:eastAsia="宋体" w:cs="宋体"/>
          <w:color w:val="000000"/>
          <w:sz w:val="21"/>
          <w:szCs w:val="21"/>
          <w:highlight w:val="none"/>
          <w:u w:val="single"/>
        </w:rPr>
        <w:t xml:space="preserve"> 无  </w:t>
      </w:r>
      <w:r>
        <w:rPr>
          <w:rFonts w:hint="eastAsia" w:ascii="宋体" w:hAnsi="宋体" w:eastAsia="宋体" w:cs="宋体"/>
          <w:color w:val="000000"/>
          <w:sz w:val="21"/>
          <w:szCs w:val="21"/>
          <w:highlight w:val="none"/>
        </w:rPr>
        <w:t>。</w:t>
      </w:r>
    </w:p>
    <w:p w14:paraId="69D3246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13.3 工程试车</w:t>
      </w:r>
    </w:p>
    <w:bookmarkEnd w:id="500"/>
    <w:p w14:paraId="068FC60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13.3.1 试车程序</w:t>
      </w:r>
    </w:p>
    <w:p w14:paraId="0D35431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工程试车内容：</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B2F64E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（1）单机无负荷试车费用由</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kern w:val="0"/>
          <w:sz w:val="21"/>
          <w:szCs w:val="21"/>
          <w:highlight w:val="none"/>
        </w:rPr>
        <w:t>承担；</w:t>
      </w:r>
    </w:p>
    <w:p w14:paraId="675245B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（2）无负荷联动试车费用由</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kern w:val="0"/>
          <w:sz w:val="21"/>
          <w:szCs w:val="21"/>
          <w:highlight w:val="none"/>
        </w:rPr>
        <w:t>承担。</w:t>
      </w:r>
    </w:p>
    <w:p w14:paraId="7D2990D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13.3.3 投料试车</w:t>
      </w:r>
    </w:p>
    <w:p w14:paraId="56118D0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关于投料试车相关事项的约定：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AF3B43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13.6 竣工退场</w:t>
      </w:r>
    </w:p>
    <w:p w14:paraId="5FE1882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13.6.1 竣工退场</w:t>
      </w:r>
    </w:p>
    <w:p w14:paraId="65D63AB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承包人完成竣工退场的期限：</w:t>
      </w:r>
      <w:r>
        <w:rPr>
          <w:rFonts w:hint="eastAsia" w:ascii="宋体" w:hAnsi="宋体" w:eastAsia="宋体" w:cs="宋体"/>
          <w:color w:val="000000"/>
          <w:sz w:val="21"/>
          <w:szCs w:val="21"/>
          <w:highlight w:val="none"/>
          <w:u w:val="single"/>
        </w:rPr>
        <w:t xml:space="preserve">  执行通用条款13.6.1条  </w:t>
      </w:r>
      <w:r>
        <w:rPr>
          <w:rFonts w:hint="eastAsia" w:ascii="宋体" w:hAnsi="宋体" w:eastAsia="宋体" w:cs="宋体"/>
          <w:color w:val="000000"/>
          <w:kern w:val="0"/>
          <w:sz w:val="21"/>
          <w:szCs w:val="21"/>
          <w:highlight w:val="none"/>
        </w:rPr>
        <w:t>。</w:t>
      </w:r>
    </w:p>
    <w:p w14:paraId="60713CD2">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02" w:name="_Toc351203646"/>
      <w:r>
        <w:rPr>
          <w:rFonts w:hint="eastAsia" w:ascii="宋体" w:hAnsi="宋体" w:eastAsia="宋体" w:cs="宋体"/>
          <w:color w:val="000000"/>
          <w:sz w:val="21"/>
          <w:szCs w:val="21"/>
          <w:highlight w:val="none"/>
        </w:rPr>
        <w:t>14. 竣工结算</w:t>
      </w:r>
      <w:bookmarkEnd w:id="502"/>
    </w:p>
    <w:p w14:paraId="4503E4B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14.1 竣工结算申请</w:t>
      </w:r>
    </w:p>
    <w:p w14:paraId="2BC8F7D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承包人提交竣工结算申请单的期限：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7D47664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竣工结算申请单应包括的内容：</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7F9EB21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14.2 竣工结算审核</w:t>
      </w:r>
    </w:p>
    <w:p w14:paraId="3753982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发包人审批竣工付款申请单的期限：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79D5929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发包人完成竣工付款的期限：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6583414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关于竣工付款证书异议部分复核的方式和程序：</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446E2F4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14.4 最终结清</w:t>
      </w:r>
    </w:p>
    <w:p w14:paraId="733D160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14.4.1 最终结清申请单</w:t>
      </w:r>
    </w:p>
    <w:p w14:paraId="1FF37E4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承包人提交最终结清申请单的份数：</w:t>
      </w:r>
      <w:r>
        <w:rPr>
          <w:rFonts w:hint="eastAsia" w:ascii="宋体" w:hAnsi="宋体" w:eastAsia="宋体" w:cs="宋体"/>
          <w:color w:val="000000"/>
          <w:sz w:val="21"/>
          <w:szCs w:val="21"/>
          <w:highlight w:val="none"/>
          <w:u w:val="single"/>
        </w:rPr>
        <w:t>7份</w:t>
      </w:r>
      <w:r>
        <w:rPr>
          <w:rFonts w:hint="eastAsia" w:ascii="宋体" w:hAnsi="宋体" w:eastAsia="宋体" w:cs="宋体"/>
          <w:color w:val="000000"/>
          <w:sz w:val="21"/>
          <w:szCs w:val="21"/>
          <w:highlight w:val="none"/>
        </w:rPr>
        <w:t>。</w:t>
      </w:r>
    </w:p>
    <w:p w14:paraId="11CFB18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承包人提交最终结算申请单的期限：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 xml:space="preserve">。 </w:t>
      </w:r>
    </w:p>
    <w:p w14:paraId="02A5064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14.4.2 最终结清证书和支付</w:t>
      </w:r>
    </w:p>
    <w:p w14:paraId="0E6DF00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（1）发包人完成最终结清申请单的审批并颁发最终结清证书的期限：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5EA425A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（2）发包人完成支付的期限：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bookmarkEnd w:id="489"/>
    <w:bookmarkEnd w:id="490"/>
    <w:bookmarkEnd w:id="491"/>
    <w:bookmarkEnd w:id="492"/>
    <w:bookmarkEnd w:id="493"/>
    <w:bookmarkEnd w:id="494"/>
    <w:bookmarkEnd w:id="495"/>
    <w:bookmarkEnd w:id="501"/>
    <w:p w14:paraId="4CAA9110">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03" w:name="_Toc351203647"/>
      <w:bookmarkStart w:id="504" w:name="_Toc267251483"/>
      <w:bookmarkStart w:id="505" w:name="_Toc267251482"/>
      <w:bookmarkStart w:id="506" w:name="_Toc267251484"/>
      <w:bookmarkStart w:id="507" w:name="_Toc267251485"/>
      <w:bookmarkStart w:id="508" w:name="_Toc267251486"/>
      <w:bookmarkStart w:id="509" w:name="_Toc267251489"/>
      <w:bookmarkStart w:id="510" w:name="_Toc267251490"/>
      <w:bookmarkStart w:id="511" w:name="_Toc267251488"/>
      <w:bookmarkStart w:id="512" w:name="_Toc267251497"/>
      <w:bookmarkStart w:id="513" w:name="_Toc267251503"/>
      <w:bookmarkStart w:id="514" w:name="_Toc267251493"/>
      <w:bookmarkStart w:id="515" w:name="_Toc267251495"/>
      <w:bookmarkStart w:id="516" w:name="_Toc267251499"/>
      <w:bookmarkStart w:id="517" w:name="_Toc267251502"/>
      <w:bookmarkStart w:id="518" w:name="_Toc267251494"/>
      <w:bookmarkStart w:id="519" w:name="_Toc267251491"/>
      <w:bookmarkStart w:id="520" w:name="_Toc267251492"/>
      <w:bookmarkStart w:id="521" w:name="_Toc267251501"/>
      <w:bookmarkStart w:id="522" w:name="_Toc267251496"/>
      <w:bookmarkStart w:id="523" w:name="_Toc267251498"/>
      <w:bookmarkStart w:id="524" w:name="_Toc267251504"/>
      <w:bookmarkStart w:id="525" w:name="_Toc267251506"/>
      <w:bookmarkStart w:id="526" w:name="_Toc267251507"/>
      <w:bookmarkStart w:id="527" w:name="_Toc267251508"/>
      <w:bookmarkStart w:id="528" w:name="_Toc267251513"/>
      <w:bookmarkStart w:id="529" w:name="_Toc267251510"/>
      <w:bookmarkStart w:id="530" w:name="_Toc267251514"/>
      <w:bookmarkStart w:id="531" w:name="_Toc267251509"/>
      <w:bookmarkStart w:id="532" w:name="_Toc267251511"/>
      <w:bookmarkStart w:id="533" w:name="_Toc267251515"/>
      <w:r>
        <w:rPr>
          <w:rFonts w:hint="eastAsia" w:ascii="宋体" w:hAnsi="宋体" w:eastAsia="宋体" w:cs="宋体"/>
          <w:color w:val="000000"/>
          <w:sz w:val="21"/>
          <w:szCs w:val="21"/>
          <w:highlight w:val="none"/>
        </w:rPr>
        <w:t>15. 缺陷责任期与保修</w:t>
      </w:r>
      <w:bookmarkEnd w:id="503"/>
    </w:p>
    <w:p w14:paraId="3B70940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15.2缺陷责任期</w:t>
      </w:r>
      <w:bookmarkEnd w:id="504"/>
    </w:p>
    <w:p w14:paraId="5CB8DCA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缺陷责任期的具体期限：</w:t>
      </w:r>
      <w:r>
        <w:rPr>
          <w:rFonts w:hint="eastAsia" w:ascii="宋体" w:hAnsi="宋体" w:eastAsia="宋体" w:cs="宋体"/>
          <w:color w:val="000000"/>
          <w:sz w:val="21"/>
          <w:szCs w:val="21"/>
          <w:highlight w:val="none"/>
          <w:u w:val="single"/>
        </w:rPr>
        <w:t>执行通用条款15.2条，期限为</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自甲方最终验收合格之日起不少于2年（防水工程不少于5年）</w:t>
      </w:r>
      <w:r>
        <w:rPr>
          <w:rFonts w:hint="eastAsia" w:ascii="宋体" w:hAnsi="宋体" w:eastAsia="宋体" w:cs="宋体"/>
          <w:color w:val="000000"/>
          <w:sz w:val="21"/>
          <w:szCs w:val="21"/>
          <w:highlight w:val="none"/>
        </w:rPr>
        <w:t>。</w:t>
      </w:r>
    </w:p>
    <w:p w14:paraId="200E2AB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15.3 质量保证金</w:t>
      </w:r>
    </w:p>
    <w:p w14:paraId="4FCB996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关于是否扣留质量保证金的约定：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。在工程项目竣工前，承包人按专用合同条款第3.7条提供履约担保的，发包人不得同时预留工程质量保证金。</w:t>
      </w:r>
    </w:p>
    <w:p w14:paraId="26E3EB0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15.3.1 承包人提供质量保证金的方式</w:t>
      </w:r>
    </w:p>
    <w:p w14:paraId="2C40F3E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质量保证金采用以下第</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种方式：</w:t>
      </w:r>
    </w:p>
    <w:p w14:paraId="018791F6">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（1）质量保证金保函，保证金额为：</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 xml:space="preserve">； </w:t>
      </w:r>
    </w:p>
    <w:p w14:paraId="63824ED1">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w:t>
      </w:r>
      <w:r>
        <w:rPr>
          <w:rFonts w:hint="eastAsia" w:ascii="宋体" w:hAnsi="宋体" w:eastAsia="宋体" w:cs="宋体"/>
          <w:color w:val="000000"/>
          <w:kern w:val="0"/>
          <w:sz w:val="21"/>
          <w:szCs w:val="21"/>
          <w:highlight w:val="none"/>
          <w:u w:val="single"/>
        </w:rPr>
        <w:t>/</w:t>
      </w:r>
      <w:r>
        <w:rPr>
          <w:rFonts w:hint="eastAsia" w:ascii="宋体" w:hAnsi="宋体" w:eastAsia="宋体" w:cs="宋体"/>
          <w:color w:val="000000"/>
          <w:kern w:val="0"/>
          <w:sz w:val="21"/>
          <w:szCs w:val="21"/>
          <w:highlight w:val="none"/>
        </w:rPr>
        <w:t>%的工程款；</w:t>
      </w:r>
    </w:p>
    <w:p w14:paraId="57E46E53">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（3）其他方式:</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2D93DBB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15.3.2 质量保证金的扣留 </w:t>
      </w:r>
    </w:p>
    <w:p w14:paraId="7954B07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质量保证金的扣留采取以下第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lang w:val="en-US" w:eastAsia="zh-CN"/>
        </w:rPr>
        <w:t>3</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种方式：</w:t>
      </w:r>
    </w:p>
    <w:p w14:paraId="2E1CA758">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（1）在支付工程进度款时逐次扣留，在此情形下，质量保证金的计算基数不包括预付款的支付、扣回以及价格调整的金额；</w:t>
      </w:r>
    </w:p>
    <w:p w14:paraId="630F7395">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（2）工程竣工结算时一次性扣留质量保证金；</w:t>
      </w:r>
    </w:p>
    <w:p w14:paraId="23F42CE1">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（3）其他扣留方式:</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u w:val="single"/>
          <w:lang w:val="en-US" w:eastAsia="zh-CN"/>
        </w:rPr>
        <w:t>3%</w:t>
      </w:r>
      <w:r>
        <w:rPr>
          <w:rFonts w:hint="eastAsia" w:ascii="宋体" w:hAnsi="宋体" w:eastAsia="宋体" w:cs="宋体"/>
          <w:color w:val="000000"/>
          <w:kern w:val="0"/>
          <w:sz w:val="21"/>
          <w:szCs w:val="21"/>
          <w:highlight w:val="none"/>
        </w:rPr>
        <w:t>。</w:t>
      </w:r>
    </w:p>
    <w:p w14:paraId="35126E5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关于质量保证金的补充约定：</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bookmarkEnd w:id="505"/>
    <w:bookmarkEnd w:id="506"/>
    <w:p w14:paraId="451FA5E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15.4保修</w:t>
      </w:r>
    </w:p>
    <w:bookmarkEnd w:id="507"/>
    <w:p w14:paraId="34E55F9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15.4.1 保修责任</w:t>
      </w:r>
    </w:p>
    <w:p w14:paraId="31149EE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工程保修期为：</w:t>
      </w:r>
      <w:r>
        <w:rPr>
          <w:rFonts w:hint="eastAsia" w:ascii="宋体" w:hAnsi="宋体" w:eastAsia="宋体" w:cs="宋体"/>
          <w:color w:val="000000"/>
          <w:kern w:val="0"/>
          <w:sz w:val="21"/>
          <w:szCs w:val="21"/>
          <w:highlight w:val="none"/>
          <w:u w:val="single"/>
        </w:rPr>
        <w:t xml:space="preserve"> 按相关规定执行 </w:t>
      </w:r>
      <w:r>
        <w:rPr>
          <w:rFonts w:hint="eastAsia" w:ascii="宋体" w:hAnsi="宋体" w:eastAsia="宋体" w:cs="宋体"/>
          <w:color w:val="000000"/>
          <w:kern w:val="0"/>
          <w:sz w:val="21"/>
          <w:szCs w:val="21"/>
          <w:highlight w:val="none"/>
        </w:rPr>
        <w:t>。</w:t>
      </w:r>
    </w:p>
    <w:p w14:paraId="0ED3ADC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15.4.3 修复通知</w:t>
      </w:r>
    </w:p>
    <w:p w14:paraId="014541E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承包人收到保修通知并到达工程现场的合理时间：</w:t>
      </w:r>
      <w:r>
        <w:rPr>
          <w:rFonts w:hint="eastAsia" w:ascii="宋体" w:hAnsi="宋体" w:eastAsia="宋体" w:cs="宋体"/>
          <w:color w:val="000000"/>
          <w:kern w:val="0"/>
          <w:sz w:val="21"/>
          <w:szCs w:val="21"/>
          <w:highlight w:val="none"/>
          <w:u w:val="single"/>
        </w:rPr>
        <w:t xml:space="preserve"> 按相关规定执行</w:t>
      </w:r>
      <w:r>
        <w:rPr>
          <w:rFonts w:hint="eastAsia" w:ascii="宋体" w:hAnsi="宋体" w:eastAsia="宋体" w:cs="宋体"/>
          <w:color w:val="000000"/>
          <w:kern w:val="0"/>
          <w:sz w:val="21"/>
          <w:szCs w:val="21"/>
          <w:highlight w:val="none"/>
        </w:rPr>
        <w:t>。</w:t>
      </w:r>
    </w:p>
    <w:bookmarkEnd w:id="508"/>
    <w:bookmarkEnd w:id="509"/>
    <w:bookmarkEnd w:id="510"/>
    <w:bookmarkEnd w:id="511"/>
    <w:p w14:paraId="2B808BF4">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34" w:name="_Toc351203648"/>
      <w:bookmarkStart w:id="535" w:name="_Toc280868717"/>
      <w:bookmarkStart w:id="536" w:name="_Toc280868718"/>
      <w:r>
        <w:rPr>
          <w:rFonts w:hint="eastAsia" w:ascii="宋体" w:hAnsi="宋体" w:eastAsia="宋体" w:cs="宋体"/>
          <w:color w:val="000000"/>
          <w:sz w:val="21"/>
          <w:szCs w:val="21"/>
          <w:highlight w:val="none"/>
        </w:rPr>
        <w:t>16. 违约</w:t>
      </w:r>
      <w:bookmarkEnd w:id="534"/>
    </w:p>
    <w:p w14:paraId="7FC0AFF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 发包人违约</w:t>
      </w:r>
    </w:p>
    <w:p w14:paraId="27906BC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16.1.1发包人违约的情形</w:t>
      </w:r>
    </w:p>
    <w:p w14:paraId="7B10F0E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发包人违约的其他情形：</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6CDEC43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16.1.2 发包人违约的责任</w:t>
      </w:r>
    </w:p>
    <w:p w14:paraId="51DE6C7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发包人违约责任的承担方式和计算方法：</w:t>
      </w:r>
    </w:p>
    <w:p w14:paraId="367E51E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（1）因发包人原因未能在计划开工日期前7天内下达开工通知的违约责任：</w:t>
      </w:r>
      <w:r>
        <w:rPr>
          <w:rFonts w:hint="eastAsia" w:ascii="宋体" w:hAnsi="宋体" w:eastAsia="宋体" w:cs="宋体"/>
          <w:color w:val="000000"/>
          <w:kern w:val="0"/>
          <w:sz w:val="21"/>
          <w:szCs w:val="21"/>
          <w:highlight w:val="none"/>
          <w:u w:val="single"/>
        </w:rPr>
        <w:t xml:space="preserve">顺延工期  </w:t>
      </w:r>
      <w:r>
        <w:rPr>
          <w:rFonts w:hint="eastAsia" w:ascii="宋体" w:hAnsi="宋体" w:eastAsia="宋体" w:cs="宋体"/>
          <w:color w:val="000000"/>
          <w:kern w:val="0"/>
          <w:sz w:val="21"/>
          <w:szCs w:val="21"/>
          <w:highlight w:val="none"/>
        </w:rPr>
        <w:t>。</w:t>
      </w:r>
    </w:p>
    <w:p w14:paraId="4F3643C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（2）因发包人原因未能按合同约定支付合同价款的违约责任：</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30888B6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（3）发包人违反第10.1款〔变更的范围〕第（2）项约定，自行实施被取消的工作或转由他人实施的违约责任：</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1544D5B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kern w:val="0"/>
          <w:sz w:val="21"/>
          <w:szCs w:val="21"/>
          <w:highlight w:val="none"/>
          <w:u w:val="single"/>
        </w:rPr>
        <w:t xml:space="preserve"> 顺延工期  </w:t>
      </w:r>
      <w:r>
        <w:rPr>
          <w:rFonts w:hint="eastAsia" w:ascii="宋体" w:hAnsi="宋体" w:eastAsia="宋体" w:cs="宋体"/>
          <w:color w:val="000000"/>
          <w:kern w:val="0"/>
          <w:sz w:val="21"/>
          <w:szCs w:val="21"/>
          <w:highlight w:val="none"/>
        </w:rPr>
        <w:t>。</w:t>
      </w:r>
    </w:p>
    <w:p w14:paraId="3742575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（5）因发包人违反合同约定造成暂停施工的违约责任：</w:t>
      </w:r>
      <w:r>
        <w:rPr>
          <w:rFonts w:hint="eastAsia" w:ascii="宋体" w:hAnsi="宋体" w:eastAsia="宋体" w:cs="宋体"/>
          <w:color w:val="000000"/>
          <w:kern w:val="0"/>
          <w:sz w:val="21"/>
          <w:szCs w:val="21"/>
          <w:highlight w:val="none"/>
          <w:u w:val="single"/>
        </w:rPr>
        <w:t xml:space="preserve"> 顺延工期 </w:t>
      </w:r>
      <w:r>
        <w:rPr>
          <w:rFonts w:hint="eastAsia" w:ascii="宋体" w:hAnsi="宋体" w:eastAsia="宋体" w:cs="宋体"/>
          <w:color w:val="000000"/>
          <w:kern w:val="0"/>
          <w:sz w:val="21"/>
          <w:szCs w:val="21"/>
          <w:highlight w:val="none"/>
        </w:rPr>
        <w:t>。</w:t>
      </w:r>
    </w:p>
    <w:p w14:paraId="33639EB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（6）发包人无正当理由没有在约定期限内发出复工指示，导致承包人无法复工的违约责任：</w:t>
      </w:r>
      <w:r>
        <w:rPr>
          <w:rFonts w:hint="eastAsia" w:ascii="宋体" w:hAnsi="宋体" w:eastAsia="宋体" w:cs="宋体"/>
          <w:color w:val="000000"/>
          <w:kern w:val="0"/>
          <w:sz w:val="21"/>
          <w:szCs w:val="21"/>
          <w:highlight w:val="none"/>
          <w:u w:val="single"/>
        </w:rPr>
        <w:t xml:space="preserve"> 顺延工期 </w:t>
      </w:r>
      <w:r>
        <w:rPr>
          <w:rFonts w:hint="eastAsia" w:ascii="宋体" w:hAnsi="宋体" w:eastAsia="宋体" w:cs="宋体"/>
          <w:color w:val="000000"/>
          <w:kern w:val="0"/>
          <w:sz w:val="21"/>
          <w:szCs w:val="21"/>
          <w:highlight w:val="none"/>
        </w:rPr>
        <w:t>。</w:t>
      </w:r>
    </w:p>
    <w:p w14:paraId="6BA55FC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（7）其他：</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241F5D1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16.1.3 因发包人违约解除合同</w:t>
      </w:r>
    </w:p>
    <w:p w14:paraId="6DFAF3A4">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承包人按16.1.1项〔发包人违约的情形〕约定暂停施工满</w:t>
      </w:r>
      <w:r>
        <w:rPr>
          <w:rFonts w:hint="eastAsia" w:ascii="宋体" w:hAnsi="宋体" w:eastAsia="宋体" w:cs="宋体"/>
          <w:color w:val="000000"/>
          <w:kern w:val="0"/>
          <w:sz w:val="21"/>
          <w:szCs w:val="21"/>
          <w:highlight w:val="none"/>
          <w:u w:val="single"/>
        </w:rPr>
        <w:t xml:space="preserve"> 28 </w:t>
      </w:r>
      <w:r>
        <w:rPr>
          <w:rFonts w:hint="eastAsia" w:ascii="宋体" w:hAnsi="宋体" w:eastAsia="宋体" w:cs="宋体"/>
          <w:color w:val="000000"/>
          <w:kern w:val="0"/>
          <w:sz w:val="21"/>
          <w:szCs w:val="21"/>
          <w:highlight w:val="none"/>
        </w:rPr>
        <w:t>天后发包人仍不纠正其违约行为并致使合同目的不能实现的，承包人有权解除合同。</w:t>
      </w:r>
    </w:p>
    <w:p w14:paraId="56D7664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16.2 承包人违约</w:t>
      </w:r>
    </w:p>
    <w:p w14:paraId="1D1DC07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16.2.1 承包人违约的情形</w:t>
      </w:r>
    </w:p>
    <w:p w14:paraId="0E47266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承包人违约的其他情形：</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201CFBE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16.2.2承包人违约的责任</w:t>
      </w:r>
    </w:p>
    <w:p w14:paraId="7759808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承包人违约责任的承担方式和计算方法：</w:t>
      </w:r>
      <w:r>
        <w:rPr>
          <w:rFonts w:hint="eastAsia" w:ascii="宋体" w:hAnsi="宋体" w:eastAsia="宋体" w:cs="宋体"/>
          <w:color w:val="000000"/>
          <w:kern w:val="0"/>
          <w:sz w:val="21"/>
          <w:szCs w:val="21"/>
          <w:highlight w:val="none"/>
          <w:u w:val="single"/>
        </w:rPr>
        <w:t xml:space="preserve"> 每天1000元  </w:t>
      </w:r>
      <w:r>
        <w:rPr>
          <w:rFonts w:hint="eastAsia" w:ascii="宋体" w:hAnsi="宋体" w:eastAsia="宋体" w:cs="宋体"/>
          <w:color w:val="000000"/>
          <w:kern w:val="0"/>
          <w:sz w:val="21"/>
          <w:szCs w:val="21"/>
          <w:highlight w:val="none"/>
        </w:rPr>
        <w:t>。</w:t>
      </w:r>
      <w:r>
        <w:rPr>
          <w:rFonts w:hint="eastAsia" w:ascii="宋体" w:hAnsi="宋体" w:eastAsia="宋体" w:cs="宋体"/>
          <w:color w:val="000000"/>
          <w:sz w:val="21"/>
          <w:szCs w:val="21"/>
          <w:highlight w:val="none"/>
        </w:rPr>
        <w:t xml:space="preserve">    </w:t>
      </w:r>
    </w:p>
    <w:p w14:paraId="33D6F2E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16.2.3 因承包人违约解除合同</w:t>
      </w:r>
    </w:p>
    <w:p w14:paraId="58ABBE9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关于承包人违约解除合同的特别约定：</w:t>
      </w:r>
      <w:r>
        <w:rPr>
          <w:rFonts w:hint="eastAsia" w:ascii="宋体" w:hAnsi="宋体" w:eastAsia="宋体" w:cs="宋体"/>
          <w:color w:val="000000"/>
          <w:kern w:val="0"/>
          <w:sz w:val="21"/>
          <w:szCs w:val="21"/>
          <w:highlight w:val="none"/>
          <w:u w:val="single"/>
        </w:rPr>
        <w:t xml:space="preserve">  执行通用条款16.2.3条 </w:t>
      </w:r>
      <w:r>
        <w:rPr>
          <w:rFonts w:hint="eastAsia" w:ascii="宋体" w:hAnsi="宋体" w:eastAsia="宋体" w:cs="宋体"/>
          <w:color w:val="000000"/>
          <w:kern w:val="0"/>
          <w:sz w:val="21"/>
          <w:szCs w:val="21"/>
          <w:highlight w:val="none"/>
        </w:rPr>
        <w:t>。</w:t>
      </w:r>
    </w:p>
    <w:p w14:paraId="0A6E082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21"/>
          <w:szCs w:val="21"/>
          <w:highlight w:val="none"/>
          <w:u w:val="single"/>
        </w:rPr>
        <w:t xml:space="preserve"> 无 </w:t>
      </w:r>
      <w:r>
        <w:rPr>
          <w:rFonts w:hint="eastAsia" w:ascii="宋体" w:hAnsi="宋体" w:eastAsia="宋体" w:cs="宋体"/>
          <w:color w:val="000000"/>
          <w:kern w:val="0"/>
          <w:sz w:val="21"/>
          <w:szCs w:val="21"/>
          <w:highlight w:val="none"/>
        </w:rPr>
        <w:t>。</w:t>
      </w:r>
    </w:p>
    <w:p w14:paraId="666CD416">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37" w:name="_Toc351203649"/>
      <w:r>
        <w:rPr>
          <w:rFonts w:hint="eastAsia" w:ascii="宋体" w:hAnsi="宋体" w:eastAsia="宋体" w:cs="宋体"/>
          <w:color w:val="000000"/>
          <w:sz w:val="21"/>
          <w:szCs w:val="21"/>
          <w:highlight w:val="none"/>
        </w:rPr>
        <w:t>17. 不可抗力</w:t>
      </w:r>
      <w:bookmarkEnd w:id="537"/>
      <w:r>
        <w:rPr>
          <w:rFonts w:hint="eastAsia" w:ascii="宋体" w:hAnsi="宋体" w:eastAsia="宋体" w:cs="宋体"/>
          <w:color w:val="000000"/>
          <w:sz w:val="21"/>
          <w:szCs w:val="21"/>
          <w:highlight w:val="none"/>
        </w:rPr>
        <w:t xml:space="preserve"> </w:t>
      </w:r>
      <w:bookmarkEnd w:id="535"/>
    </w:p>
    <w:p w14:paraId="08C895F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17.1 不可抗力的确认</w:t>
      </w:r>
    </w:p>
    <w:p w14:paraId="0A233D3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sz w:val="21"/>
          <w:szCs w:val="21"/>
          <w:highlight w:val="none"/>
        </w:rPr>
        <w:t xml:space="preserve">除通用合同条款约定的不可抗力事件之外，视为不可抗力的其他情形： </w:t>
      </w:r>
      <w:r>
        <w:rPr>
          <w:rFonts w:hint="eastAsia" w:ascii="宋体" w:hAnsi="宋体" w:eastAsia="宋体" w:cs="宋体"/>
          <w:color w:val="000000"/>
          <w:kern w:val="0"/>
          <w:sz w:val="21"/>
          <w:szCs w:val="21"/>
          <w:highlight w:val="none"/>
          <w:u w:val="single"/>
        </w:rPr>
        <w:t xml:space="preserve"> 按相关规定执行 </w:t>
      </w:r>
      <w:r>
        <w:rPr>
          <w:rFonts w:hint="eastAsia" w:ascii="宋体" w:hAnsi="宋体" w:eastAsia="宋体" w:cs="宋体"/>
          <w:color w:val="000000"/>
          <w:kern w:val="0"/>
          <w:sz w:val="21"/>
          <w:szCs w:val="21"/>
          <w:highlight w:val="none"/>
        </w:rPr>
        <w:t>。</w:t>
      </w:r>
    </w:p>
    <w:p w14:paraId="2DA55EE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17.4 因不可抗力解除合同</w:t>
      </w:r>
    </w:p>
    <w:p w14:paraId="3C267E1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合同解除后，发包人应在商定或确定发包人应支付款项后</w:t>
      </w:r>
      <w:r>
        <w:rPr>
          <w:rFonts w:hint="eastAsia" w:ascii="宋体" w:hAnsi="宋体" w:eastAsia="宋体" w:cs="宋体"/>
          <w:color w:val="000000"/>
          <w:sz w:val="21"/>
          <w:szCs w:val="21"/>
          <w:highlight w:val="none"/>
          <w:u w:val="single"/>
        </w:rPr>
        <w:t xml:space="preserve"> 28 </w:t>
      </w:r>
      <w:r>
        <w:rPr>
          <w:rFonts w:hint="eastAsia" w:ascii="宋体" w:hAnsi="宋体" w:eastAsia="宋体" w:cs="宋体"/>
          <w:color w:val="000000"/>
          <w:sz w:val="21"/>
          <w:szCs w:val="21"/>
          <w:highlight w:val="none"/>
        </w:rPr>
        <w:t>天内完成款项的支付。</w:t>
      </w:r>
    </w:p>
    <w:p w14:paraId="72F3C750">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38" w:name="_Toc351203650"/>
      <w:r>
        <w:rPr>
          <w:rFonts w:hint="eastAsia" w:ascii="宋体" w:hAnsi="宋体" w:eastAsia="宋体" w:cs="宋体"/>
          <w:color w:val="000000"/>
          <w:sz w:val="21"/>
          <w:szCs w:val="21"/>
          <w:highlight w:val="none"/>
        </w:rPr>
        <w:t>18. 保险</w:t>
      </w:r>
      <w:bookmarkEnd w:id="538"/>
    </w:p>
    <w:bookmarkEnd w:id="536"/>
    <w:p w14:paraId="289DCC6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18.1 工程保险</w:t>
      </w:r>
    </w:p>
    <w:p w14:paraId="52811FF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关于工程保险的特别约定：</w:t>
      </w:r>
      <w:r>
        <w:rPr>
          <w:rFonts w:hint="eastAsia" w:ascii="宋体" w:hAnsi="宋体" w:eastAsia="宋体" w:cs="宋体"/>
          <w:color w:val="000000"/>
          <w:kern w:val="0"/>
          <w:sz w:val="21"/>
          <w:szCs w:val="21"/>
          <w:highlight w:val="none"/>
          <w:u w:val="single"/>
        </w:rPr>
        <w:t xml:space="preserve"> 执行通用条款16.2.3条 </w:t>
      </w:r>
      <w:r>
        <w:rPr>
          <w:rFonts w:hint="eastAsia" w:ascii="宋体" w:hAnsi="宋体" w:eastAsia="宋体" w:cs="宋体"/>
          <w:color w:val="000000"/>
          <w:kern w:val="0"/>
          <w:sz w:val="21"/>
          <w:szCs w:val="21"/>
          <w:highlight w:val="none"/>
        </w:rPr>
        <w:t>。</w:t>
      </w:r>
    </w:p>
    <w:p w14:paraId="5663528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18.3 其他保险</w:t>
      </w:r>
    </w:p>
    <w:p w14:paraId="007C3BC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关于其他保险的约定：</w:t>
      </w:r>
      <w:r>
        <w:rPr>
          <w:rFonts w:hint="eastAsia" w:ascii="宋体" w:hAnsi="宋体" w:eastAsia="宋体" w:cs="宋体"/>
          <w:color w:val="000000"/>
          <w:kern w:val="0"/>
          <w:sz w:val="21"/>
          <w:szCs w:val="21"/>
          <w:highlight w:val="none"/>
          <w:u w:val="single"/>
        </w:rPr>
        <w:t>承包方未给施工人员办理工伤意外责任保险，如发生施工人员伤亡事故，由承包方承担全部经济赔偿责任</w:t>
      </w:r>
      <w:r>
        <w:rPr>
          <w:rFonts w:hint="eastAsia" w:ascii="宋体" w:hAnsi="宋体" w:eastAsia="宋体" w:cs="宋体"/>
          <w:color w:val="000000"/>
          <w:kern w:val="0"/>
          <w:sz w:val="21"/>
          <w:szCs w:val="21"/>
          <w:highlight w:val="none"/>
        </w:rPr>
        <w:t>。</w:t>
      </w:r>
    </w:p>
    <w:p w14:paraId="2C615CC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承包人是否应为其施工设备等办理财产保险：</w:t>
      </w:r>
      <w:r>
        <w:rPr>
          <w:rFonts w:hint="eastAsia" w:ascii="宋体" w:hAnsi="宋体" w:eastAsia="宋体" w:cs="宋体"/>
          <w:color w:val="000000"/>
          <w:sz w:val="21"/>
          <w:szCs w:val="21"/>
          <w:highlight w:val="none"/>
          <w:u w:val="single"/>
        </w:rPr>
        <w:t>承包方未给其施工设备等办理财产保险，如发生意外，由承包方承担全部经济赔偿责任</w:t>
      </w:r>
      <w:r>
        <w:rPr>
          <w:rFonts w:hint="eastAsia" w:ascii="宋体" w:hAnsi="宋体" w:eastAsia="宋体" w:cs="宋体"/>
          <w:color w:val="000000"/>
          <w:sz w:val="21"/>
          <w:szCs w:val="21"/>
          <w:highlight w:val="none"/>
        </w:rPr>
        <w:t>。</w:t>
      </w:r>
    </w:p>
    <w:p w14:paraId="3FFCD1B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18.7 通知义务</w:t>
      </w:r>
    </w:p>
    <w:p w14:paraId="625B4C0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关于变更保险合同时的通知义务的约定：</w:t>
      </w:r>
      <w:r>
        <w:rPr>
          <w:rFonts w:hint="eastAsia" w:ascii="宋体" w:hAnsi="宋体" w:eastAsia="宋体" w:cs="宋体"/>
          <w:color w:val="000000"/>
          <w:sz w:val="21"/>
          <w:szCs w:val="21"/>
          <w:highlight w:val="none"/>
          <w:u w:val="single"/>
        </w:rPr>
        <w:t xml:space="preserve"> 按通用条款执行 </w:t>
      </w:r>
      <w:r>
        <w:rPr>
          <w:rFonts w:hint="eastAsia" w:ascii="宋体" w:hAnsi="宋体" w:eastAsia="宋体" w:cs="宋体"/>
          <w:color w:val="000000"/>
          <w:sz w:val="21"/>
          <w:szCs w:val="21"/>
          <w:highlight w:val="none"/>
        </w:rPr>
        <w:t>。</w:t>
      </w:r>
    </w:p>
    <w:bookmarkEnd w:id="512"/>
    <w:bookmarkEnd w:id="513"/>
    <w:bookmarkEnd w:id="514"/>
    <w:bookmarkEnd w:id="515"/>
    <w:bookmarkEnd w:id="516"/>
    <w:bookmarkEnd w:id="517"/>
    <w:bookmarkEnd w:id="518"/>
    <w:bookmarkEnd w:id="519"/>
    <w:bookmarkEnd w:id="520"/>
    <w:bookmarkEnd w:id="521"/>
    <w:bookmarkEnd w:id="522"/>
    <w:bookmarkEnd w:id="523"/>
    <w:p w14:paraId="799385DF">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39" w:name="_Toc351203651"/>
      <w:r>
        <w:rPr>
          <w:rFonts w:hint="eastAsia" w:ascii="宋体" w:hAnsi="宋体" w:eastAsia="宋体" w:cs="宋体"/>
          <w:color w:val="000000"/>
          <w:sz w:val="21"/>
          <w:szCs w:val="21"/>
          <w:highlight w:val="none"/>
        </w:rPr>
        <w:t>20. 争议解决</w:t>
      </w:r>
      <w:bookmarkEnd w:id="539"/>
    </w:p>
    <w:bookmarkEnd w:id="524"/>
    <w:bookmarkEnd w:id="525"/>
    <w:p w14:paraId="7F8326B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20.3 争</w:t>
      </w:r>
      <w:bookmarkEnd w:id="526"/>
      <w:r>
        <w:rPr>
          <w:rFonts w:hint="eastAsia" w:ascii="宋体" w:hAnsi="宋体" w:eastAsia="宋体" w:cs="宋体"/>
          <w:color w:val="000000"/>
          <w:sz w:val="21"/>
          <w:szCs w:val="21"/>
          <w:highlight w:val="none"/>
        </w:rPr>
        <w:t>议评审</w:t>
      </w:r>
    </w:p>
    <w:p w14:paraId="200BD69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合同当事人是否同意将工程争议提交争议评审小组决定：</w:t>
      </w:r>
      <w:r>
        <w:rPr>
          <w:rFonts w:hint="eastAsia" w:ascii="宋体" w:hAnsi="宋体" w:eastAsia="宋体" w:cs="宋体"/>
          <w:color w:val="000000"/>
          <w:sz w:val="21"/>
          <w:szCs w:val="21"/>
          <w:highlight w:val="none"/>
          <w:u w:val="single"/>
        </w:rPr>
        <w:t xml:space="preserve"> 否 </w:t>
      </w:r>
      <w:r>
        <w:rPr>
          <w:rFonts w:hint="eastAsia" w:ascii="宋体" w:hAnsi="宋体" w:eastAsia="宋体" w:cs="宋体"/>
          <w:color w:val="000000"/>
          <w:sz w:val="21"/>
          <w:szCs w:val="21"/>
          <w:highlight w:val="none"/>
        </w:rPr>
        <w:t xml:space="preserve">。  </w:t>
      </w:r>
    </w:p>
    <w:p w14:paraId="1FFFDFB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20.3.1 争议评审小组的确定</w:t>
      </w:r>
    </w:p>
    <w:p w14:paraId="19BF385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争议评审小组成员的确定：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8C6E08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选定争议评审员的期限：</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917E54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争议评审小组成员的报酬承担方式：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D8CEBB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其他事项的约定：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5F3C5639">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20.3.2 争议评审小组的决定</w:t>
      </w:r>
    </w:p>
    <w:p w14:paraId="11EC9D9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合同当事人关于本项的约定：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66FCC7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20.4仲裁或诉讼</w:t>
      </w:r>
      <w:bookmarkEnd w:id="527"/>
    </w:p>
    <w:p w14:paraId="2BD22C6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因合同及合同有关事项发生的争议，按下列第</w:t>
      </w:r>
      <w:r>
        <w:rPr>
          <w:rFonts w:hint="eastAsia" w:ascii="宋体" w:hAnsi="宋体" w:eastAsia="宋体" w:cs="宋体"/>
          <w:color w:val="000000"/>
          <w:sz w:val="21"/>
          <w:szCs w:val="21"/>
          <w:highlight w:val="none"/>
          <w:u w:val="single"/>
        </w:rPr>
        <w:t xml:space="preserve"> 1 </w:t>
      </w:r>
      <w:r>
        <w:rPr>
          <w:rFonts w:hint="eastAsia" w:ascii="宋体" w:hAnsi="宋体" w:eastAsia="宋体" w:cs="宋体"/>
          <w:color w:val="000000"/>
          <w:sz w:val="21"/>
          <w:szCs w:val="21"/>
          <w:highlight w:val="none"/>
        </w:rPr>
        <w:t>种方式解决：</w:t>
      </w:r>
    </w:p>
    <w:p w14:paraId="469102C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（1）向</w:t>
      </w:r>
      <w:r>
        <w:rPr>
          <w:rFonts w:hint="eastAsia" w:ascii="宋体" w:hAnsi="宋体" w:eastAsia="宋体" w:cs="宋体"/>
          <w:color w:val="000000"/>
          <w:sz w:val="21"/>
          <w:szCs w:val="21"/>
          <w:highlight w:val="none"/>
          <w:u w:val="single"/>
        </w:rPr>
        <w:t xml:space="preserve">  项目所在地  </w:t>
      </w:r>
      <w:r>
        <w:rPr>
          <w:rFonts w:hint="eastAsia" w:ascii="宋体" w:hAnsi="宋体" w:eastAsia="宋体" w:cs="宋体"/>
          <w:color w:val="000000"/>
          <w:sz w:val="21"/>
          <w:szCs w:val="21"/>
          <w:highlight w:val="none"/>
        </w:rPr>
        <w:t>仲裁委员会申请仲裁；</w:t>
      </w:r>
    </w:p>
    <w:p w14:paraId="240B39D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（2）向</w:t>
      </w:r>
      <w:r>
        <w:rPr>
          <w:rFonts w:hint="eastAsia" w:ascii="宋体" w:hAnsi="宋体" w:eastAsia="宋体" w:cs="宋体"/>
          <w:color w:val="000000"/>
          <w:sz w:val="21"/>
          <w:szCs w:val="21"/>
          <w:highlight w:val="none"/>
          <w:u w:val="single"/>
        </w:rPr>
        <w:t xml:space="preserve">  项目所在地  </w:t>
      </w:r>
      <w:r>
        <w:rPr>
          <w:rFonts w:hint="eastAsia" w:ascii="宋体" w:hAnsi="宋体" w:eastAsia="宋体" w:cs="宋体"/>
          <w:color w:val="000000"/>
          <w:sz w:val="21"/>
          <w:szCs w:val="21"/>
          <w:highlight w:val="none"/>
        </w:rPr>
        <w:t>人民法院起诉。</w:t>
      </w:r>
      <w:bookmarkEnd w:id="528"/>
      <w:bookmarkEnd w:id="529"/>
      <w:bookmarkEnd w:id="530"/>
      <w:bookmarkEnd w:id="531"/>
      <w:bookmarkEnd w:id="532"/>
      <w:bookmarkEnd w:id="533"/>
    </w:p>
    <w:p w14:paraId="0FFE661D">
      <w:pPr>
        <w:rPr>
          <w:rFonts w:hint="eastAsia" w:ascii="宋体" w:hAnsi="宋体"/>
          <w:b/>
          <w:bCs/>
          <w:sz w:val="24"/>
          <w:highlight w:val="none"/>
        </w:rPr>
      </w:pPr>
    </w:p>
    <w:p w14:paraId="216DE563">
      <w:pPr>
        <w:pStyle w:val="9"/>
        <w:rPr>
          <w:rFonts w:hint="eastAsia" w:ascii="宋体" w:hAnsi="宋体"/>
          <w:b/>
          <w:bCs/>
          <w:sz w:val="24"/>
          <w:highlight w:val="none"/>
        </w:rPr>
      </w:pPr>
    </w:p>
    <w:p w14:paraId="0B39E40F">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9"/>
        <w:rPr>
          <w:rFonts w:hint="eastAsia" w:ascii="宋体" w:hAnsi="宋体"/>
          <w:b/>
          <w:bCs/>
          <w:sz w:val="24"/>
          <w:highlight w:val="none"/>
        </w:rPr>
      </w:pPr>
      <w:r>
        <w:rPr>
          <w:rFonts w:hint="eastAsia" w:ascii="宋体" w:hAnsi="宋体"/>
          <w:b/>
          <w:bCs/>
          <w:sz w:val="24"/>
          <w:highlight w:val="none"/>
        </w:rPr>
        <w:t>附件</w:t>
      </w:r>
    </w:p>
    <w:p w14:paraId="25975069">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highlight w:val="none"/>
        </w:rPr>
      </w:pPr>
      <w:r>
        <w:rPr>
          <w:rFonts w:hint="eastAsia" w:ascii="宋体" w:hAnsi="宋体" w:eastAsia="宋体" w:cs="宋体"/>
          <w:b w:val="0"/>
          <w:bCs/>
          <w:color w:val="auto"/>
          <w:sz w:val="24"/>
          <w:highlight w:val="none"/>
        </w:rPr>
        <w:t>附件1：发包人供应材料设备一览表</w:t>
      </w:r>
    </w:p>
    <w:p w14:paraId="6BF7BDA5">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2</w:t>
      </w:r>
      <w:r>
        <w:rPr>
          <w:rFonts w:hint="eastAsia" w:ascii="宋体" w:hAnsi="宋体"/>
          <w:sz w:val="24"/>
          <w:highlight w:val="none"/>
        </w:rPr>
        <w:t>：工程质量保修书</w:t>
      </w:r>
    </w:p>
    <w:p w14:paraId="1AD52F6A">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3</w:t>
      </w:r>
      <w:r>
        <w:rPr>
          <w:rFonts w:hint="eastAsia" w:ascii="宋体" w:hAnsi="宋体"/>
          <w:sz w:val="24"/>
          <w:highlight w:val="none"/>
        </w:rPr>
        <w:t>：主要建设工程文件目录</w:t>
      </w:r>
    </w:p>
    <w:p w14:paraId="709C7B68">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4</w:t>
      </w:r>
      <w:r>
        <w:rPr>
          <w:rFonts w:hint="eastAsia" w:ascii="宋体" w:hAnsi="宋体"/>
          <w:sz w:val="24"/>
          <w:highlight w:val="none"/>
        </w:rPr>
        <w:t>：承包人用于本工程施工的机械设备表</w:t>
      </w:r>
    </w:p>
    <w:p w14:paraId="49371D5F">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5</w:t>
      </w:r>
      <w:r>
        <w:rPr>
          <w:rFonts w:hint="eastAsia" w:ascii="宋体" w:hAnsi="宋体"/>
          <w:sz w:val="24"/>
          <w:highlight w:val="none"/>
        </w:rPr>
        <w:t>：承包人主要施工管理人员表</w:t>
      </w:r>
    </w:p>
    <w:p w14:paraId="09573A3E">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6</w:t>
      </w:r>
      <w:r>
        <w:rPr>
          <w:rFonts w:hint="eastAsia" w:ascii="宋体" w:hAnsi="宋体"/>
          <w:sz w:val="24"/>
          <w:highlight w:val="none"/>
        </w:rPr>
        <w:t>：履约担保格式</w:t>
      </w:r>
    </w:p>
    <w:p w14:paraId="527B2BF0">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7</w:t>
      </w:r>
      <w:r>
        <w:rPr>
          <w:rFonts w:hint="eastAsia" w:ascii="宋体" w:hAnsi="宋体"/>
          <w:sz w:val="24"/>
          <w:highlight w:val="none"/>
        </w:rPr>
        <w:t>：预付款担保格式</w:t>
      </w:r>
    </w:p>
    <w:p w14:paraId="19DF8F23">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8</w:t>
      </w:r>
      <w:r>
        <w:rPr>
          <w:rFonts w:hint="eastAsia" w:ascii="宋体" w:hAnsi="宋体"/>
          <w:sz w:val="24"/>
          <w:highlight w:val="none"/>
        </w:rPr>
        <w:t>：支付担保格式</w:t>
      </w:r>
    </w:p>
    <w:p w14:paraId="3528CE96">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eastAsia="宋体" w:cs="宋体"/>
          <w:b w:val="0"/>
          <w:bCs/>
          <w:color w:val="auto"/>
          <w:sz w:val="24"/>
          <w:highlight w:val="none"/>
        </w:rPr>
      </w:pPr>
      <w:r>
        <w:rPr>
          <w:rFonts w:hint="eastAsia" w:ascii="宋体" w:hAnsi="宋体"/>
          <w:sz w:val="24"/>
          <w:highlight w:val="none"/>
        </w:rPr>
        <w:t>附件</w:t>
      </w:r>
      <w:r>
        <w:rPr>
          <w:rFonts w:hint="eastAsia" w:ascii="宋体" w:hAnsi="宋体"/>
          <w:sz w:val="24"/>
          <w:highlight w:val="none"/>
          <w:lang w:val="en-US" w:eastAsia="zh-CN"/>
        </w:rPr>
        <w:t>9</w:t>
      </w:r>
      <w:r>
        <w:rPr>
          <w:rFonts w:hint="eastAsia" w:ascii="宋体" w:hAnsi="宋体"/>
          <w:sz w:val="24"/>
          <w:highlight w:val="none"/>
        </w:rPr>
        <w:t>：暂估价一览表</w:t>
      </w:r>
    </w:p>
    <w:p w14:paraId="29488B2D">
      <w:pPr>
        <w:widowControl/>
        <w:spacing w:line="460" w:lineRule="exact"/>
        <w:jc w:val="left"/>
        <w:outlineLvl w:val="9"/>
        <w:rPr>
          <w:rFonts w:hint="eastAsia" w:ascii="宋体" w:hAnsi="宋体" w:eastAsia="宋体" w:cs="宋体"/>
          <w:b w:val="0"/>
          <w:bCs/>
          <w:sz w:val="24"/>
          <w:highlight w:val="none"/>
        </w:rPr>
      </w:pPr>
    </w:p>
    <w:p w14:paraId="3C7DF11E">
      <w:pPr>
        <w:pStyle w:val="18"/>
        <w:rPr>
          <w:rFonts w:hint="eastAsia" w:ascii="宋体" w:hAnsi="宋体" w:eastAsia="宋体" w:cs="宋体"/>
          <w:b w:val="0"/>
          <w:bCs/>
          <w:sz w:val="24"/>
          <w:highlight w:val="none"/>
        </w:rPr>
      </w:pPr>
    </w:p>
    <w:p w14:paraId="45B13EE8">
      <w:pPr>
        <w:pStyle w:val="18"/>
        <w:ind w:left="0" w:leftChars="0" w:firstLine="0" w:firstLineChars="0"/>
        <w:rPr>
          <w:rFonts w:hint="eastAsia" w:ascii="宋体" w:hAnsi="宋体" w:eastAsia="宋体" w:cs="宋体"/>
          <w:b/>
          <w:bCs w:val="0"/>
          <w:sz w:val="21"/>
          <w:szCs w:val="21"/>
          <w:highlight w:val="none"/>
        </w:rPr>
      </w:pPr>
      <w:r>
        <w:rPr>
          <w:rFonts w:hint="eastAsia" w:ascii="宋体" w:hAnsi="宋体" w:eastAsia="宋体" w:cs="宋体"/>
          <w:b/>
          <w:bCs w:val="0"/>
          <w:sz w:val="21"/>
          <w:szCs w:val="21"/>
          <w:highlight w:val="none"/>
        </w:rPr>
        <w:t>注：采购人应当自</w:t>
      </w:r>
      <w:r>
        <w:rPr>
          <w:rFonts w:hint="eastAsia" w:ascii="宋体" w:hAnsi="宋体" w:eastAsia="宋体" w:cs="宋体"/>
          <w:b/>
          <w:bCs w:val="0"/>
          <w:sz w:val="21"/>
          <w:szCs w:val="21"/>
          <w:highlight w:val="none"/>
          <w:lang w:val="en-US" w:eastAsia="zh-CN"/>
        </w:rPr>
        <w:t>成交</w:t>
      </w:r>
      <w:r>
        <w:rPr>
          <w:rFonts w:hint="eastAsia" w:ascii="宋体" w:hAnsi="宋体" w:eastAsia="宋体" w:cs="宋体"/>
          <w:b/>
          <w:bCs w:val="0"/>
          <w:sz w:val="21"/>
          <w:szCs w:val="21"/>
          <w:highlight w:val="none"/>
        </w:rPr>
        <w:t>通知书发出之日起</w:t>
      </w:r>
      <w:r>
        <w:rPr>
          <w:rFonts w:hint="eastAsia" w:ascii="宋体" w:hAnsi="宋体" w:cs="宋体"/>
          <w:b/>
          <w:bCs w:val="0"/>
          <w:sz w:val="21"/>
          <w:szCs w:val="21"/>
          <w:highlight w:val="none"/>
          <w:lang w:val="en-US" w:eastAsia="zh-CN"/>
        </w:rPr>
        <w:t>25</w:t>
      </w:r>
      <w:r>
        <w:rPr>
          <w:rFonts w:hint="eastAsia" w:ascii="宋体" w:hAnsi="宋体" w:eastAsia="宋体" w:cs="宋体"/>
          <w:b/>
          <w:bCs w:val="0"/>
          <w:sz w:val="21"/>
          <w:szCs w:val="21"/>
          <w:highlight w:val="none"/>
        </w:rPr>
        <w:t>日内与</w:t>
      </w:r>
      <w:r>
        <w:rPr>
          <w:rFonts w:hint="eastAsia" w:ascii="宋体" w:hAnsi="宋体" w:eastAsia="宋体" w:cs="宋体"/>
          <w:b/>
          <w:bCs w:val="0"/>
          <w:sz w:val="21"/>
          <w:szCs w:val="21"/>
          <w:highlight w:val="none"/>
          <w:lang w:val="en-US" w:eastAsia="zh-CN"/>
        </w:rPr>
        <w:t>成交供应商</w:t>
      </w:r>
      <w:r>
        <w:rPr>
          <w:rFonts w:hint="eastAsia" w:ascii="宋体" w:hAnsi="宋体" w:eastAsia="宋体" w:cs="宋体"/>
          <w:b/>
          <w:bCs w:val="0"/>
          <w:sz w:val="21"/>
          <w:szCs w:val="21"/>
          <w:highlight w:val="none"/>
        </w:rPr>
        <w:t>签订合同，且在合同签订后2个工作日内将此合同在陕西省政府采购网进行公示。</w:t>
      </w:r>
    </w:p>
    <w:p w14:paraId="30445DA4">
      <w:pPr>
        <w:pStyle w:val="16"/>
        <w:rPr>
          <w:rFonts w:hint="eastAsia" w:ascii="宋体" w:hAnsi="宋体" w:eastAsia="宋体" w:cs="宋体"/>
          <w:b/>
          <w:bCs w:val="0"/>
          <w:sz w:val="21"/>
          <w:szCs w:val="21"/>
          <w:highlight w:val="none"/>
        </w:rPr>
      </w:pPr>
    </w:p>
    <w:p w14:paraId="63EDC283">
      <w:pPr>
        <w:rPr>
          <w:rFonts w:hint="eastAsia"/>
        </w:rPr>
        <w:sectPr>
          <w:headerReference r:id="rId6" w:type="first"/>
          <w:headerReference r:id="rId5" w:type="default"/>
          <w:footerReference r:id="rId7" w:type="default"/>
          <w:pgSz w:w="11906" w:h="16838"/>
          <w:pgMar w:top="1418" w:right="1555" w:bottom="1418" w:left="1531"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14:paraId="2E265553">
      <w:pPr>
        <w:spacing w:line="440" w:lineRule="exact"/>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附件1：</w:t>
      </w:r>
    </w:p>
    <w:p w14:paraId="56D2AE0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发包人供应材料设备一览表</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149"/>
        <w:gridCol w:w="758"/>
        <w:gridCol w:w="709"/>
        <w:gridCol w:w="816"/>
        <w:gridCol w:w="751"/>
        <w:gridCol w:w="729"/>
        <w:gridCol w:w="1215"/>
        <w:gridCol w:w="851"/>
      </w:tblGrid>
      <w:tr w14:paraId="421E10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70C640A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序号</w:t>
            </w:r>
          </w:p>
        </w:tc>
        <w:tc>
          <w:tcPr>
            <w:tcW w:w="1276" w:type="dxa"/>
            <w:tcBorders>
              <w:top w:val="single" w:color="auto" w:sz="12" w:space="0"/>
              <w:bottom w:val="double" w:color="auto" w:sz="6" w:space="0"/>
            </w:tcBorders>
            <w:noWrap w:val="0"/>
            <w:vAlign w:val="center"/>
          </w:tcPr>
          <w:p w14:paraId="5D0BFA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材料、</w:t>
            </w:r>
          </w:p>
          <w:p w14:paraId="0B19176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设备品种</w:t>
            </w:r>
          </w:p>
        </w:tc>
        <w:tc>
          <w:tcPr>
            <w:tcW w:w="1149" w:type="dxa"/>
            <w:tcBorders>
              <w:top w:val="single" w:color="auto" w:sz="12" w:space="0"/>
              <w:bottom w:val="double" w:color="auto" w:sz="6" w:space="0"/>
            </w:tcBorders>
            <w:noWrap w:val="0"/>
            <w:vAlign w:val="center"/>
          </w:tcPr>
          <w:p w14:paraId="3C45E3F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规格型号</w:t>
            </w:r>
          </w:p>
        </w:tc>
        <w:tc>
          <w:tcPr>
            <w:tcW w:w="758" w:type="dxa"/>
            <w:tcBorders>
              <w:top w:val="single" w:color="auto" w:sz="12" w:space="0"/>
              <w:bottom w:val="double" w:color="auto" w:sz="6" w:space="0"/>
            </w:tcBorders>
            <w:noWrap w:val="0"/>
            <w:vAlign w:val="center"/>
          </w:tcPr>
          <w:p w14:paraId="3C7A4AC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单位</w:t>
            </w:r>
          </w:p>
        </w:tc>
        <w:tc>
          <w:tcPr>
            <w:tcW w:w="709" w:type="dxa"/>
            <w:tcBorders>
              <w:top w:val="single" w:color="auto" w:sz="12" w:space="0"/>
              <w:bottom w:val="double" w:color="auto" w:sz="6" w:space="0"/>
            </w:tcBorders>
            <w:noWrap w:val="0"/>
            <w:vAlign w:val="center"/>
          </w:tcPr>
          <w:p w14:paraId="3B26863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数量</w:t>
            </w:r>
          </w:p>
        </w:tc>
        <w:tc>
          <w:tcPr>
            <w:tcW w:w="816" w:type="dxa"/>
            <w:tcBorders>
              <w:top w:val="single" w:color="auto" w:sz="12" w:space="0"/>
              <w:bottom w:val="double" w:color="auto" w:sz="6" w:space="0"/>
            </w:tcBorders>
            <w:noWrap w:val="0"/>
            <w:vAlign w:val="center"/>
          </w:tcPr>
          <w:p w14:paraId="6631240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单价（元）</w:t>
            </w:r>
          </w:p>
        </w:tc>
        <w:tc>
          <w:tcPr>
            <w:tcW w:w="751" w:type="dxa"/>
            <w:tcBorders>
              <w:top w:val="single" w:color="auto" w:sz="12" w:space="0"/>
              <w:bottom w:val="double" w:color="auto" w:sz="6" w:space="0"/>
            </w:tcBorders>
            <w:noWrap w:val="0"/>
            <w:vAlign w:val="center"/>
          </w:tcPr>
          <w:p w14:paraId="2A5B704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质量</w:t>
            </w:r>
          </w:p>
          <w:p w14:paraId="6B4A1E1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等级</w:t>
            </w:r>
          </w:p>
        </w:tc>
        <w:tc>
          <w:tcPr>
            <w:tcW w:w="729" w:type="dxa"/>
            <w:tcBorders>
              <w:top w:val="single" w:color="auto" w:sz="12" w:space="0"/>
              <w:bottom w:val="double" w:color="auto" w:sz="6" w:space="0"/>
            </w:tcBorders>
            <w:noWrap w:val="0"/>
            <w:vAlign w:val="center"/>
          </w:tcPr>
          <w:p w14:paraId="46219EF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供应时间</w:t>
            </w:r>
          </w:p>
        </w:tc>
        <w:tc>
          <w:tcPr>
            <w:tcW w:w="1215" w:type="dxa"/>
            <w:tcBorders>
              <w:top w:val="single" w:color="auto" w:sz="12" w:space="0"/>
              <w:bottom w:val="double" w:color="auto" w:sz="6" w:space="0"/>
            </w:tcBorders>
            <w:noWrap w:val="0"/>
            <w:vAlign w:val="center"/>
          </w:tcPr>
          <w:p w14:paraId="37F2F3E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送达地点</w:t>
            </w:r>
          </w:p>
        </w:tc>
        <w:tc>
          <w:tcPr>
            <w:tcW w:w="851" w:type="dxa"/>
            <w:tcBorders>
              <w:top w:val="single" w:color="auto" w:sz="12" w:space="0"/>
              <w:bottom w:val="double" w:color="auto" w:sz="6" w:space="0"/>
            </w:tcBorders>
            <w:noWrap w:val="0"/>
            <w:vAlign w:val="center"/>
          </w:tcPr>
          <w:p w14:paraId="383D46C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备注</w:t>
            </w:r>
          </w:p>
        </w:tc>
      </w:tr>
      <w:tr w14:paraId="63F27B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1445F34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double" w:color="auto" w:sz="6" w:space="0"/>
              <w:bottom w:val="single" w:color="auto" w:sz="6" w:space="0"/>
            </w:tcBorders>
            <w:noWrap w:val="0"/>
            <w:vAlign w:val="center"/>
          </w:tcPr>
          <w:p w14:paraId="7830CB8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tcBorders>
              <w:top w:val="double" w:color="auto" w:sz="6" w:space="0"/>
              <w:bottom w:val="single" w:color="auto" w:sz="6" w:space="0"/>
            </w:tcBorders>
            <w:noWrap w:val="0"/>
            <w:vAlign w:val="center"/>
          </w:tcPr>
          <w:p w14:paraId="4573602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tcBorders>
              <w:top w:val="double" w:color="auto" w:sz="6" w:space="0"/>
              <w:bottom w:val="single" w:color="auto" w:sz="6" w:space="0"/>
            </w:tcBorders>
            <w:noWrap w:val="0"/>
            <w:vAlign w:val="center"/>
          </w:tcPr>
          <w:p w14:paraId="5512291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tcBorders>
              <w:top w:val="double" w:color="auto" w:sz="6" w:space="0"/>
              <w:bottom w:val="single" w:color="auto" w:sz="6" w:space="0"/>
            </w:tcBorders>
            <w:noWrap w:val="0"/>
            <w:vAlign w:val="center"/>
          </w:tcPr>
          <w:p w14:paraId="5227A5E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tcBorders>
              <w:top w:val="double" w:color="auto" w:sz="6" w:space="0"/>
              <w:bottom w:val="single" w:color="auto" w:sz="6" w:space="0"/>
            </w:tcBorders>
            <w:noWrap w:val="0"/>
            <w:vAlign w:val="center"/>
          </w:tcPr>
          <w:p w14:paraId="762C39C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tcBorders>
              <w:top w:val="double" w:color="auto" w:sz="6" w:space="0"/>
              <w:bottom w:val="single" w:color="auto" w:sz="6" w:space="0"/>
            </w:tcBorders>
            <w:noWrap w:val="0"/>
            <w:vAlign w:val="center"/>
          </w:tcPr>
          <w:p w14:paraId="3B57CEF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tcBorders>
              <w:top w:val="double" w:color="auto" w:sz="6" w:space="0"/>
              <w:bottom w:val="single" w:color="auto" w:sz="6" w:space="0"/>
            </w:tcBorders>
            <w:noWrap w:val="0"/>
            <w:vAlign w:val="center"/>
          </w:tcPr>
          <w:p w14:paraId="793CBB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tcBorders>
              <w:top w:val="double" w:color="auto" w:sz="6" w:space="0"/>
              <w:bottom w:val="single" w:color="auto" w:sz="6" w:space="0"/>
            </w:tcBorders>
            <w:noWrap w:val="0"/>
            <w:vAlign w:val="center"/>
          </w:tcPr>
          <w:p w14:paraId="66876A0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double" w:color="auto" w:sz="6" w:space="0"/>
              <w:bottom w:val="single" w:color="auto" w:sz="6" w:space="0"/>
            </w:tcBorders>
            <w:noWrap w:val="0"/>
            <w:vAlign w:val="center"/>
          </w:tcPr>
          <w:p w14:paraId="0CB1F1B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CC9AE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187BE6A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nil"/>
            </w:tcBorders>
            <w:noWrap w:val="0"/>
            <w:vAlign w:val="center"/>
          </w:tcPr>
          <w:p w14:paraId="2FDDE2F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tcBorders>
              <w:top w:val="nil"/>
            </w:tcBorders>
            <w:noWrap w:val="0"/>
            <w:vAlign w:val="center"/>
          </w:tcPr>
          <w:p w14:paraId="7D556F3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tcBorders>
              <w:top w:val="nil"/>
            </w:tcBorders>
            <w:noWrap w:val="0"/>
            <w:vAlign w:val="center"/>
          </w:tcPr>
          <w:p w14:paraId="196E309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tcBorders>
              <w:top w:val="nil"/>
            </w:tcBorders>
            <w:noWrap w:val="0"/>
            <w:vAlign w:val="center"/>
          </w:tcPr>
          <w:p w14:paraId="76B4C52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tcBorders>
              <w:top w:val="nil"/>
            </w:tcBorders>
            <w:noWrap w:val="0"/>
            <w:vAlign w:val="center"/>
          </w:tcPr>
          <w:p w14:paraId="3E0A935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tcBorders>
              <w:top w:val="nil"/>
            </w:tcBorders>
            <w:noWrap w:val="0"/>
            <w:vAlign w:val="center"/>
          </w:tcPr>
          <w:p w14:paraId="74DEF8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tcBorders>
              <w:top w:val="nil"/>
            </w:tcBorders>
            <w:noWrap w:val="0"/>
            <w:vAlign w:val="center"/>
          </w:tcPr>
          <w:p w14:paraId="493FFFC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tcBorders>
              <w:top w:val="nil"/>
            </w:tcBorders>
            <w:noWrap w:val="0"/>
            <w:vAlign w:val="center"/>
          </w:tcPr>
          <w:p w14:paraId="2B4CC1C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nil"/>
            </w:tcBorders>
            <w:noWrap w:val="0"/>
            <w:vAlign w:val="center"/>
          </w:tcPr>
          <w:p w14:paraId="2EBF45D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1FBBB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7C15D9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3EF6249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070F4A0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44E5C3A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5F99F81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2C59915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5CF558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429F96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35BF67A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198EC3E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4A0E2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D08FED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296C70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42D40E9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6DD81C3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2C2DCB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1841408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02D6D58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6DFAF5D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6A9C55A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330756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8D029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D1C48E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222AEBC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05FF323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3097702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49BC6E7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46EE533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3A2F71C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411752F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57D9943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37FC8C7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8F135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8A2A10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2B6C479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01B261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0219DD4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0E34C5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62105AD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5A91A2C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5BAD551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1E9DD0F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3DEA88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82998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0A0432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4C605DE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2D3E091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638407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6FAB28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0C2AB87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14BA24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5DD6809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7B171EE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5F1A262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A1732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691571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784BCE7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23DCFD0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60122F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02BB633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334FB6B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42E7F0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7DE5104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3DA8775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5F3F5C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A6C44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BCDE29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6A6513A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7746981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2EC6958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6DA35BE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445C57E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2E0F71A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525B0B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7C87A9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756DBC2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3AE80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10930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25BE076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354991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0D0854B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02FF36F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168E0C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1F8B829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559FCFC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74C102B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3958830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656B1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90614F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32C8E0D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0304F1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5D2E72E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77B28FF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1DA185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39A1320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013F9B1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7B9870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39E1E51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27EF3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2B917B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0EFFD66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6B5C8A2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549FE3C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1758D30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657AFBC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70F83D3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743156D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05856EF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6E567D0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3DF6E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7F4742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368A398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42FCA54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16A8E7D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76B6377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552AE45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4F95043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0C5BD6D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1BD1157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12B9ED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8068B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6E2C96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1D51EA1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4E2EA5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22C2A9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04C2B76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234EE81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1677E00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1B1624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576771D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1F98ADB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AB443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197A7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406DF1B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55F923F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3201E67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4060987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1FDC505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394D3BF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215F01E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0BDAC2B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626157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EA64F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0F5999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2B4C77B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730BC0F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06AE49A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6467A86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3EF73EE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3649D7A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4F53859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175BD8D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0256165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CE946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814418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444CB4C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58FA704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11D554B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07734C4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268DA92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6A0608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5D3BF37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5BDB17C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68B5B81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48440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A752AF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4E31309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0949CD7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1B47AF4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5E19A88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48A12E6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288A87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3EE017C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37CD8F6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75FEAE4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bl>
    <w:p w14:paraId="3F31DA18">
      <w:pPr>
        <w:spacing w:line="440" w:lineRule="exact"/>
        <w:outlineLvl w:val="9"/>
        <w:rPr>
          <w:rFonts w:hint="eastAsia" w:ascii="宋体" w:hAnsi="宋体" w:eastAsia="宋体" w:cs="宋体"/>
          <w:b w:val="0"/>
          <w:bCs/>
          <w:sz w:val="24"/>
          <w:highlight w:val="none"/>
        </w:rPr>
      </w:pPr>
    </w:p>
    <w:p w14:paraId="01E1AF2F">
      <w:pPr>
        <w:spacing w:line="440" w:lineRule="exact"/>
        <w:ind w:left="0" w:leftChars="0" w:firstLine="0" w:firstLineChars="0"/>
        <w:outlineLvl w:val="9"/>
        <w:rPr>
          <w:rFonts w:hint="eastAsia" w:ascii="宋体" w:hAnsi="宋体"/>
          <w:sz w:val="24"/>
          <w:highlight w:val="none"/>
        </w:rPr>
      </w:pPr>
    </w:p>
    <w:p w14:paraId="58837729">
      <w:pPr>
        <w:spacing w:line="440" w:lineRule="exact"/>
        <w:outlineLvl w:val="9"/>
        <w:rPr>
          <w:rFonts w:ascii="宋体" w:hAnsi="宋体"/>
          <w:sz w:val="24"/>
          <w:highlight w:val="none"/>
        </w:rPr>
      </w:pPr>
      <w:r>
        <w:rPr>
          <w:rFonts w:hint="eastAsia" w:ascii="宋体" w:hAnsi="宋体"/>
          <w:sz w:val="24"/>
          <w:highlight w:val="none"/>
        </w:rPr>
        <w:t>附</w:t>
      </w:r>
      <w:bookmarkStart w:id="540" w:name="_Toc296346726"/>
      <w:bookmarkEnd w:id="540"/>
      <w:bookmarkStart w:id="541" w:name="_Toc296944564"/>
      <w:bookmarkEnd w:id="541"/>
      <w:bookmarkStart w:id="542" w:name="_Toc296347224"/>
      <w:bookmarkEnd w:id="542"/>
      <w:bookmarkStart w:id="543" w:name="_Toc296891265"/>
      <w:bookmarkEnd w:id="543"/>
      <w:bookmarkStart w:id="544" w:name="_Toc267261692"/>
      <w:bookmarkEnd w:id="544"/>
      <w:bookmarkStart w:id="545" w:name="_Toc296891053"/>
      <w:bookmarkEnd w:id="545"/>
      <w:bookmarkStart w:id="546" w:name="_Toc296503225"/>
      <w:r>
        <w:rPr>
          <w:rFonts w:hint="eastAsia" w:ascii="宋体" w:hAnsi="宋体"/>
          <w:sz w:val="24"/>
          <w:highlight w:val="none"/>
        </w:rPr>
        <w:t>件</w:t>
      </w:r>
      <w:bookmarkEnd w:id="546"/>
      <w:r>
        <w:rPr>
          <w:rFonts w:hint="eastAsia" w:ascii="宋体" w:hAnsi="宋体"/>
          <w:sz w:val="24"/>
          <w:highlight w:val="none"/>
          <w:lang w:val="en-US" w:eastAsia="zh-CN"/>
        </w:rPr>
        <w:t>2</w:t>
      </w:r>
      <w:r>
        <w:rPr>
          <w:rFonts w:hint="eastAsia" w:ascii="宋体" w:hAnsi="宋体"/>
          <w:sz w:val="24"/>
          <w:highlight w:val="none"/>
        </w:rPr>
        <w:t>：</w:t>
      </w:r>
      <w:r>
        <w:rPr>
          <w:rFonts w:ascii="宋体" w:hAnsi="宋体"/>
          <w:sz w:val="24"/>
          <w:highlight w:val="none"/>
        </w:rPr>
        <w:t xml:space="preserve">  </w:t>
      </w:r>
    </w:p>
    <w:p w14:paraId="0B7246AE">
      <w:pPr>
        <w:keepNext w:val="0"/>
        <w:keepLines w:val="0"/>
        <w:pageBreakBefore w:val="0"/>
        <w:kinsoku/>
        <w:wordWrap/>
        <w:overflowPunct/>
        <w:topLinePunct w:val="0"/>
        <w:autoSpaceDE/>
        <w:autoSpaceDN/>
        <w:bidi w:val="0"/>
        <w:adjustRightInd/>
        <w:spacing w:before="0" w:beforeLines="0" w:after="0" w:afterLines="0" w:line="360" w:lineRule="auto"/>
        <w:jc w:val="center"/>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工程质量保修书</w:t>
      </w:r>
    </w:p>
    <w:p w14:paraId="4C0EEE9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u w:val="single"/>
          <w:lang w:eastAsia="zh-CN"/>
        </w:rPr>
      </w:pPr>
      <w:r>
        <w:rPr>
          <w:rFonts w:hint="eastAsia" w:ascii="宋体" w:hAnsi="宋体" w:eastAsia="宋体" w:cs="宋体"/>
          <w:color w:val="000000"/>
          <w:sz w:val="24"/>
          <w:szCs w:val="24"/>
          <w:highlight w:val="none"/>
        </w:rPr>
        <w:t>发包人（全称）：</w:t>
      </w:r>
      <w:r>
        <w:rPr>
          <w:rFonts w:hint="eastAsia" w:ascii="宋体" w:hAnsi="宋体" w:cs="宋体"/>
          <w:color w:val="000000"/>
          <w:sz w:val="24"/>
          <w:szCs w:val="24"/>
          <w:highlight w:val="none"/>
          <w:u w:val="single"/>
          <w:lang w:eastAsia="zh-CN"/>
        </w:rPr>
        <w:t>佛坪县河道管理站(县水政水资源管理办公室）</w:t>
      </w:r>
    </w:p>
    <w:p w14:paraId="3557258B">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承包人（全称）：</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5FC9652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发包人和承包人根据《中华人民共和国建筑法》和《建设工程质量管理条例》，经协商一致就</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（工程全称）签订工程质量保修书。</w:t>
      </w:r>
    </w:p>
    <w:p w14:paraId="1830B72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一、工程质量保修范围和内容</w:t>
      </w:r>
    </w:p>
    <w:p w14:paraId="52D3AA0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承包人在质量保修期内，按照有关法律规定和合同约定，承担工程质量保修责任。</w:t>
      </w:r>
    </w:p>
    <w:p w14:paraId="1280286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具体保修的内容，双方约定如下：</w:t>
      </w:r>
    </w:p>
    <w:p w14:paraId="5358968A">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u w:val="single"/>
        </w:rPr>
        <w:t>对承包人承包施工的内容进行保修，凡属承包人施工质量问题引起的维修，均由承包人负责保修</w:t>
      </w:r>
      <w:r>
        <w:rPr>
          <w:rFonts w:hint="eastAsia" w:ascii="宋体" w:hAnsi="宋体" w:eastAsia="宋体" w:cs="宋体"/>
          <w:color w:val="000000"/>
          <w:sz w:val="24"/>
          <w:szCs w:val="24"/>
          <w:highlight w:val="none"/>
        </w:rPr>
        <w:t>。</w:t>
      </w:r>
    </w:p>
    <w:p w14:paraId="124547F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二、质量保修期</w:t>
      </w:r>
    </w:p>
    <w:p w14:paraId="45A8913A">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根据《建设工程质量管理条例》及有关规定，工程的质量保修期如下：</w:t>
      </w:r>
    </w:p>
    <w:p w14:paraId="58751CC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1</w:t>
      </w:r>
      <w:r>
        <w:rPr>
          <w:rFonts w:hint="eastAsia" w:ascii="宋体" w:hAnsi="宋体" w:eastAsia="宋体" w:cs="宋体"/>
          <w:color w:val="000000"/>
          <w:sz w:val="24"/>
          <w:szCs w:val="24"/>
          <w:highlight w:val="none"/>
        </w:rPr>
        <w:t>．屋面防水工程、有防水要求的卫生间、房间和外墙面的防渗为</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p>
    <w:p w14:paraId="04C6CF48">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default" w:ascii="宋体" w:hAnsi="宋体" w:cs="宋体"/>
          <w:color w:val="000000"/>
          <w:sz w:val="24"/>
          <w:szCs w:val="24"/>
          <w:highlight w:val="none"/>
          <w:lang w:val="en-US"/>
        </w:rPr>
        <w:t>2</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装修工程为</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p>
    <w:p w14:paraId="641889F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default" w:ascii="宋体" w:hAnsi="宋体" w:cs="宋体"/>
          <w:color w:val="000000"/>
          <w:sz w:val="24"/>
          <w:szCs w:val="24"/>
          <w:highlight w:val="none"/>
          <w:lang w:val="en-US"/>
        </w:rPr>
        <w:t>3</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电气管线、给排水管道、设备安装工程为</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p>
    <w:p w14:paraId="2061E93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default" w:ascii="宋体" w:hAnsi="宋体" w:cs="宋体"/>
          <w:color w:val="000000"/>
          <w:sz w:val="24"/>
          <w:szCs w:val="24"/>
          <w:highlight w:val="none"/>
          <w:lang w:val="en-US"/>
        </w:rPr>
        <w:t>4</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供热与供冷系统为</w:t>
      </w:r>
      <w:r>
        <w:rPr>
          <w:rFonts w:hint="eastAsia" w:ascii="宋体" w:hAnsi="宋体" w:eastAsia="宋体" w:cs="宋体"/>
          <w:color w:val="000000"/>
          <w:sz w:val="24"/>
          <w:szCs w:val="24"/>
          <w:highlight w:val="none"/>
          <w:u w:val="single"/>
        </w:rPr>
        <w:t xml:space="preserve"> </w:t>
      </w:r>
      <w:r>
        <w:rPr>
          <w:rFonts w:hint="default" w:ascii="宋体" w:hAnsi="宋体" w:cs="宋体"/>
          <w:color w:val="000000"/>
          <w:sz w:val="24"/>
          <w:szCs w:val="24"/>
          <w:highlight w:val="none"/>
          <w:u w:val="single"/>
          <w:lang w:val="en-US" w:eastAsia="zh-CN"/>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个采暖期、供冷期；</w:t>
      </w:r>
    </w:p>
    <w:p w14:paraId="1BF5C0F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default" w:ascii="宋体" w:hAnsi="宋体" w:cs="宋体"/>
          <w:color w:val="000000"/>
          <w:sz w:val="24"/>
          <w:szCs w:val="24"/>
          <w:highlight w:val="none"/>
          <w:lang w:val="en-US"/>
        </w:rPr>
        <w:t>5</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住宅小区内的给排水设施、道路等配套工程为</w:t>
      </w:r>
      <w:r>
        <w:rPr>
          <w:rFonts w:hint="eastAsia" w:ascii="宋体" w:hAnsi="宋体" w:eastAsia="宋体" w:cs="宋体"/>
          <w:color w:val="000000"/>
          <w:sz w:val="24"/>
          <w:szCs w:val="24"/>
          <w:highlight w:val="none"/>
          <w:u w:val="single"/>
        </w:rPr>
        <w:t xml:space="preserve">  </w:t>
      </w:r>
      <w:r>
        <w:rPr>
          <w:rFonts w:hint="default" w:ascii="宋体" w:hAnsi="宋体" w:cs="宋体"/>
          <w:color w:val="000000"/>
          <w:sz w:val="24"/>
          <w:szCs w:val="24"/>
          <w:highlight w:val="none"/>
          <w:u w:val="single"/>
          <w:lang w:val="en-US" w:eastAsia="zh-CN"/>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p>
    <w:p w14:paraId="61256E3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default" w:ascii="宋体" w:hAnsi="宋体" w:cs="宋体"/>
          <w:color w:val="000000"/>
          <w:sz w:val="24"/>
          <w:szCs w:val="24"/>
          <w:highlight w:val="none"/>
          <w:lang w:val="en-US"/>
        </w:rPr>
        <w:t>6</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其他项目保修期限约定如下：</w:t>
      </w:r>
      <w:r>
        <w:rPr>
          <w:rFonts w:hint="eastAsia" w:ascii="宋体" w:hAnsi="宋体" w:eastAsia="宋体" w:cs="宋体"/>
          <w:color w:val="000000"/>
          <w:sz w:val="24"/>
          <w:szCs w:val="24"/>
          <w:highlight w:val="none"/>
          <w:u w:val="single"/>
        </w:rPr>
        <w:t xml:space="preserve"> 质保期不少于1年 </w:t>
      </w:r>
      <w:bookmarkStart w:id="547" w:name="_GoBack"/>
      <w:bookmarkEnd w:id="547"/>
      <w:r>
        <w:rPr>
          <w:rFonts w:hint="eastAsia" w:ascii="宋体" w:hAnsi="宋体" w:eastAsia="宋体" w:cs="宋体"/>
          <w:color w:val="000000"/>
          <w:sz w:val="24"/>
          <w:szCs w:val="24"/>
          <w:highlight w:val="none"/>
        </w:rPr>
        <w:t>。</w:t>
      </w:r>
    </w:p>
    <w:p w14:paraId="637E9D3A">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质量保修期自工程竣工验收合格之日起计算。</w:t>
      </w:r>
    </w:p>
    <w:p w14:paraId="520C0688">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三、缺陷责任期</w:t>
      </w:r>
    </w:p>
    <w:p w14:paraId="5BB5CBB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工程缺陷责任期为</w:t>
      </w:r>
      <w:r>
        <w:rPr>
          <w:rFonts w:hint="eastAsia" w:ascii="宋体" w:hAnsi="宋体" w:eastAsia="宋体" w:cs="宋体"/>
          <w:color w:val="000000"/>
          <w:sz w:val="24"/>
          <w:szCs w:val="24"/>
          <w:highlight w:val="none"/>
          <w:u w:val="single"/>
        </w:rPr>
        <w:t xml:space="preserve"> </w:t>
      </w:r>
      <w:r>
        <w:rPr>
          <w:rFonts w:hint="default" w:ascii="宋体" w:hAnsi="宋体" w:cs="宋体"/>
          <w:color w:val="000000"/>
          <w:sz w:val="24"/>
          <w:szCs w:val="24"/>
          <w:highlight w:val="none"/>
          <w:u w:val="single"/>
          <w:lang w:val="en-US"/>
        </w:rPr>
        <w:t xml:space="preserve">            </w:t>
      </w:r>
      <w:r>
        <w:rPr>
          <w:rFonts w:hint="eastAsia" w:ascii="宋体" w:hAnsi="宋体" w:eastAsia="宋体" w:cs="宋体"/>
          <w:color w:val="000000"/>
          <w:sz w:val="24"/>
          <w:szCs w:val="24"/>
          <w:highlight w:val="none"/>
        </w:rPr>
        <w:t>个月，缺陷责任期自工程通过竣工验收之日起计算。单位工程先于全部工程进行验收，单位工程缺陷责任期自单位工程验收合格之日起算。</w:t>
      </w:r>
    </w:p>
    <w:p w14:paraId="1A0C939B">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缺陷责任期终止后，发包人应</w:t>
      </w:r>
      <w:r>
        <w:rPr>
          <w:rFonts w:hint="eastAsia" w:ascii="宋体" w:hAnsi="宋体" w:eastAsia="宋体" w:cs="宋体"/>
          <w:color w:val="000000"/>
          <w:sz w:val="24"/>
          <w:szCs w:val="24"/>
          <w:highlight w:val="none"/>
          <w:lang w:val="en-US" w:eastAsia="zh-CN"/>
        </w:rPr>
        <w:t>无息</w:t>
      </w:r>
      <w:r>
        <w:rPr>
          <w:rFonts w:hint="eastAsia" w:ascii="宋体" w:hAnsi="宋体" w:eastAsia="宋体" w:cs="宋体"/>
          <w:color w:val="000000"/>
          <w:sz w:val="24"/>
          <w:szCs w:val="24"/>
          <w:highlight w:val="none"/>
        </w:rPr>
        <w:t>退还剩余的质量保证金。</w:t>
      </w:r>
    </w:p>
    <w:p w14:paraId="5E09C72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四、质量保修责任</w:t>
      </w:r>
    </w:p>
    <w:p w14:paraId="143D7CC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140" w:leftChars="50" w:firstLine="491" w:firstLineChars="205"/>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属于保修范围、内容的项目，承包人应当在接到保修通知之日起7天内派人保修。承包人不在约定期限内派人保修的，发包人可以委托他人修理。</w:t>
      </w:r>
    </w:p>
    <w:p w14:paraId="2BFB47BA">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140" w:leftChars="50" w:firstLine="491" w:firstLineChars="205"/>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发生紧急事故需抢修的，承包人在接到事故通知后，应当立即到达事故现场抢修。</w:t>
      </w:r>
    </w:p>
    <w:p w14:paraId="39140C7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140" w:leftChars="50" w:firstLine="491" w:firstLineChars="205"/>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121990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560" w:leftChars="200" w:firstLine="120" w:firstLineChars="5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质量保修完成后，由发包人组织验收。</w:t>
      </w:r>
    </w:p>
    <w:p w14:paraId="33204EEA">
      <w:pPr>
        <w:keepNext w:val="0"/>
        <w:keepLines w:val="0"/>
        <w:pageBreakBefore w:val="0"/>
        <w:widowControl/>
        <w:kinsoku/>
        <w:wordWrap/>
        <w:overflowPunct/>
        <w:topLinePunct w:val="0"/>
        <w:autoSpaceDE/>
        <w:autoSpaceDN/>
        <w:bidi w:val="0"/>
        <w:adjustRightInd/>
        <w:snapToGrid w:val="0"/>
        <w:spacing w:before="0" w:beforeLines="0" w:after="0" w:afterLines="0" w:line="360" w:lineRule="auto"/>
        <w:ind w:left="2430" w:leftChars="225" w:hanging="1800" w:hangingChars="750"/>
        <w:textAlignment w:val="auto"/>
        <w:outlineLvl w:val="9"/>
        <w:rPr>
          <w:rFonts w:hint="eastAsia" w:ascii="宋体" w:hAnsi="宋体" w:eastAsia="宋体" w:cs="Times New Roman"/>
          <w:sz w:val="24"/>
          <w:highlight w:val="none"/>
        </w:rPr>
      </w:pPr>
      <w:r>
        <w:rPr>
          <w:rFonts w:hint="eastAsia" w:ascii="宋体" w:hAnsi="宋体" w:eastAsia="宋体" w:cs="Times New Roman"/>
          <w:sz w:val="24"/>
          <w:highlight w:val="none"/>
        </w:rPr>
        <w:t>五、保修费用</w:t>
      </w:r>
    </w:p>
    <w:p w14:paraId="1BD9F18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保修费用由造成质量缺陷的责任方承担。</w:t>
      </w:r>
    </w:p>
    <w:p w14:paraId="4DC4E4EE">
      <w:pPr>
        <w:keepNext w:val="0"/>
        <w:keepLines w:val="0"/>
        <w:pageBreakBefore w:val="0"/>
        <w:widowControl/>
        <w:kinsoku/>
        <w:wordWrap/>
        <w:overflowPunct/>
        <w:topLinePunct w:val="0"/>
        <w:autoSpaceDE/>
        <w:autoSpaceDN/>
        <w:bidi w:val="0"/>
        <w:adjustRightInd/>
        <w:snapToGrid w:val="0"/>
        <w:spacing w:before="0" w:beforeLines="0" w:after="0" w:afterLines="0" w:line="360" w:lineRule="auto"/>
        <w:ind w:left="2430" w:leftChars="225" w:hanging="1800" w:hangingChars="750"/>
        <w:textAlignment w:val="auto"/>
        <w:outlineLvl w:val="9"/>
        <w:rPr>
          <w:rFonts w:hint="eastAsia" w:ascii="宋体" w:hAnsi="宋体" w:cs="宋体"/>
          <w:sz w:val="24"/>
          <w:highlight w:val="none"/>
        </w:rPr>
      </w:pPr>
      <w:r>
        <w:rPr>
          <w:rFonts w:hint="eastAsia" w:ascii="宋体" w:hAnsi="宋体" w:eastAsia="宋体" w:cs="宋体"/>
          <w:b w:val="0"/>
          <w:bCs/>
          <w:color w:val="000000"/>
          <w:sz w:val="24"/>
          <w:szCs w:val="24"/>
          <w:highlight w:val="none"/>
        </w:rPr>
        <w:t>六</w:t>
      </w:r>
      <w:r>
        <w:rPr>
          <w:rFonts w:hint="eastAsia" w:ascii="宋体" w:hAnsi="宋体" w:eastAsia="宋体" w:cs="宋体"/>
          <w:color w:val="000000"/>
          <w:sz w:val="24"/>
          <w:szCs w:val="24"/>
          <w:highlight w:val="none"/>
        </w:rPr>
        <w:t>、</w:t>
      </w:r>
      <w:r>
        <w:rPr>
          <w:rFonts w:hint="eastAsia" w:ascii="宋体" w:hAnsi="宋体"/>
          <w:sz w:val="24"/>
          <w:highlight w:val="none"/>
        </w:rPr>
        <w:t>质量保修金</w:t>
      </w:r>
    </w:p>
    <w:p w14:paraId="32A9B663">
      <w:pPr>
        <w:keepNext w:val="0"/>
        <w:keepLines w:val="0"/>
        <w:pageBreakBefore w:val="0"/>
        <w:widowControl/>
        <w:kinsoku/>
        <w:wordWrap/>
        <w:overflowPunct/>
        <w:topLinePunct w:val="0"/>
        <w:autoSpaceDE/>
        <w:autoSpaceDN/>
        <w:bidi w:val="0"/>
        <w:adjustRightInd/>
        <w:snapToGrid w:val="0"/>
        <w:spacing w:before="0" w:beforeLines="0" w:after="0" w:afterLines="0" w:line="360" w:lineRule="auto"/>
        <w:textAlignment w:val="auto"/>
        <w:outlineLvl w:val="9"/>
        <w:rPr>
          <w:rFonts w:hint="eastAsia" w:ascii="宋体" w:hAnsi="宋体"/>
          <w:sz w:val="24"/>
          <w:highlight w:val="none"/>
        </w:rPr>
      </w:pPr>
      <w:r>
        <w:rPr>
          <w:rFonts w:hint="eastAsia" w:ascii="宋体" w:hAnsi="宋体"/>
          <w:sz w:val="24"/>
          <w:highlight w:val="none"/>
        </w:rPr>
        <w:t>1．本工程质量保修金为工程结算价款的</w:t>
      </w:r>
      <w:r>
        <w:rPr>
          <w:rFonts w:hint="default" w:ascii="宋体" w:hAnsi="宋体"/>
          <w:sz w:val="24"/>
          <w:highlight w:val="none"/>
          <w:u w:val="single"/>
          <w:lang w:val="en-US"/>
        </w:rPr>
        <w:t xml:space="preserve">     </w:t>
      </w:r>
      <w:r>
        <w:rPr>
          <w:rFonts w:hint="eastAsia" w:ascii="宋体" w:hAnsi="宋体"/>
          <w:sz w:val="24"/>
          <w:highlight w:val="none"/>
        </w:rPr>
        <w:t>％。</w:t>
      </w:r>
    </w:p>
    <w:p w14:paraId="4D5DCAEB">
      <w:pPr>
        <w:keepNext w:val="0"/>
        <w:keepLines w:val="0"/>
        <w:pageBreakBefore w:val="0"/>
        <w:widowControl/>
        <w:kinsoku/>
        <w:wordWrap/>
        <w:overflowPunct/>
        <w:topLinePunct w:val="0"/>
        <w:autoSpaceDE/>
        <w:autoSpaceDN/>
        <w:bidi w:val="0"/>
        <w:adjustRightInd/>
        <w:snapToGrid w:val="0"/>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2.本工程双方约定承包人向发包人支付工程质量保修金金额为</w:t>
      </w:r>
      <w:r>
        <w:rPr>
          <w:rFonts w:hint="eastAsia" w:ascii="宋体" w:hAnsi="宋体"/>
          <w:sz w:val="24"/>
          <w:highlight w:val="none"/>
          <w:u w:val="single"/>
        </w:rPr>
        <w:t xml:space="preserve">            </w:t>
      </w:r>
      <w:r>
        <w:rPr>
          <w:rFonts w:hint="eastAsia" w:ascii="宋体" w:hAnsi="宋体"/>
          <w:sz w:val="24"/>
          <w:highlight w:val="none"/>
        </w:rPr>
        <w:t>。质量保修金不计利息。</w:t>
      </w:r>
    </w:p>
    <w:p w14:paraId="08668CDB">
      <w:pPr>
        <w:keepNext w:val="0"/>
        <w:keepLines w:val="0"/>
        <w:pageBreakBefore w:val="0"/>
        <w:kinsoku/>
        <w:wordWrap/>
        <w:overflowPunct/>
        <w:topLinePunct w:val="0"/>
        <w:autoSpaceDE/>
        <w:autoSpaceDN/>
        <w:bidi w:val="0"/>
        <w:adjustRightInd/>
        <w:spacing w:before="0" w:beforeLines="0" w:after="0" w:afterLines="0" w:line="360" w:lineRule="auto"/>
        <w:ind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lang w:val="en-US" w:eastAsia="zh-CN"/>
        </w:rPr>
        <w:t>七</w:t>
      </w:r>
      <w:r>
        <w:rPr>
          <w:rFonts w:hint="eastAsia" w:ascii="宋体" w:hAnsi="宋体" w:eastAsia="宋体" w:cs="宋体"/>
          <w:b w:val="0"/>
          <w:bCs/>
          <w:sz w:val="24"/>
          <w:highlight w:val="none"/>
        </w:rPr>
        <w:t>、双方约定的其他工程质量保修事项：</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w:t>
      </w:r>
    </w:p>
    <w:p w14:paraId="760F1A2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56" w:firstLineChars="190"/>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val="0"/>
          <w:bCs/>
          <w:sz w:val="24"/>
          <w:highlight w:val="none"/>
        </w:rPr>
        <w:t>工程质量保修书由发包人、承包人在工程竣工验收前共同签署，作为施工合同附件，其有效期限至保修期满。</w:t>
      </w:r>
    </w:p>
    <w:p w14:paraId="70D951B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发包人(公章)：</w:t>
      </w:r>
      <w:r>
        <w:rPr>
          <w:rFonts w:hint="eastAsia" w:ascii="宋体" w:hAnsi="宋体" w:eastAsia="宋体" w:cs="宋体"/>
          <w:color w:val="000000"/>
          <w:sz w:val="24"/>
          <w:szCs w:val="24"/>
          <w:highlight w:val="none"/>
          <w:u w:val="single"/>
        </w:rPr>
        <w:t xml:space="preserve">  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承包人(公章)：</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4EF3560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2407CB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法定代表人(签字)：</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法定代表人(签字)：</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5F6936D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委托代理人(签字)：</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委托代理人(签字)：</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1E553A08">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  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电  话：</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281013F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  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传  真：</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42688F8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开户银行：</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4DB7D42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  号：</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账  号：</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69A5B06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eastAsia="宋体" w:cs="宋体"/>
          <w:color w:val="000000"/>
          <w:sz w:val="24"/>
          <w:szCs w:val="24"/>
          <w:highlight w:val="none"/>
        </w:rPr>
        <w:t>邮政编码：</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邮政编码：</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sz w:val="24"/>
          <w:highlight w:val="none"/>
          <w:u w:val="single"/>
        </w:rPr>
        <w:t xml:space="preserve"> </w:t>
      </w:r>
    </w:p>
    <w:p w14:paraId="5383616F">
      <w:pPr>
        <w:rPr>
          <w:rFonts w:hint="eastAsia" w:ascii="宋体" w:hAnsi="宋体"/>
          <w:sz w:val="24"/>
          <w:highlight w:val="none"/>
        </w:rPr>
      </w:pPr>
      <w:r>
        <w:rPr>
          <w:rFonts w:hint="eastAsia" w:ascii="宋体" w:hAnsi="宋体"/>
          <w:sz w:val="24"/>
          <w:highlight w:val="none"/>
        </w:rPr>
        <w:br w:type="page"/>
      </w:r>
    </w:p>
    <w:p w14:paraId="28E793C4">
      <w:pPr>
        <w:spacing w:line="440" w:lineRule="exact"/>
        <w:ind w:left="0" w:leftChars="0" w:firstLine="0" w:firstLineChars="0"/>
        <w:outlineLvl w:val="9"/>
        <w:rPr>
          <w:rFonts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3</w:t>
      </w:r>
      <w:r>
        <w:rPr>
          <w:rFonts w:hint="eastAsia" w:ascii="宋体" w:hAnsi="宋体"/>
          <w:sz w:val="24"/>
          <w:highlight w:val="none"/>
        </w:rPr>
        <w:t>：</w:t>
      </w:r>
    </w:p>
    <w:tbl>
      <w:tblPr>
        <w:tblStyle w:val="19"/>
        <w:tblpPr w:leftFromText="180" w:rightFromText="180" w:vertAnchor="text" w:horzAnchor="page" w:tblpX="1641" w:tblpY="875"/>
        <w:tblOverlap w:val="never"/>
        <w:tblW w:w="0" w:type="auto"/>
        <w:tblInd w:w="0" w:type="dxa"/>
        <w:tblLayout w:type="fixed"/>
        <w:tblCellMar>
          <w:top w:w="0" w:type="dxa"/>
          <w:left w:w="28" w:type="dxa"/>
          <w:bottom w:w="0" w:type="dxa"/>
          <w:right w:w="28" w:type="dxa"/>
        </w:tblCellMar>
      </w:tblPr>
      <w:tblGrid>
        <w:gridCol w:w="1953"/>
        <w:gridCol w:w="1276"/>
        <w:gridCol w:w="1450"/>
        <w:gridCol w:w="1243"/>
        <w:gridCol w:w="1450"/>
        <w:gridCol w:w="1371"/>
      </w:tblGrid>
      <w:tr w14:paraId="04DF7E75">
        <w:tblPrEx>
          <w:tblCellMar>
            <w:top w:w="0" w:type="dxa"/>
            <w:left w:w="28" w:type="dxa"/>
            <w:bottom w:w="0" w:type="dxa"/>
            <w:right w:w="28" w:type="dxa"/>
          </w:tblCellMar>
        </w:tblPrEx>
        <w:tc>
          <w:tcPr>
            <w:tcW w:w="1953" w:type="dxa"/>
            <w:tcBorders>
              <w:top w:val="single" w:color="auto" w:sz="12" w:space="0"/>
              <w:left w:val="single" w:color="auto" w:sz="12" w:space="0"/>
              <w:bottom w:val="double" w:color="auto" w:sz="2" w:space="0"/>
              <w:right w:val="single" w:color="auto" w:sz="6" w:space="0"/>
            </w:tcBorders>
            <w:noWrap w:val="0"/>
            <w:vAlign w:val="center"/>
          </w:tcPr>
          <w:p w14:paraId="3FA68F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文件名称</w:t>
            </w:r>
          </w:p>
        </w:tc>
        <w:tc>
          <w:tcPr>
            <w:tcW w:w="1276" w:type="dxa"/>
            <w:tcBorders>
              <w:top w:val="single" w:color="auto" w:sz="12" w:space="0"/>
              <w:left w:val="single" w:color="auto" w:sz="6" w:space="0"/>
              <w:bottom w:val="double" w:color="auto" w:sz="2" w:space="0"/>
              <w:right w:val="single" w:color="auto" w:sz="6" w:space="0"/>
            </w:tcBorders>
            <w:noWrap w:val="0"/>
            <w:vAlign w:val="center"/>
          </w:tcPr>
          <w:p w14:paraId="568890E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套数</w:t>
            </w:r>
          </w:p>
        </w:tc>
        <w:tc>
          <w:tcPr>
            <w:tcW w:w="1450" w:type="dxa"/>
            <w:tcBorders>
              <w:top w:val="single" w:color="auto" w:sz="12" w:space="0"/>
              <w:left w:val="single" w:color="auto" w:sz="6" w:space="0"/>
              <w:bottom w:val="double" w:color="auto" w:sz="2" w:space="0"/>
              <w:right w:val="single" w:color="auto" w:sz="6" w:space="0"/>
            </w:tcBorders>
            <w:noWrap w:val="0"/>
            <w:vAlign w:val="center"/>
          </w:tcPr>
          <w:p w14:paraId="7989A1C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费用（元）</w:t>
            </w:r>
          </w:p>
        </w:tc>
        <w:tc>
          <w:tcPr>
            <w:tcW w:w="1243" w:type="dxa"/>
            <w:tcBorders>
              <w:top w:val="single" w:color="auto" w:sz="12" w:space="0"/>
              <w:left w:val="single" w:color="auto" w:sz="6" w:space="0"/>
              <w:bottom w:val="double" w:color="auto" w:sz="2" w:space="0"/>
              <w:right w:val="single" w:color="auto" w:sz="6" w:space="0"/>
            </w:tcBorders>
            <w:noWrap w:val="0"/>
            <w:vAlign w:val="center"/>
          </w:tcPr>
          <w:p w14:paraId="2BCEEE6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质量</w:t>
            </w:r>
          </w:p>
        </w:tc>
        <w:tc>
          <w:tcPr>
            <w:tcW w:w="1450" w:type="dxa"/>
            <w:tcBorders>
              <w:top w:val="single" w:color="auto" w:sz="12" w:space="0"/>
              <w:left w:val="single" w:color="auto" w:sz="6" w:space="0"/>
              <w:bottom w:val="double" w:color="auto" w:sz="2" w:space="0"/>
              <w:right w:val="single" w:color="auto" w:sz="6" w:space="0"/>
            </w:tcBorders>
            <w:noWrap w:val="0"/>
            <w:vAlign w:val="top"/>
          </w:tcPr>
          <w:p w14:paraId="3F1CFDE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移交时间</w:t>
            </w:r>
          </w:p>
        </w:tc>
        <w:tc>
          <w:tcPr>
            <w:tcW w:w="1371" w:type="dxa"/>
            <w:tcBorders>
              <w:top w:val="single" w:color="auto" w:sz="12" w:space="0"/>
              <w:left w:val="single" w:color="auto" w:sz="6" w:space="0"/>
              <w:bottom w:val="double" w:color="auto" w:sz="2" w:space="0"/>
              <w:right w:val="single" w:color="auto" w:sz="12" w:space="0"/>
            </w:tcBorders>
            <w:noWrap w:val="0"/>
            <w:vAlign w:val="top"/>
          </w:tcPr>
          <w:p w14:paraId="4FA463E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责任人</w:t>
            </w:r>
          </w:p>
        </w:tc>
      </w:tr>
      <w:tr w14:paraId="16477A00">
        <w:tblPrEx>
          <w:tblCellMar>
            <w:top w:w="0" w:type="dxa"/>
            <w:left w:w="28" w:type="dxa"/>
            <w:bottom w:w="0" w:type="dxa"/>
            <w:right w:w="28" w:type="dxa"/>
          </w:tblCellMar>
        </w:tblPrEx>
        <w:trPr>
          <w:trHeight w:val="567" w:hRule="atLeast"/>
        </w:trPr>
        <w:tc>
          <w:tcPr>
            <w:tcW w:w="1953" w:type="dxa"/>
            <w:tcBorders>
              <w:top w:val="double" w:color="auto" w:sz="2" w:space="0"/>
              <w:left w:val="single" w:color="auto" w:sz="12" w:space="0"/>
              <w:bottom w:val="single" w:color="auto" w:sz="6" w:space="0"/>
              <w:right w:val="single" w:color="auto" w:sz="6" w:space="0"/>
            </w:tcBorders>
            <w:noWrap w:val="0"/>
            <w:vAlign w:val="center"/>
          </w:tcPr>
          <w:p w14:paraId="697EE3B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double" w:color="auto" w:sz="2" w:space="0"/>
              <w:left w:val="single" w:color="auto" w:sz="6" w:space="0"/>
              <w:bottom w:val="single" w:color="auto" w:sz="6" w:space="0"/>
              <w:right w:val="single" w:color="auto" w:sz="6" w:space="0"/>
            </w:tcBorders>
            <w:noWrap w:val="0"/>
            <w:vAlign w:val="center"/>
          </w:tcPr>
          <w:p w14:paraId="7AA7E75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double" w:color="auto" w:sz="2" w:space="0"/>
              <w:left w:val="single" w:color="auto" w:sz="6" w:space="0"/>
              <w:bottom w:val="single" w:color="auto" w:sz="6" w:space="0"/>
              <w:right w:val="single" w:color="auto" w:sz="6" w:space="0"/>
            </w:tcBorders>
            <w:noWrap w:val="0"/>
            <w:vAlign w:val="center"/>
          </w:tcPr>
          <w:p w14:paraId="2C6FDE6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double" w:color="auto" w:sz="2" w:space="0"/>
              <w:left w:val="single" w:color="auto" w:sz="6" w:space="0"/>
              <w:bottom w:val="single" w:color="auto" w:sz="6" w:space="0"/>
              <w:right w:val="single" w:color="auto" w:sz="6" w:space="0"/>
            </w:tcBorders>
            <w:noWrap w:val="0"/>
            <w:vAlign w:val="center"/>
          </w:tcPr>
          <w:p w14:paraId="689A245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double" w:color="auto" w:sz="2" w:space="0"/>
              <w:left w:val="single" w:color="auto" w:sz="6" w:space="0"/>
              <w:bottom w:val="single" w:color="auto" w:sz="6" w:space="0"/>
              <w:right w:val="single" w:color="auto" w:sz="6" w:space="0"/>
            </w:tcBorders>
            <w:noWrap w:val="0"/>
            <w:vAlign w:val="center"/>
          </w:tcPr>
          <w:p w14:paraId="60C6F46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double" w:color="auto" w:sz="2" w:space="0"/>
              <w:left w:val="single" w:color="auto" w:sz="6" w:space="0"/>
              <w:bottom w:val="single" w:color="auto" w:sz="6" w:space="0"/>
              <w:right w:val="single" w:color="auto" w:sz="12" w:space="0"/>
            </w:tcBorders>
            <w:noWrap w:val="0"/>
            <w:vAlign w:val="center"/>
          </w:tcPr>
          <w:p w14:paraId="77B416E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372FA2E">
        <w:tblPrEx>
          <w:tblCellMar>
            <w:top w:w="0" w:type="dxa"/>
            <w:left w:w="28" w:type="dxa"/>
            <w:bottom w:w="0" w:type="dxa"/>
            <w:right w:w="28" w:type="dxa"/>
          </w:tblCellMar>
        </w:tblPrEx>
        <w:trPr>
          <w:trHeight w:val="567" w:hRule="atLeast"/>
        </w:trPr>
        <w:tc>
          <w:tcPr>
            <w:tcW w:w="1953" w:type="dxa"/>
            <w:tcBorders>
              <w:top w:val="nil"/>
              <w:left w:val="single" w:color="auto" w:sz="12" w:space="0"/>
              <w:bottom w:val="single" w:color="auto" w:sz="6" w:space="0"/>
              <w:right w:val="single" w:color="auto" w:sz="6" w:space="0"/>
            </w:tcBorders>
            <w:noWrap w:val="0"/>
            <w:vAlign w:val="center"/>
          </w:tcPr>
          <w:p w14:paraId="348A211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nil"/>
              <w:left w:val="single" w:color="auto" w:sz="6" w:space="0"/>
              <w:bottom w:val="single" w:color="auto" w:sz="6" w:space="0"/>
              <w:right w:val="single" w:color="auto" w:sz="6" w:space="0"/>
            </w:tcBorders>
            <w:noWrap w:val="0"/>
            <w:vAlign w:val="center"/>
          </w:tcPr>
          <w:p w14:paraId="089B2C2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nil"/>
              <w:left w:val="single" w:color="auto" w:sz="6" w:space="0"/>
              <w:bottom w:val="single" w:color="auto" w:sz="6" w:space="0"/>
              <w:right w:val="single" w:color="auto" w:sz="6" w:space="0"/>
            </w:tcBorders>
            <w:noWrap w:val="0"/>
            <w:vAlign w:val="center"/>
          </w:tcPr>
          <w:p w14:paraId="5101F26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nil"/>
              <w:left w:val="single" w:color="auto" w:sz="6" w:space="0"/>
              <w:bottom w:val="single" w:color="auto" w:sz="6" w:space="0"/>
              <w:right w:val="single" w:color="auto" w:sz="6" w:space="0"/>
            </w:tcBorders>
            <w:noWrap w:val="0"/>
            <w:vAlign w:val="center"/>
          </w:tcPr>
          <w:p w14:paraId="4DA4B60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nil"/>
              <w:left w:val="single" w:color="auto" w:sz="6" w:space="0"/>
              <w:bottom w:val="single" w:color="auto" w:sz="6" w:space="0"/>
              <w:right w:val="single" w:color="auto" w:sz="6" w:space="0"/>
            </w:tcBorders>
            <w:noWrap w:val="0"/>
            <w:vAlign w:val="center"/>
          </w:tcPr>
          <w:p w14:paraId="132D01F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nil"/>
              <w:left w:val="single" w:color="auto" w:sz="6" w:space="0"/>
              <w:bottom w:val="single" w:color="auto" w:sz="6" w:space="0"/>
              <w:right w:val="single" w:color="auto" w:sz="12" w:space="0"/>
            </w:tcBorders>
            <w:noWrap w:val="0"/>
            <w:vAlign w:val="center"/>
          </w:tcPr>
          <w:p w14:paraId="143729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B81A37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105A527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1A52FA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4C889F6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2826007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2065532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21A922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3405920">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0CE145C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B5B7FD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0AA214E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574ABC6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91F880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1A7B5F9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69242C9">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33B6823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2E55EF1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0EF4839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0D88650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7D24684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0629A3D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D88017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0956C60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7AD047B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129145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60AA1AA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39578C4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697400A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F214107">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2C6DBCF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37F91B2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3CC7414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0E4929D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1218B61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5919A9F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9EFCBF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37DF3DF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2ECC483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B326B0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7E048A8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782C229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4C48009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A9D1F9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31DB95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61758D7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4B6453A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3FD20BA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4482F92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359D371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FCE7E6F">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4957CF3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DC03B7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1B790E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59B577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2A29C7A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7D73C61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DB61891">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08F5214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682ABF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7EC4FF7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460DFAD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CE7A51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4D2A64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E3A5D02">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28B5510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3D2F5AD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3A80AAE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3803B5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25F306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3078917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33DAE23">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3831FC4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5C9A379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3F9A3E0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324BD2D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28AFEE9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651DD7E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7F6FA92">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06FDA2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203A888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16F5ED0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23AA6E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79F52EE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2FA38EC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DEB030A">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6CB6121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0442A03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390E95C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52EB9A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695888F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2AFD791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D70BF22">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57908C6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3A723C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2044DEE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76C5A5D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2D4220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7B016A6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E44E6E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1B2F99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468730E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B565F6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692EA81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4A9CA0D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52E136B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7934E5E">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238D356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58AC0AC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653CD5B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2B7F802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0ADF2D9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613A614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C24CBEE">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12" w:space="0"/>
              <w:right w:val="single" w:color="auto" w:sz="6" w:space="0"/>
            </w:tcBorders>
            <w:noWrap w:val="0"/>
            <w:vAlign w:val="top"/>
          </w:tcPr>
          <w:p w14:paraId="7E2745B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12" w:space="0"/>
              <w:right w:val="single" w:color="auto" w:sz="6" w:space="0"/>
            </w:tcBorders>
            <w:noWrap w:val="0"/>
            <w:vAlign w:val="top"/>
          </w:tcPr>
          <w:p w14:paraId="0EDC4E7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12" w:space="0"/>
              <w:right w:val="single" w:color="auto" w:sz="6" w:space="0"/>
            </w:tcBorders>
            <w:noWrap w:val="0"/>
            <w:vAlign w:val="top"/>
          </w:tcPr>
          <w:p w14:paraId="1907337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12" w:space="0"/>
              <w:right w:val="single" w:color="auto" w:sz="6" w:space="0"/>
            </w:tcBorders>
            <w:noWrap w:val="0"/>
            <w:vAlign w:val="top"/>
          </w:tcPr>
          <w:p w14:paraId="3F6EE71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12" w:space="0"/>
              <w:right w:val="single" w:color="auto" w:sz="6" w:space="0"/>
            </w:tcBorders>
            <w:noWrap w:val="0"/>
            <w:vAlign w:val="top"/>
          </w:tcPr>
          <w:p w14:paraId="1872E79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12" w:space="0"/>
              <w:right w:val="single" w:color="auto" w:sz="12" w:space="0"/>
            </w:tcBorders>
            <w:noWrap w:val="0"/>
            <w:vAlign w:val="top"/>
          </w:tcPr>
          <w:p w14:paraId="3FF9D63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bl>
    <w:p w14:paraId="6DA7E53A">
      <w:pPr>
        <w:spacing w:before="156" w:beforeLines="50" w:after="156" w:afterLines="50" w:line="440" w:lineRule="exact"/>
        <w:jc w:val="center"/>
        <w:outlineLvl w:val="9"/>
        <w:rPr>
          <w:rFonts w:hint="eastAsia" w:ascii="宋体" w:hAnsi="宋体"/>
          <w:sz w:val="24"/>
          <w:highlight w:val="none"/>
        </w:rPr>
      </w:pPr>
      <w:r>
        <w:rPr>
          <w:rFonts w:hint="eastAsia" w:ascii="宋体" w:hAnsi="宋体"/>
          <w:sz w:val="24"/>
          <w:highlight w:val="none"/>
        </w:rPr>
        <w:t>主要建设工程文件目录</w:t>
      </w:r>
    </w:p>
    <w:p w14:paraId="422DA742">
      <w:pPr>
        <w:spacing w:line="440" w:lineRule="exact"/>
        <w:outlineLvl w:val="9"/>
        <w:rPr>
          <w:rFonts w:hint="eastAsia" w:ascii="宋体" w:hAnsi="宋体"/>
          <w:sz w:val="24"/>
          <w:highlight w:val="none"/>
        </w:rPr>
      </w:pPr>
      <w:r>
        <w:rPr>
          <w:rFonts w:hint="eastAsia" w:ascii="宋体" w:hAnsi="宋体"/>
          <w:sz w:val="24"/>
          <w:highlight w:val="none"/>
        </w:rPr>
        <w:t xml:space="preserve"> </w:t>
      </w:r>
    </w:p>
    <w:p w14:paraId="614234D4">
      <w:pPr>
        <w:spacing w:line="440" w:lineRule="exact"/>
        <w:ind w:left="0" w:leftChars="0" w:firstLine="0" w:firstLineChars="0"/>
        <w:outlineLvl w:val="9"/>
        <w:rPr>
          <w:rFonts w:hint="eastAsia" w:ascii="宋体" w:hAnsi="宋体"/>
          <w:sz w:val="24"/>
          <w:highlight w:val="none"/>
        </w:rPr>
      </w:pPr>
      <w:r>
        <w:rPr>
          <w:rFonts w:hint="eastAsia" w:ascii="宋体" w:hAnsi="宋体"/>
          <w:sz w:val="24"/>
          <w:highlight w:val="none"/>
        </w:rPr>
        <w:br w:type="page"/>
      </w:r>
      <w:r>
        <w:rPr>
          <w:rFonts w:hint="eastAsia" w:ascii="宋体" w:hAnsi="宋体"/>
          <w:sz w:val="24"/>
          <w:highlight w:val="none"/>
        </w:rPr>
        <w:t>附件</w:t>
      </w:r>
      <w:r>
        <w:rPr>
          <w:rFonts w:hint="eastAsia" w:ascii="宋体" w:hAnsi="宋体"/>
          <w:sz w:val="24"/>
          <w:highlight w:val="none"/>
          <w:lang w:val="en-US" w:eastAsia="zh-CN"/>
        </w:rPr>
        <w:t>4</w:t>
      </w:r>
      <w:r>
        <w:rPr>
          <w:rFonts w:hint="eastAsia" w:ascii="宋体" w:hAnsi="宋体"/>
          <w:sz w:val="24"/>
          <w:highlight w:val="none"/>
        </w:rPr>
        <w:t>：</w:t>
      </w:r>
    </w:p>
    <w:p w14:paraId="74708287">
      <w:pPr>
        <w:spacing w:before="156" w:beforeLines="50" w:after="156" w:afterLines="50" w:line="440" w:lineRule="exact"/>
        <w:jc w:val="center"/>
        <w:outlineLvl w:val="9"/>
        <w:rPr>
          <w:rFonts w:hint="eastAsia" w:ascii="宋体" w:hAnsi="宋体"/>
          <w:sz w:val="24"/>
          <w:highlight w:val="none"/>
        </w:rPr>
      </w:pPr>
      <w:r>
        <w:rPr>
          <w:rFonts w:hint="eastAsia" w:ascii="宋体" w:hAnsi="宋体"/>
          <w:sz w:val="24"/>
          <w:highlight w:val="none"/>
        </w:rPr>
        <w:t>承包人用于本工程施工的机械设备表</w:t>
      </w:r>
    </w:p>
    <w:tbl>
      <w:tblPr>
        <w:tblStyle w:val="19"/>
        <w:tblW w:w="0" w:type="auto"/>
        <w:jc w:val="center"/>
        <w:tblLayout w:type="fixed"/>
        <w:tblCellMar>
          <w:top w:w="0" w:type="dxa"/>
          <w:left w:w="28" w:type="dxa"/>
          <w:bottom w:w="0" w:type="dxa"/>
          <w:right w:w="28" w:type="dxa"/>
        </w:tblCellMar>
      </w:tblPr>
      <w:tblGrid>
        <w:gridCol w:w="865"/>
        <w:gridCol w:w="1418"/>
        <w:gridCol w:w="850"/>
        <w:gridCol w:w="1058"/>
        <w:gridCol w:w="880"/>
        <w:gridCol w:w="1020"/>
        <w:gridCol w:w="1238"/>
        <w:gridCol w:w="1036"/>
        <w:gridCol w:w="786"/>
      </w:tblGrid>
      <w:tr w14:paraId="6D1F338C">
        <w:tblPrEx>
          <w:tblCellMar>
            <w:top w:w="0" w:type="dxa"/>
            <w:left w:w="28" w:type="dxa"/>
            <w:bottom w:w="0" w:type="dxa"/>
            <w:right w:w="28" w:type="dxa"/>
          </w:tblCellMar>
        </w:tblPrEx>
        <w:trPr>
          <w:jc w:val="center"/>
        </w:trPr>
        <w:tc>
          <w:tcPr>
            <w:tcW w:w="865" w:type="dxa"/>
            <w:tcBorders>
              <w:top w:val="single" w:color="auto" w:sz="12" w:space="0"/>
              <w:left w:val="single" w:color="auto" w:sz="12" w:space="0"/>
              <w:bottom w:val="double" w:color="auto" w:sz="2" w:space="0"/>
              <w:right w:val="single" w:color="auto" w:sz="6" w:space="0"/>
            </w:tcBorders>
            <w:noWrap w:val="0"/>
            <w:vAlign w:val="center"/>
          </w:tcPr>
          <w:p w14:paraId="07D6AF0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序号</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75DCF2B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机械或设备名      称</w:t>
            </w:r>
          </w:p>
        </w:tc>
        <w:tc>
          <w:tcPr>
            <w:tcW w:w="850" w:type="dxa"/>
            <w:tcBorders>
              <w:top w:val="single" w:color="auto" w:sz="12" w:space="0"/>
              <w:left w:val="single" w:color="auto" w:sz="6" w:space="0"/>
              <w:bottom w:val="double" w:color="auto" w:sz="2" w:space="0"/>
              <w:right w:val="single" w:color="auto" w:sz="6" w:space="0"/>
            </w:tcBorders>
            <w:noWrap w:val="0"/>
            <w:vAlign w:val="center"/>
          </w:tcPr>
          <w:p w14:paraId="76E4C22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规格型 号</w:t>
            </w:r>
          </w:p>
        </w:tc>
        <w:tc>
          <w:tcPr>
            <w:tcW w:w="1058" w:type="dxa"/>
            <w:tcBorders>
              <w:top w:val="single" w:color="auto" w:sz="12" w:space="0"/>
              <w:left w:val="single" w:color="auto" w:sz="6" w:space="0"/>
              <w:bottom w:val="double" w:color="auto" w:sz="2" w:space="0"/>
              <w:right w:val="single" w:color="auto" w:sz="6" w:space="0"/>
            </w:tcBorders>
            <w:noWrap w:val="0"/>
            <w:vAlign w:val="center"/>
          </w:tcPr>
          <w:p w14:paraId="21C197E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数量</w:t>
            </w:r>
          </w:p>
        </w:tc>
        <w:tc>
          <w:tcPr>
            <w:tcW w:w="880" w:type="dxa"/>
            <w:tcBorders>
              <w:top w:val="single" w:color="auto" w:sz="12" w:space="0"/>
              <w:left w:val="single" w:color="auto" w:sz="6" w:space="0"/>
              <w:bottom w:val="double" w:color="auto" w:sz="2" w:space="0"/>
              <w:right w:val="single" w:color="auto" w:sz="6" w:space="0"/>
            </w:tcBorders>
            <w:noWrap w:val="0"/>
            <w:vAlign w:val="center"/>
          </w:tcPr>
          <w:p w14:paraId="759033F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产地</w:t>
            </w:r>
          </w:p>
        </w:tc>
        <w:tc>
          <w:tcPr>
            <w:tcW w:w="1020" w:type="dxa"/>
            <w:tcBorders>
              <w:top w:val="single" w:color="auto" w:sz="12" w:space="0"/>
              <w:left w:val="single" w:color="auto" w:sz="6" w:space="0"/>
              <w:bottom w:val="double" w:color="auto" w:sz="2" w:space="0"/>
              <w:right w:val="single" w:color="auto" w:sz="6" w:space="0"/>
            </w:tcBorders>
            <w:noWrap w:val="0"/>
            <w:vAlign w:val="center"/>
          </w:tcPr>
          <w:p w14:paraId="7E2FDEB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制造</w:t>
            </w:r>
          </w:p>
          <w:p w14:paraId="53D6FC2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年份</w:t>
            </w:r>
          </w:p>
        </w:tc>
        <w:tc>
          <w:tcPr>
            <w:tcW w:w="1238" w:type="dxa"/>
            <w:tcBorders>
              <w:top w:val="single" w:color="auto" w:sz="12" w:space="0"/>
              <w:left w:val="single" w:color="auto" w:sz="6" w:space="0"/>
              <w:bottom w:val="double" w:color="auto" w:sz="2" w:space="0"/>
              <w:right w:val="single" w:color="auto" w:sz="6" w:space="0"/>
            </w:tcBorders>
            <w:noWrap w:val="0"/>
            <w:vAlign w:val="center"/>
          </w:tcPr>
          <w:p w14:paraId="4DC2D2F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额定功</w:t>
            </w:r>
          </w:p>
          <w:p w14:paraId="08140E4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率(kW)</w:t>
            </w:r>
          </w:p>
        </w:tc>
        <w:tc>
          <w:tcPr>
            <w:tcW w:w="1036" w:type="dxa"/>
            <w:tcBorders>
              <w:top w:val="single" w:color="auto" w:sz="12" w:space="0"/>
              <w:left w:val="single" w:color="auto" w:sz="6" w:space="0"/>
              <w:bottom w:val="double" w:color="auto" w:sz="2" w:space="0"/>
              <w:right w:val="single" w:color="auto" w:sz="6" w:space="0"/>
            </w:tcBorders>
            <w:noWrap w:val="0"/>
            <w:vAlign w:val="center"/>
          </w:tcPr>
          <w:p w14:paraId="3A31629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生产</w:t>
            </w:r>
          </w:p>
          <w:p w14:paraId="1C54F88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能力</w:t>
            </w:r>
          </w:p>
        </w:tc>
        <w:tc>
          <w:tcPr>
            <w:tcW w:w="786" w:type="dxa"/>
            <w:tcBorders>
              <w:top w:val="single" w:color="auto" w:sz="12" w:space="0"/>
              <w:left w:val="single" w:color="auto" w:sz="6" w:space="0"/>
              <w:bottom w:val="double" w:color="auto" w:sz="2" w:space="0"/>
              <w:right w:val="single" w:color="auto" w:sz="12" w:space="0"/>
            </w:tcBorders>
            <w:noWrap w:val="0"/>
            <w:vAlign w:val="center"/>
          </w:tcPr>
          <w:p w14:paraId="28AD8D6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备注</w:t>
            </w:r>
          </w:p>
        </w:tc>
      </w:tr>
      <w:tr w14:paraId="207974DC">
        <w:tblPrEx>
          <w:tblCellMar>
            <w:top w:w="0" w:type="dxa"/>
            <w:left w:w="28" w:type="dxa"/>
            <w:bottom w:w="0" w:type="dxa"/>
            <w:right w:w="28" w:type="dxa"/>
          </w:tblCellMar>
        </w:tblPrEx>
        <w:trPr>
          <w:trHeight w:val="567" w:hRule="atLeast"/>
          <w:jc w:val="center"/>
        </w:trPr>
        <w:tc>
          <w:tcPr>
            <w:tcW w:w="865" w:type="dxa"/>
            <w:tcBorders>
              <w:top w:val="double" w:color="auto" w:sz="2" w:space="0"/>
              <w:left w:val="single" w:color="auto" w:sz="12" w:space="0"/>
              <w:bottom w:val="single" w:color="auto" w:sz="6" w:space="0"/>
              <w:right w:val="single" w:color="auto" w:sz="6" w:space="0"/>
            </w:tcBorders>
            <w:noWrap w:val="0"/>
            <w:vAlign w:val="center"/>
          </w:tcPr>
          <w:p w14:paraId="2A20057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double" w:color="auto" w:sz="2" w:space="0"/>
              <w:left w:val="single" w:color="auto" w:sz="6" w:space="0"/>
              <w:bottom w:val="single" w:color="auto" w:sz="6" w:space="0"/>
              <w:right w:val="single" w:color="auto" w:sz="6" w:space="0"/>
            </w:tcBorders>
            <w:noWrap w:val="0"/>
            <w:vAlign w:val="center"/>
          </w:tcPr>
          <w:p w14:paraId="59FC0F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double" w:color="auto" w:sz="2" w:space="0"/>
              <w:left w:val="single" w:color="auto" w:sz="6" w:space="0"/>
              <w:bottom w:val="single" w:color="auto" w:sz="6" w:space="0"/>
              <w:right w:val="single" w:color="auto" w:sz="6" w:space="0"/>
            </w:tcBorders>
            <w:noWrap w:val="0"/>
            <w:vAlign w:val="center"/>
          </w:tcPr>
          <w:p w14:paraId="794FF80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double" w:color="auto" w:sz="2" w:space="0"/>
              <w:left w:val="single" w:color="auto" w:sz="6" w:space="0"/>
              <w:bottom w:val="single" w:color="auto" w:sz="6" w:space="0"/>
              <w:right w:val="single" w:color="auto" w:sz="6" w:space="0"/>
            </w:tcBorders>
            <w:noWrap w:val="0"/>
            <w:vAlign w:val="center"/>
          </w:tcPr>
          <w:p w14:paraId="1D2C74B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double" w:color="auto" w:sz="2" w:space="0"/>
              <w:left w:val="single" w:color="auto" w:sz="6" w:space="0"/>
              <w:bottom w:val="single" w:color="auto" w:sz="6" w:space="0"/>
              <w:right w:val="single" w:color="auto" w:sz="6" w:space="0"/>
            </w:tcBorders>
            <w:noWrap w:val="0"/>
            <w:vAlign w:val="center"/>
          </w:tcPr>
          <w:p w14:paraId="6D6F47C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double" w:color="auto" w:sz="2" w:space="0"/>
              <w:left w:val="single" w:color="auto" w:sz="6" w:space="0"/>
              <w:bottom w:val="single" w:color="auto" w:sz="6" w:space="0"/>
              <w:right w:val="single" w:color="auto" w:sz="6" w:space="0"/>
            </w:tcBorders>
            <w:noWrap w:val="0"/>
            <w:vAlign w:val="center"/>
          </w:tcPr>
          <w:p w14:paraId="7A684EF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double" w:color="auto" w:sz="2" w:space="0"/>
              <w:left w:val="single" w:color="auto" w:sz="6" w:space="0"/>
              <w:bottom w:val="single" w:color="auto" w:sz="6" w:space="0"/>
              <w:right w:val="single" w:color="auto" w:sz="6" w:space="0"/>
            </w:tcBorders>
            <w:noWrap w:val="0"/>
            <w:vAlign w:val="center"/>
          </w:tcPr>
          <w:p w14:paraId="4F6A079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double" w:color="auto" w:sz="2" w:space="0"/>
              <w:left w:val="single" w:color="auto" w:sz="6" w:space="0"/>
              <w:bottom w:val="single" w:color="auto" w:sz="6" w:space="0"/>
              <w:right w:val="single" w:color="auto" w:sz="6" w:space="0"/>
            </w:tcBorders>
            <w:noWrap w:val="0"/>
            <w:vAlign w:val="center"/>
          </w:tcPr>
          <w:p w14:paraId="59DCA9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double" w:color="auto" w:sz="2" w:space="0"/>
              <w:left w:val="single" w:color="auto" w:sz="6" w:space="0"/>
              <w:bottom w:val="single" w:color="auto" w:sz="6" w:space="0"/>
              <w:right w:val="single" w:color="auto" w:sz="12" w:space="0"/>
            </w:tcBorders>
            <w:noWrap w:val="0"/>
            <w:vAlign w:val="center"/>
          </w:tcPr>
          <w:p w14:paraId="6025B7B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AD13DA9">
        <w:tblPrEx>
          <w:tblCellMar>
            <w:top w:w="0" w:type="dxa"/>
            <w:left w:w="28" w:type="dxa"/>
            <w:bottom w:w="0" w:type="dxa"/>
            <w:right w:w="28" w:type="dxa"/>
          </w:tblCellMar>
        </w:tblPrEx>
        <w:trPr>
          <w:trHeight w:val="567" w:hRule="atLeast"/>
          <w:jc w:val="center"/>
        </w:trPr>
        <w:tc>
          <w:tcPr>
            <w:tcW w:w="865" w:type="dxa"/>
            <w:tcBorders>
              <w:top w:val="nil"/>
              <w:left w:val="single" w:color="auto" w:sz="12" w:space="0"/>
              <w:bottom w:val="single" w:color="auto" w:sz="6" w:space="0"/>
              <w:right w:val="single" w:color="auto" w:sz="6" w:space="0"/>
            </w:tcBorders>
            <w:noWrap w:val="0"/>
            <w:vAlign w:val="center"/>
          </w:tcPr>
          <w:p w14:paraId="013C51F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nil"/>
              <w:left w:val="single" w:color="auto" w:sz="6" w:space="0"/>
              <w:bottom w:val="single" w:color="auto" w:sz="6" w:space="0"/>
              <w:right w:val="single" w:color="auto" w:sz="6" w:space="0"/>
            </w:tcBorders>
            <w:noWrap w:val="0"/>
            <w:vAlign w:val="center"/>
          </w:tcPr>
          <w:p w14:paraId="4B2167B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nil"/>
              <w:left w:val="single" w:color="auto" w:sz="6" w:space="0"/>
              <w:bottom w:val="single" w:color="auto" w:sz="6" w:space="0"/>
              <w:right w:val="single" w:color="auto" w:sz="6" w:space="0"/>
            </w:tcBorders>
            <w:noWrap w:val="0"/>
            <w:vAlign w:val="center"/>
          </w:tcPr>
          <w:p w14:paraId="0697560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nil"/>
              <w:left w:val="single" w:color="auto" w:sz="6" w:space="0"/>
              <w:bottom w:val="single" w:color="auto" w:sz="6" w:space="0"/>
              <w:right w:val="single" w:color="auto" w:sz="6" w:space="0"/>
            </w:tcBorders>
            <w:noWrap w:val="0"/>
            <w:vAlign w:val="center"/>
          </w:tcPr>
          <w:p w14:paraId="5FD04D4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nil"/>
              <w:left w:val="single" w:color="auto" w:sz="6" w:space="0"/>
              <w:bottom w:val="single" w:color="auto" w:sz="6" w:space="0"/>
              <w:right w:val="single" w:color="auto" w:sz="6" w:space="0"/>
            </w:tcBorders>
            <w:noWrap w:val="0"/>
            <w:vAlign w:val="center"/>
          </w:tcPr>
          <w:p w14:paraId="31067E0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nil"/>
              <w:left w:val="single" w:color="auto" w:sz="6" w:space="0"/>
              <w:bottom w:val="single" w:color="auto" w:sz="6" w:space="0"/>
              <w:right w:val="single" w:color="auto" w:sz="6" w:space="0"/>
            </w:tcBorders>
            <w:noWrap w:val="0"/>
            <w:vAlign w:val="center"/>
          </w:tcPr>
          <w:p w14:paraId="0783FA7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nil"/>
              <w:left w:val="single" w:color="auto" w:sz="6" w:space="0"/>
              <w:bottom w:val="single" w:color="auto" w:sz="6" w:space="0"/>
              <w:right w:val="single" w:color="auto" w:sz="6" w:space="0"/>
            </w:tcBorders>
            <w:noWrap w:val="0"/>
            <w:vAlign w:val="center"/>
          </w:tcPr>
          <w:p w14:paraId="38FB719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nil"/>
              <w:left w:val="single" w:color="auto" w:sz="6" w:space="0"/>
              <w:bottom w:val="single" w:color="auto" w:sz="6" w:space="0"/>
              <w:right w:val="single" w:color="auto" w:sz="6" w:space="0"/>
            </w:tcBorders>
            <w:noWrap w:val="0"/>
            <w:vAlign w:val="center"/>
          </w:tcPr>
          <w:p w14:paraId="2F07A7D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nil"/>
              <w:left w:val="single" w:color="auto" w:sz="6" w:space="0"/>
              <w:bottom w:val="single" w:color="auto" w:sz="6" w:space="0"/>
              <w:right w:val="single" w:color="auto" w:sz="12" w:space="0"/>
            </w:tcBorders>
            <w:noWrap w:val="0"/>
            <w:vAlign w:val="center"/>
          </w:tcPr>
          <w:p w14:paraId="7AE22B6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306AD52">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183EC93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2E519AB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B865FA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5EC3843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2BA82E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63E42AB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4C50262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72F166D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715425E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EBC2279">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75B89E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CF46DF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7F5B07B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68A1D4D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3E64719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47C3B4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51A214D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0F87D0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0AD7A5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FB6AD95">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147FAE7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75BCE8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61DF761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20AA207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6BF8DCC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76F6CDF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071091F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538E02A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11F6B58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1602D0F">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6FA0877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7C5CB1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1E6754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6C0272B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5D0F34B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53E11F5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54DD7C1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16EC6FE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3C7BB4E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0EAA11F">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53FD8D7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093453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7CF1DBF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736713D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69BC5F4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0ECD908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522FA66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62D31F6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54C81DD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B23B3BF">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5C250F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778E81F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1D0684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032F4E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33AD733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1136F54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68038B3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3FB915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1683D49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ABDA206">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35D8F67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A24182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2D7426A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45BE007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4BCA3B2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142BC2D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407DE9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5BE19D0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1C4A05E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6C58E71">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7C23F74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A2EA6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10997C7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39CD3B5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78800DB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7DB84B8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339FCD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61F656C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511265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03E42D7">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5C9434A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76061D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68A7C8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4CA728F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1F61472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279E7D2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3AABE9A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286FCE7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3A8C7EC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3B5D99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4F85CC3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D3932D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4D51490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069DCC0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13F9361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43DCA3E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03F811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15451A0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60CE4A7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7CEC738">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47767BE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FD285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7ACC3D5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2333E6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4CCBBAB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3A4FC40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3BEF762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402D247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50EDDD2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861EEA4">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2DC4C3A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783AEF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3F55FD6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71D6029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6E94B71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3256552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2F15B20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3F70036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3D311CF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1E9BC3F">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062C6EF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5BC78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5566D6B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3D9B143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5E6F265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4E29E3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0D87463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1569616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77BE5A1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AA2AF69">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23F14E2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B662C8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40C2BC0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38FB3DF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0ECB7B5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240E6D0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4AF93A9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476FC1A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6DE2B36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F823180">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5C2D33B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82950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14DCB1C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1CFAF2A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61265B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72AE2D0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726675C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5AA80A5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3F08F5E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20174B0">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046286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CA8089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140A3D3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17D7D61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60F732D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0590992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2011FD9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7B5415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6767F6C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D687BB6">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12" w:space="0"/>
              <w:right w:val="single" w:color="auto" w:sz="6" w:space="0"/>
            </w:tcBorders>
            <w:noWrap w:val="0"/>
            <w:vAlign w:val="top"/>
          </w:tcPr>
          <w:p w14:paraId="03379610">
            <w:pPr>
              <w:outlineLvl w:val="9"/>
              <w:rPr>
                <w:rFonts w:ascii="宋体" w:hAnsi="宋体" w:eastAsia="宋体"/>
                <w:sz w:val="24"/>
                <w:highlight w:val="none"/>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2159F6E1">
            <w:pPr>
              <w:outlineLvl w:val="9"/>
              <w:rPr>
                <w:rFonts w:ascii="宋体" w:hAnsi="宋体" w:eastAsia="宋体"/>
                <w:sz w:val="24"/>
                <w:highlight w:val="none"/>
              </w:rPr>
            </w:pPr>
          </w:p>
        </w:tc>
        <w:tc>
          <w:tcPr>
            <w:tcW w:w="850" w:type="dxa"/>
            <w:tcBorders>
              <w:top w:val="single" w:color="auto" w:sz="6" w:space="0"/>
              <w:left w:val="single" w:color="auto" w:sz="6" w:space="0"/>
              <w:bottom w:val="single" w:color="auto" w:sz="12" w:space="0"/>
              <w:right w:val="single" w:color="auto" w:sz="6" w:space="0"/>
            </w:tcBorders>
            <w:noWrap w:val="0"/>
            <w:vAlign w:val="top"/>
          </w:tcPr>
          <w:p w14:paraId="4EEDA45B">
            <w:pPr>
              <w:outlineLvl w:val="9"/>
              <w:rPr>
                <w:rFonts w:ascii="宋体" w:hAnsi="宋体" w:eastAsia="宋体"/>
                <w:sz w:val="24"/>
                <w:highlight w:val="none"/>
              </w:rPr>
            </w:pPr>
          </w:p>
        </w:tc>
        <w:tc>
          <w:tcPr>
            <w:tcW w:w="1058" w:type="dxa"/>
            <w:tcBorders>
              <w:top w:val="single" w:color="auto" w:sz="6" w:space="0"/>
              <w:left w:val="single" w:color="auto" w:sz="6" w:space="0"/>
              <w:bottom w:val="single" w:color="auto" w:sz="12" w:space="0"/>
              <w:right w:val="single" w:color="auto" w:sz="6" w:space="0"/>
            </w:tcBorders>
            <w:noWrap w:val="0"/>
            <w:vAlign w:val="top"/>
          </w:tcPr>
          <w:p w14:paraId="004F7F4F">
            <w:pPr>
              <w:outlineLvl w:val="9"/>
              <w:rPr>
                <w:rFonts w:ascii="宋体" w:hAnsi="宋体" w:eastAsia="宋体"/>
                <w:sz w:val="24"/>
                <w:highlight w:val="none"/>
              </w:rPr>
            </w:pPr>
          </w:p>
        </w:tc>
        <w:tc>
          <w:tcPr>
            <w:tcW w:w="880" w:type="dxa"/>
            <w:tcBorders>
              <w:top w:val="single" w:color="auto" w:sz="6" w:space="0"/>
              <w:left w:val="single" w:color="auto" w:sz="6" w:space="0"/>
              <w:bottom w:val="single" w:color="auto" w:sz="12" w:space="0"/>
              <w:right w:val="single" w:color="auto" w:sz="6" w:space="0"/>
            </w:tcBorders>
            <w:noWrap w:val="0"/>
            <w:vAlign w:val="top"/>
          </w:tcPr>
          <w:p w14:paraId="293D5B98">
            <w:pPr>
              <w:outlineLvl w:val="9"/>
              <w:rPr>
                <w:rFonts w:ascii="宋体" w:hAnsi="宋体" w:eastAsia="宋体"/>
                <w:sz w:val="24"/>
                <w:highlight w:val="none"/>
              </w:rPr>
            </w:pPr>
          </w:p>
        </w:tc>
        <w:tc>
          <w:tcPr>
            <w:tcW w:w="1020" w:type="dxa"/>
            <w:tcBorders>
              <w:top w:val="single" w:color="auto" w:sz="6" w:space="0"/>
              <w:left w:val="single" w:color="auto" w:sz="6" w:space="0"/>
              <w:bottom w:val="single" w:color="auto" w:sz="12" w:space="0"/>
              <w:right w:val="single" w:color="auto" w:sz="6" w:space="0"/>
            </w:tcBorders>
            <w:noWrap w:val="0"/>
            <w:vAlign w:val="top"/>
          </w:tcPr>
          <w:p w14:paraId="23C3523D">
            <w:pPr>
              <w:outlineLvl w:val="9"/>
              <w:rPr>
                <w:rFonts w:ascii="宋体" w:hAnsi="宋体" w:eastAsia="宋体"/>
                <w:sz w:val="24"/>
                <w:highlight w:val="none"/>
              </w:rPr>
            </w:pPr>
          </w:p>
        </w:tc>
        <w:tc>
          <w:tcPr>
            <w:tcW w:w="1238" w:type="dxa"/>
            <w:tcBorders>
              <w:top w:val="single" w:color="auto" w:sz="6" w:space="0"/>
              <w:left w:val="single" w:color="auto" w:sz="6" w:space="0"/>
              <w:bottom w:val="single" w:color="auto" w:sz="12" w:space="0"/>
              <w:right w:val="single" w:color="auto" w:sz="6" w:space="0"/>
            </w:tcBorders>
            <w:noWrap w:val="0"/>
            <w:vAlign w:val="top"/>
          </w:tcPr>
          <w:p w14:paraId="224C20E3">
            <w:pPr>
              <w:outlineLvl w:val="9"/>
              <w:rPr>
                <w:rFonts w:ascii="宋体" w:hAnsi="宋体" w:eastAsia="宋体"/>
                <w:sz w:val="24"/>
                <w:highlight w:val="none"/>
              </w:rPr>
            </w:pPr>
          </w:p>
        </w:tc>
        <w:tc>
          <w:tcPr>
            <w:tcW w:w="1036" w:type="dxa"/>
            <w:tcBorders>
              <w:top w:val="single" w:color="auto" w:sz="6" w:space="0"/>
              <w:left w:val="single" w:color="auto" w:sz="6" w:space="0"/>
              <w:bottom w:val="single" w:color="auto" w:sz="12" w:space="0"/>
              <w:right w:val="single" w:color="auto" w:sz="6" w:space="0"/>
            </w:tcBorders>
            <w:noWrap w:val="0"/>
            <w:vAlign w:val="top"/>
          </w:tcPr>
          <w:p w14:paraId="2AE2AB42">
            <w:pPr>
              <w:outlineLvl w:val="9"/>
              <w:rPr>
                <w:rFonts w:ascii="宋体" w:hAnsi="宋体" w:eastAsia="宋体"/>
                <w:sz w:val="24"/>
                <w:highlight w:val="none"/>
              </w:rPr>
            </w:pPr>
          </w:p>
        </w:tc>
        <w:tc>
          <w:tcPr>
            <w:tcW w:w="786" w:type="dxa"/>
            <w:tcBorders>
              <w:top w:val="single" w:color="auto" w:sz="6" w:space="0"/>
              <w:left w:val="single" w:color="auto" w:sz="6" w:space="0"/>
              <w:bottom w:val="single" w:color="auto" w:sz="12" w:space="0"/>
              <w:right w:val="single" w:color="auto" w:sz="12" w:space="0"/>
            </w:tcBorders>
            <w:noWrap w:val="0"/>
            <w:vAlign w:val="top"/>
          </w:tcPr>
          <w:p w14:paraId="648FE3A7">
            <w:pPr>
              <w:outlineLvl w:val="9"/>
              <w:rPr>
                <w:rFonts w:ascii="宋体" w:hAnsi="宋体" w:eastAsia="宋体"/>
                <w:sz w:val="24"/>
                <w:highlight w:val="none"/>
              </w:rPr>
            </w:pPr>
          </w:p>
        </w:tc>
      </w:tr>
    </w:tbl>
    <w:p w14:paraId="69AFB484">
      <w:pPr>
        <w:spacing w:line="440" w:lineRule="exact"/>
        <w:ind w:left="0" w:leftChars="0" w:firstLine="0" w:firstLineChars="0"/>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5</w:t>
      </w:r>
      <w:r>
        <w:rPr>
          <w:rFonts w:hint="eastAsia" w:ascii="宋体" w:hAnsi="宋体"/>
          <w:sz w:val="24"/>
          <w:highlight w:val="none"/>
        </w:rPr>
        <w:t>：</w:t>
      </w:r>
    </w:p>
    <w:p w14:paraId="0A59C11E">
      <w:pPr>
        <w:spacing w:before="156" w:beforeLines="50" w:after="156" w:afterLines="50" w:line="440" w:lineRule="exact"/>
        <w:jc w:val="center"/>
        <w:outlineLvl w:val="9"/>
        <w:rPr>
          <w:rFonts w:hint="eastAsia" w:ascii="宋体" w:hAnsi="宋体"/>
          <w:sz w:val="24"/>
          <w:highlight w:val="none"/>
        </w:rPr>
      </w:pPr>
      <w:r>
        <w:rPr>
          <w:rFonts w:hint="eastAsia" w:ascii="宋体" w:hAnsi="宋体"/>
          <w:sz w:val="24"/>
          <w:highlight w:val="none"/>
        </w:rPr>
        <w:t>承包人主要施工管理人员表</w:t>
      </w:r>
    </w:p>
    <w:tbl>
      <w:tblPr>
        <w:tblStyle w:val="19"/>
        <w:tblW w:w="0" w:type="auto"/>
        <w:jc w:val="center"/>
        <w:tblLayout w:type="fixed"/>
        <w:tblCellMar>
          <w:top w:w="0" w:type="dxa"/>
          <w:left w:w="28" w:type="dxa"/>
          <w:bottom w:w="0" w:type="dxa"/>
          <w:right w:w="28" w:type="dxa"/>
        </w:tblCellMar>
      </w:tblPr>
      <w:tblGrid>
        <w:gridCol w:w="1871"/>
        <w:gridCol w:w="1418"/>
        <w:gridCol w:w="1134"/>
        <w:gridCol w:w="1134"/>
        <w:gridCol w:w="3544"/>
      </w:tblGrid>
      <w:tr w14:paraId="1F894B09">
        <w:tblPrEx>
          <w:tblCellMar>
            <w:top w:w="0" w:type="dxa"/>
            <w:left w:w="28" w:type="dxa"/>
            <w:bottom w:w="0" w:type="dxa"/>
            <w:right w:w="28" w:type="dxa"/>
          </w:tblCellMar>
        </w:tblPrEx>
        <w:trPr>
          <w:jc w:val="center"/>
        </w:trPr>
        <w:tc>
          <w:tcPr>
            <w:tcW w:w="1871" w:type="dxa"/>
            <w:tcBorders>
              <w:top w:val="single" w:color="auto" w:sz="12" w:space="0"/>
              <w:left w:val="single" w:color="auto" w:sz="12" w:space="0"/>
              <w:bottom w:val="double" w:color="auto" w:sz="2" w:space="0"/>
              <w:right w:val="single" w:color="auto" w:sz="6" w:space="0"/>
            </w:tcBorders>
            <w:noWrap w:val="0"/>
            <w:vAlign w:val="center"/>
          </w:tcPr>
          <w:p w14:paraId="123DC30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名    称</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4A09107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姓名</w:t>
            </w:r>
          </w:p>
        </w:tc>
        <w:tc>
          <w:tcPr>
            <w:tcW w:w="1134" w:type="dxa"/>
            <w:tcBorders>
              <w:top w:val="single" w:color="auto" w:sz="12" w:space="0"/>
              <w:left w:val="single" w:color="auto" w:sz="6" w:space="0"/>
              <w:bottom w:val="double" w:color="auto" w:sz="2" w:space="0"/>
              <w:right w:val="single" w:color="auto" w:sz="6" w:space="0"/>
            </w:tcBorders>
            <w:noWrap w:val="0"/>
            <w:vAlign w:val="center"/>
          </w:tcPr>
          <w:p w14:paraId="3EFFC84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职务</w:t>
            </w:r>
          </w:p>
        </w:tc>
        <w:tc>
          <w:tcPr>
            <w:tcW w:w="1134" w:type="dxa"/>
            <w:tcBorders>
              <w:top w:val="single" w:color="auto" w:sz="12" w:space="0"/>
              <w:left w:val="single" w:color="auto" w:sz="6" w:space="0"/>
              <w:bottom w:val="double" w:color="auto" w:sz="2" w:space="0"/>
              <w:right w:val="single" w:color="auto" w:sz="6" w:space="0"/>
            </w:tcBorders>
            <w:noWrap w:val="0"/>
            <w:vAlign w:val="center"/>
          </w:tcPr>
          <w:p w14:paraId="48A3E73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职称</w:t>
            </w:r>
          </w:p>
        </w:tc>
        <w:tc>
          <w:tcPr>
            <w:tcW w:w="3544" w:type="dxa"/>
            <w:tcBorders>
              <w:top w:val="single" w:color="auto" w:sz="12" w:space="0"/>
              <w:left w:val="single" w:color="auto" w:sz="6" w:space="0"/>
              <w:bottom w:val="double" w:color="auto" w:sz="2" w:space="0"/>
              <w:right w:val="single" w:color="auto" w:sz="12" w:space="0"/>
            </w:tcBorders>
            <w:noWrap w:val="0"/>
            <w:vAlign w:val="center"/>
          </w:tcPr>
          <w:p w14:paraId="03046C8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主要资历、经验及承担过的项目</w:t>
            </w:r>
          </w:p>
        </w:tc>
      </w:tr>
      <w:tr w14:paraId="178175AE">
        <w:tblPrEx>
          <w:tblCellMar>
            <w:top w:w="0" w:type="dxa"/>
            <w:left w:w="28" w:type="dxa"/>
            <w:bottom w:w="0" w:type="dxa"/>
            <w:right w:w="28" w:type="dxa"/>
          </w:tblCellMar>
        </w:tblPrEx>
        <w:trPr>
          <w:jc w:val="center"/>
        </w:trPr>
        <w:tc>
          <w:tcPr>
            <w:tcW w:w="9101" w:type="dxa"/>
            <w:gridSpan w:val="5"/>
            <w:tcBorders>
              <w:top w:val="double" w:color="auto" w:sz="2" w:space="0"/>
              <w:left w:val="single" w:color="auto" w:sz="12" w:space="0"/>
              <w:bottom w:val="single" w:color="auto" w:sz="6" w:space="0"/>
              <w:right w:val="single" w:color="auto" w:sz="12" w:space="0"/>
            </w:tcBorders>
            <w:noWrap w:val="0"/>
            <w:vAlign w:val="center"/>
          </w:tcPr>
          <w:p w14:paraId="67F8210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一、总部人员</w:t>
            </w:r>
          </w:p>
        </w:tc>
      </w:tr>
      <w:tr w14:paraId="214D88C8">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noWrap w:val="0"/>
            <w:vAlign w:val="center"/>
          </w:tcPr>
          <w:p w14:paraId="2BA77BB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项目主管</w:t>
            </w:r>
          </w:p>
        </w:tc>
        <w:tc>
          <w:tcPr>
            <w:tcW w:w="1418" w:type="dxa"/>
            <w:tcBorders>
              <w:top w:val="nil"/>
              <w:left w:val="single" w:color="auto" w:sz="6" w:space="0"/>
              <w:bottom w:val="single" w:color="auto" w:sz="6" w:space="0"/>
              <w:right w:val="single" w:color="auto" w:sz="6" w:space="0"/>
            </w:tcBorders>
            <w:noWrap w:val="0"/>
            <w:vAlign w:val="center"/>
          </w:tcPr>
          <w:p w14:paraId="5ECCC0D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nil"/>
              <w:left w:val="single" w:color="auto" w:sz="6" w:space="0"/>
              <w:bottom w:val="single" w:color="auto" w:sz="6" w:space="0"/>
              <w:right w:val="single" w:color="auto" w:sz="6" w:space="0"/>
            </w:tcBorders>
            <w:noWrap w:val="0"/>
            <w:vAlign w:val="center"/>
          </w:tcPr>
          <w:p w14:paraId="2872181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nil"/>
              <w:left w:val="single" w:color="auto" w:sz="6" w:space="0"/>
              <w:bottom w:val="single" w:color="auto" w:sz="6" w:space="0"/>
              <w:right w:val="single" w:color="auto" w:sz="6" w:space="0"/>
            </w:tcBorders>
            <w:noWrap w:val="0"/>
            <w:vAlign w:val="center"/>
          </w:tcPr>
          <w:p w14:paraId="1E9EFC5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nil"/>
              <w:left w:val="single" w:color="auto" w:sz="6" w:space="0"/>
              <w:bottom w:val="single" w:color="auto" w:sz="6" w:space="0"/>
              <w:right w:val="single" w:color="auto" w:sz="12" w:space="0"/>
            </w:tcBorders>
            <w:noWrap w:val="0"/>
            <w:vAlign w:val="center"/>
          </w:tcPr>
          <w:p w14:paraId="55A2228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DF67791">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nil"/>
              <w:right w:val="single" w:color="auto" w:sz="6" w:space="0"/>
            </w:tcBorders>
            <w:noWrap w:val="0"/>
            <w:vAlign w:val="center"/>
          </w:tcPr>
          <w:p w14:paraId="7781B04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6E94CA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8E247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99F8B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247A66A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49044FC">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noWrap w:val="0"/>
            <w:vAlign w:val="center"/>
          </w:tcPr>
          <w:p w14:paraId="7BCA3B4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其他人员</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B44ACE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065CFB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A169DC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1FDD8A9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641B480">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noWrap w:val="0"/>
            <w:vAlign w:val="center"/>
          </w:tcPr>
          <w:p w14:paraId="2538EE3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14E25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D48D0B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9FD2A6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2AC3237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BCEEE4F">
        <w:tblPrEx>
          <w:tblCellMar>
            <w:top w:w="0" w:type="dxa"/>
            <w:left w:w="28" w:type="dxa"/>
            <w:bottom w:w="0" w:type="dxa"/>
            <w:right w:w="28" w:type="dxa"/>
          </w:tblCellMar>
        </w:tblPrEx>
        <w:trPr>
          <w:jc w:val="center"/>
        </w:trPr>
        <w:tc>
          <w:tcPr>
            <w:tcW w:w="9101" w:type="dxa"/>
            <w:gridSpan w:val="5"/>
            <w:tcBorders>
              <w:top w:val="single" w:color="auto" w:sz="6" w:space="0"/>
              <w:left w:val="single" w:color="auto" w:sz="12" w:space="0"/>
              <w:bottom w:val="single" w:color="auto" w:sz="6" w:space="0"/>
              <w:right w:val="single" w:color="auto" w:sz="12" w:space="0"/>
            </w:tcBorders>
            <w:noWrap w:val="0"/>
            <w:vAlign w:val="center"/>
          </w:tcPr>
          <w:p w14:paraId="021B4E1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二、现场人员</w:t>
            </w:r>
          </w:p>
        </w:tc>
      </w:tr>
      <w:tr w14:paraId="0C665F54">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6887CA7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项目经理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AA1880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A59561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125E57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66D4F9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93A55D9">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328381D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项目副经理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FC95DF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89B6B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C34105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76208B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8D42A56">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292F3F4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技术负责人</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AF7F7B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DD47F5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6480E6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67F8832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9AD119E">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5238E86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造价管理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50B36E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729470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68F3F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4A0077D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05C1A49">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14752D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质量管理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3CAD7F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DD3397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137568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D81A25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4216260">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5F8C40D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材料管理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A03DC2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0FB51C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59DA0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26F82D2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4DF99B6">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211D2B6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计划管理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200D4F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677DA0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445EF1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4BB8082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71AAED3">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2446684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安全管理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DF45F4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8506F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CB6203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7688AB9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09E668C">
        <w:tblPrEx>
          <w:tblCellMar>
            <w:top w:w="0" w:type="dxa"/>
            <w:left w:w="28" w:type="dxa"/>
            <w:bottom w:w="0" w:type="dxa"/>
            <w:right w:w="28" w:type="dxa"/>
          </w:tblCellMar>
        </w:tblPrEx>
        <w:trPr>
          <w:jc w:val="center"/>
        </w:trPr>
        <w:tc>
          <w:tcPr>
            <w:tcW w:w="1871" w:type="dxa"/>
            <w:vMerge w:val="restart"/>
            <w:tcBorders>
              <w:top w:val="nil"/>
              <w:left w:val="single" w:color="auto" w:sz="12" w:space="0"/>
              <w:bottom w:val="single" w:color="auto" w:sz="6" w:space="0"/>
              <w:right w:val="single" w:color="auto" w:sz="6" w:space="0"/>
            </w:tcBorders>
            <w:noWrap w:val="0"/>
            <w:vAlign w:val="center"/>
          </w:tcPr>
          <w:p w14:paraId="4F59EE4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其他人员</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63FEE0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4A11A7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EBF117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1B5DE55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60E812C">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084B7CE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nil"/>
              <w:right w:val="single" w:color="auto" w:sz="6" w:space="0"/>
            </w:tcBorders>
            <w:noWrap w:val="0"/>
            <w:vAlign w:val="center"/>
          </w:tcPr>
          <w:p w14:paraId="1088A1A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nil"/>
              <w:right w:val="single" w:color="auto" w:sz="6" w:space="0"/>
            </w:tcBorders>
            <w:noWrap w:val="0"/>
            <w:vAlign w:val="center"/>
          </w:tcPr>
          <w:p w14:paraId="73525D0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nil"/>
              <w:right w:val="single" w:color="auto" w:sz="6" w:space="0"/>
            </w:tcBorders>
            <w:noWrap w:val="0"/>
            <w:vAlign w:val="center"/>
          </w:tcPr>
          <w:p w14:paraId="09FAD3A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nil"/>
              <w:right w:val="single" w:color="auto" w:sz="12" w:space="0"/>
            </w:tcBorders>
            <w:noWrap w:val="0"/>
            <w:vAlign w:val="center"/>
          </w:tcPr>
          <w:p w14:paraId="032DCB7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EC89EFE">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7A16919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703B4E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C2921F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0C62F2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6433EBB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4FB0CF2">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115C29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C52FE6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93FC72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CD28B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68E8123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3A9BA73">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43274F5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2BA074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ADFD9A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AAB34A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791C595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597B0BB">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2FE6218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12" w:space="0"/>
              <w:right w:val="single" w:color="auto" w:sz="6" w:space="0"/>
            </w:tcBorders>
            <w:noWrap w:val="0"/>
            <w:vAlign w:val="center"/>
          </w:tcPr>
          <w:p w14:paraId="2E9865E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12" w:space="0"/>
              <w:right w:val="single" w:color="auto" w:sz="6" w:space="0"/>
            </w:tcBorders>
            <w:noWrap w:val="0"/>
            <w:vAlign w:val="center"/>
          </w:tcPr>
          <w:p w14:paraId="1043EB8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12" w:space="0"/>
              <w:right w:val="single" w:color="auto" w:sz="6" w:space="0"/>
            </w:tcBorders>
            <w:noWrap w:val="0"/>
            <w:vAlign w:val="center"/>
          </w:tcPr>
          <w:p w14:paraId="437EEAA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12" w:space="0"/>
              <w:right w:val="single" w:color="auto" w:sz="12" w:space="0"/>
            </w:tcBorders>
            <w:noWrap w:val="0"/>
            <w:vAlign w:val="center"/>
          </w:tcPr>
          <w:p w14:paraId="42481DF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bl>
    <w:p w14:paraId="4B29957D">
      <w:pPr>
        <w:spacing w:line="440" w:lineRule="exact"/>
        <w:ind w:left="0" w:leftChars="0" w:firstLine="0" w:firstLineChars="0"/>
        <w:outlineLvl w:val="9"/>
        <w:rPr>
          <w:rFonts w:hint="eastAsia" w:ascii="宋体" w:hAnsi="宋体"/>
          <w:sz w:val="24"/>
          <w:highlight w:val="none"/>
        </w:rPr>
      </w:pPr>
      <w:r>
        <w:rPr>
          <w:rFonts w:hint="eastAsia" w:ascii="宋体" w:hAnsi="宋体"/>
          <w:sz w:val="24"/>
          <w:highlight w:val="none"/>
        </w:rPr>
        <w:br w:type="page"/>
      </w:r>
      <w:r>
        <w:rPr>
          <w:rFonts w:hint="eastAsia" w:ascii="宋体" w:hAnsi="宋体"/>
          <w:sz w:val="24"/>
          <w:highlight w:val="none"/>
        </w:rPr>
        <w:t>附件</w:t>
      </w:r>
      <w:r>
        <w:rPr>
          <w:rFonts w:hint="eastAsia" w:ascii="宋体" w:hAnsi="宋体"/>
          <w:sz w:val="24"/>
          <w:highlight w:val="none"/>
          <w:lang w:val="en-US" w:eastAsia="zh-CN"/>
        </w:rPr>
        <w:t>6</w:t>
      </w:r>
      <w:r>
        <w:rPr>
          <w:rFonts w:hint="eastAsia" w:ascii="宋体" w:hAnsi="宋体"/>
          <w:sz w:val="24"/>
          <w:highlight w:val="none"/>
        </w:rPr>
        <w:t>：</w:t>
      </w:r>
    </w:p>
    <w:p w14:paraId="6CF159E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jc w:val="center"/>
        <w:textAlignment w:val="auto"/>
        <w:outlineLvl w:val="9"/>
        <w:rPr>
          <w:rFonts w:hint="eastAsia" w:ascii="宋体" w:hAnsi="宋体"/>
          <w:sz w:val="24"/>
          <w:highlight w:val="none"/>
        </w:rPr>
      </w:pPr>
      <w:r>
        <w:rPr>
          <w:rFonts w:hint="eastAsia" w:ascii="宋体" w:hAnsi="宋体"/>
          <w:sz w:val="24"/>
          <w:highlight w:val="none"/>
        </w:rPr>
        <w:t>履约担保</w:t>
      </w:r>
    </w:p>
    <w:p w14:paraId="2C116068">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u w:val="single"/>
        </w:rPr>
        <w:tab/>
      </w:r>
      <w:r>
        <w:rPr>
          <w:rFonts w:hint="eastAsia" w:ascii="宋体" w:hAnsi="宋体"/>
          <w:sz w:val="24"/>
          <w:highlight w:val="none"/>
        </w:rPr>
        <w:t>（发包人名称）：</w:t>
      </w:r>
    </w:p>
    <w:p w14:paraId="0CFACB4A">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鉴于</w:t>
      </w:r>
      <w:r>
        <w:rPr>
          <w:rFonts w:hint="eastAsia" w:ascii="宋体" w:hAnsi="宋体"/>
          <w:sz w:val="24"/>
          <w:highlight w:val="none"/>
          <w:u w:val="single"/>
        </w:rPr>
        <w:t xml:space="preserve">       </w:t>
      </w:r>
      <w:r>
        <w:rPr>
          <w:rFonts w:hint="eastAsia" w:ascii="宋体" w:hAnsi="宋体"/>
          <w:sz w:val="24"/>
          <w:highlight w:val="none"/>
        </w:rPr>
        <w:t xml:space="preserve">（发包人名称，以下简称“发包人”）与 </w:t>
      </w:r>
      <w:r>
        <w:rPr>
          <w:rFonts w:hint="eastAsia" w:ascii="宋体" w:hAnsi="宋体"/>
          <w:sz w:val="24"/>
          <w:highlight w:val="none"/>
          <w:u w:val="single"/>
        </w:rPr>
        <w:t xml:space="preserve">               </w:t>
      </w:r>
      <w:r>
        <w:rPr>
          <w:rFonts w:hint="eastAsia" w:ascii="宋体" w:hAnsi="宋体"/>
          <w:sz w:val="24"/>
          <w:highlight w:val="none"/>
        </w:rPr>
        <w:t>（承包人名称）（以下称“承包人”）于</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日就</w:t>
      </w:r>
      <w:r>
        <w:rPr>
          <w:rFonts w:hint="eastAsia" w:ascii="宋体" w:hAnsi="宋体"/>
          <w:sz w:val="24"/>
          <w:highlight w:val="none"/>
          <w:u w:val="single"/>
        </w:rPr>
        <w:t xml:space="preserve">                   </w:t>
      </w:r>
      <w:r>
        <w:rPr>
          <w:rFonts w:hint="eastAsia" w:ascii="宋体" w:hAnsi="宋体"/>
          <w:sz w:val="24"/>
          <w:highlight w:val="none"/>
        </w:rPr>
        <w:t xml:space="preserve">（工程名称）施工及有关事项协商一致共同签订《建设工程施工合同》。我方愿意无条件地、不可撤销地就承包人履行与你方签订的合同，向你方提供连带责任担保。 </w:t>
      </w:r>
    </w:p>
    <w:p w14:paraId="60CB61F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1. 担保金额人民币（大写）</w:t>
      </w:r>
      <w:r>
        <w:rPr>
          <w:rFonts w:hint="eastAsia" w:ascii="宋体" w:hAnsi="宋体"/>
          <w:sz w:val="24"/>
          <w:highlight w:val="none"/>
          <w:u w:val="single"/>
        </w:rPr>
        <w:t xml:space="preserve">            </w:t>
      </w:r>
      <w:r>
        <w:rPr>
          <w:rFonts w:hint="eastAsia" w:ascii="宋体" w:hAnsi="宋体"/>
          <w:sz w:val="24"/>
          <w:highlight w:val="none"/>
        </w:rPr>
        <w:t>元（¥</w:t>
      </w:r>
      <w:r>
        <w:rPr>
          <w:rFonts w:hint="eastAsia" w:ascii="宋体" w:hAnsi="宋体"/>
          <w:sz w:val="24"/>
          <w:highlight w:val="none"/>
          <w:u w:val="single"/>
        </w:rPr>
        <w:t xml:space="preserve">           </w:t>
      </w:r>
      <w:r>
        <w:rPr>
          <w:rFonts w:hint="eastAsia" w:ascii="宋体" w:hAnsi="宋体"/>
          <w:sz w:val="24"/>
          <w:highlight w:val="none"/>
        </w:rPr>
        <w:t>）。</w:t>
      </w:r>
    </w:p>
    <w:p w14:paraId="6B49AAA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2. 担保有效期自你方与承包人签订的合同生效之日起至你方签发或应签发工程接收证书之日止。</w:t>
      </w:r>
    </w:p>
    <w:p w14:paraId="770346E8">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3. 在本担保有效期内，因承包人违反合同约定的义务给你方造成经济损失时，我方在收到你方以书面形式提出的在担保金额内的赔偿要求后，在7天内无条件支付。</w:t>
      </w:r>
    </w:p>
    <w:p w14:paraId="2DA399F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4. 你方和承包人按合同约定变更合同时，我方承担本担保规定的义务不变。</w:t>
      </w:r>
    </w:p>
    <w:p w14:paraId="227D967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5. 因本保函发生的纠纷，可由双方协商解决，协商不成的，任何一方均可提请</w:t>
      </w:r>
      <w:r>
        <w:rPr>
          <w:rFonts w:hint="eastAsia" w:ascii="宋体" w:hAnsi="宋体"/>
          <w:sz w:val="24"/>
          <w:highlight w:val="none"/>
          <w:u w:val="single"/>
        </w:rPr>
        <w:t xml:space="preserve">        </w:t>
      </w:r>
      <w:r>
        <w:rPr>
          <w:rFonts w:hint="eastAsia" w:ascii="宋体" w:hAnsi="宋体"/>
          <w:sz w:val="24"/>
          <w:highlight w:val="none"/>
        </w:rPr>
        <w:t>仲裁委员会仲裁。</w:t>
      </w:r>
    </w:p>
    <w:p w14:paraId="3F0E871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6. 本保函自我方法定代表人（或其授权代理人）签字并加盖公章之日起生效。</w:t>
      </w:r>
    </w:p>
    <w:p w14:paraId="42AAA22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2640" w:firstLineChars="1100"/>
        <w:textAlignment w:val="auto"/>
        <w:outlineLvl w:val="9"/>
        <w:rPr>
          <w:rFonts w:hint="eastAsia" w:ascii="宋体" w:hAnsi="宋体"/>
          <w:sz w:val="24"/>
          <w:highlight w:val="none"/>
        </w:rPr>
      </w:pPr>
      <w:r>
        <w:rPr>
          <w:rFonts w:hint="eastAsia" w:ascii="宋体" w:hAnsi="宋体"/>
          <w:sz w:val="24"/>
          <w:highlight w:val="none"/>
        </w:rPr>
        <w:t>担 保 人：</w:t>
      </w:r>
      <w:r>
        <w:rPr>
          <w:rFonts w:hint="eastAsia" w:ascii="宋体" w:hAnsi="宋体"/>
          <w:sz w:val="24"/>
          <w:highlight w:val="none"/>
          <w:u w:val="single"/>
        </w:rPr>
        <w:t xml:space="preserve">                           </w:t>
      </w:r>
      <w:r>
        <w:rPr>
          <w:rFonts w:hint="eastAsia" w:ascii="宋体" w:hAnsi="宋体"/>
          <w:sz w:val="24"/>
          <w:highlight w:val="none"/>
        </w:rPr>
        <w:t>（盖单位章）</w:t>
      </w:r>
    </w:p>
    <w:p w14:paraId="6468164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2640" w:firstLineChars="1100"/>
        <w:textAlignment w:val="auto"/>
        <w:outlineLvl w:val="9"/>
        <w:rPr>
          <w:rFonts w:hint="eastAsia" w:ascii="宋体" w:hAnsi="宋体"/>
          <w:sz w:val="24"/>
          <w:highlight w:val="none"/>
        </w:rPr>
      </w:pPr>
      <w:r>
        <w:rPr>
          <w:rFonts w:hint="eastAsia" w:ascii="宋体" w:hAnsi="宋体"/>
          <w:sz w:val="24"/>
          <w:highlight w:val="none"/>
        </w:rPr>
        <w:t>法定代表人或其委托代理人：</w:t>
      </w:r>
      <w:r>
        <w:rPr>
          <w:rFonts w:hint="eastAsia" w:ascii="宋体" w:hAnsi="宋体"/>
          <w:sz w:val="24"/>
          <w:highlight w:val="none"/>
          <w:u w:val="single"/>
        </w:rPr>
        <w:t xml:space="preserve">               </w:t>
      </w:r>
      <w:r>
        <w:rPr>
          <w:rFonts w:hint="eastAsia" w:ascii="宋体" w:hAnsi="宋体"/>
          <w:sz w:val="24"/>
          <w:highlight w:val="none"/>
        </w:rPr>
        <w:t>（签字）</w:t>
      </w:r>
    </w:p>
    <w:p w14:paraId="1274B16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2640" w:firstLineChars="1100"/>
        <w:textAlignment w:val="auto"/>
        <w:outlineLvl w:val="9"/>
        <w:rPr>
          <w:rFonts w:hint="eastAsia" w:ascii="宋体" w:hAnsi="宋体"/>
          <w:color w:val="FFFFFF"/>
          <w:sz w:val="24"/>
          <w:highlight w:val="none"/>
          <w:u w:val="single"/>
        </w:rPr>
      </w:pPr>
      <w:r>
        <w:rPr>
          <w:rFonts w:hint="eastAsia" w:ascii="宋体" w:hAnsi="宋体"/>
          <w:sz w:val="24"/>
          <w:highlight w:val="none"/>
        </w:rPr>
        <w:t>地    址：</w:t>
      </w:r>
      <w:r>
        <w:rPr>
          <w:rFonts w:hint="eastAsia" w:ascii="宋体" w:hAnsi="宋体"/>
          <w:sz w:val="24"/>
          <w:highlight w:val="none"/>
          <w:u w:val="single"/>
        </w:rPr>
        <w:t xml:space="preserve">                                    </w:t>
      </w:r>
      <w:r>
        <w:rPr>
          <w:rFonts w:hint="eastAsia" w:ascii="宋体" w:hAnsi="宋体"/>
          <w:color w:val="FFFFFF"/>
          <w:sz w:val="24"/>
          <w:highlight w:val="none"/>
          <w:u w:val="single"/>
        </w:rPr>
        <w:t>，</w:t>
      </w:r>
    </w:p>
    <w:p w14:paraId="66288FA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2640" w:firstLineChars="1100"/>
        <w:textAlignment w:val="auto"/>
        <w:outlineLvl w:val="9"/>
        <w:rPr>
          <w:rFonts w:hint="eastAsia" w:ascii="宋体" w:hAnsi="宋体"/>
          <w:color w:val="FFFFFF"/>
          <w:sz w:val="24"/>
          <w:highlight w:val="none"/>
          <w:u w:val="single"/>
        </w:rPr>
      </w:pPr>
      <w:r>
        <w:rPr>
          <w:rFonts w:hint="eastAsia" w:ascii="宋体" w:hAnsi="宋体"/>
          <w:sz w:val="24"/>
          <w:highlight w:val="none"/>
        </w:rPr>
        <w:t>邮政编码：</w:t>
      </w:r>
      <w:r>
        <w:rPr>
          <w:rFonts w:hint="eastAsia" w:ascii="宋体" w:hAnsi="宋体"/>
          <w:sz w:val="24"/>
          <w:highlight w:val="none"/>
          <w:u w:val="single"/>
        </w:rPr>
        <w:t xml:space="preserve">                                    </w:t>
      </w:r>
      <w:r>
        <w:rPr>
          <w:rFonts w:hint="eastAsia" w:ascii="宋体" w:hAnsi="宋体"/>
          <w:color w:val="FFFFFF"/>
          <w:sz w:val="24"/>
          <w:highlight w:val="none"/>
          <w:u w:val="single"/>
        </w:rPr>
        <w:t>，</w:t>
      </w:r>
    </w:p>
    <w:p w14:paraId="166C16C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2640" w:firstLineChars="1100"/>
        <w:textAlignment w:val="auto"/>
        <w:outlineLvl w:val="9"/>
        <w:rPr>
          <w:rFonts w:hint="eastAsia" w:ascii="宋体" w:hAnsi="宋体"/>
          <w:sz w:val="24"/>
          <w:highlight w:val="none"/>
          <w:u w:val="single"/>
        </w:rPr>
      </w:pPr>
      <w:r>
        <w:rPr>
          <w:rFonts w:hint="eastAsia" w:ascii="宋体" w:hAnsi="宋体"/>
          <w:sz w:val="24"/>
          <w:highlight w:val="none"/>
        </w:rPr>
        <w:t>电    话：</w:t>
      </w:r>
      <w:r>
        <w:rPr>
          <w:rFonts w:hint="eastAsia" w:ascii="宋体" w:hAnsi="宋体"/>
          <w:sz w:val="24"/>
          <w:highlight w:val="none"/>
          <w:u w:val="single"/>
        </w:rPr>
        <w:t xml:space="preserve">                                    </w:t>
      </w:r>
      <w:r>
        <w:rPr>
          <w:rFonts w:hint="eastAsia" w:ascii="宋体" w:hAnsi="宋体"/>
          <w:color w:val="FFFFFF"/>
          <w:sz w:val="24"/>
          <w:highlight w:val="none"/>
          <w:u w:val="single"/>
        </w:rPr>
        <w:t xml:space="preserve">， </w:t>
      </w:r>
    </w:p>
    <w:p w14:paraId="6ADDB7CA">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2640" w:firstLineChars="1100"/>
        <w:textAlignment w:val="auto"/>
        <w:outlineLvl w:val="9"/>
        <w:rPr>
          <w:rFonts w:hint="eastAsia" w:ascii="宋体" w:hAnsi="宋体"/>
          <w:sz w:val="24"/>
          <w:highlight w:val="none"/>
        </w:rPr>
      </w:pPr>
      <w:r>
        <w:rPr>
          <w:rFonts w:hint="eastAsia" w:ascii="宋体" w:hAnsi="宋体"/>
          <w:sz w:val="24"/>
          <w:highlight w:val="none"/>
        </w:rPr>
        <w:t>传    真：</w:t>
      </w:r>
      <w:r>
        <w:rPr>
          <w:rFonts w:hint="eastAsia" w:ascii="宋体" w:hAnsi="宋体"/>
          <w:sz w:val="24"/>
          <w:highlight w:val="none"/>
          <w:u w:val="single"/>
        </w:rPr>
        <w:t xml:space="preserve">                                    </w:t>
      </w:r>
      <w:r>
        <w:rPr>
          <w:rFonts w:hint="eastAsia" w:ascii="宋体" w:hAnsi="宋体"/>
          <w:color w:val="FFFFFF"/>
          <w:sz w:val="24"/>
          <w:highlight w:val="none"/>
          <w:u w:val="single"/>
        </w:rPr>
        <w:t>，</w:t>
      </w:r>
    </w:p>
    <w:p w14:paraId="6EAFFD6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1519" w:leftChars="0" w:hanging="1519" w:hangingChars="633"/>
        <w:textAlignment w:val="auto"/>
        <w:outlineLvl w:val="9"/>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39675C5E">
      <w:pPr>
        <w:rPr>
          <w:rFonts w:hint="eastAsia" w:ascii="宋体" w:hAnsi="宋体"/>
          <w:sz w:val="24"/>
          <w:highlight w:val="none"/>
        </w:rPr>
      </w:pPr>
      <w:r>
        <w:rPr>
          <w:rFonts w:hint="eastAsia" w:ascii="宋体" w:hAnsi="宋体"/>
          <w:sz w:val="24"/>
          <w:highlight w:val="none"/>
        </w:rPr>
        <w:br w:type="page"/>
      </w:r>
    </w:p>
    <w:p w14:paraId="7EBA0E1F">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firstLine="0" w:firstLineChars="0"/>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7</w:t>
      </w:r>
      <w:r>
        <w:rPr>
          <w:rFonts w:hint="eastAsia" w:ascii="宋体" w:hAnsi="宋体"/>
          <w:sz w:val="24"/>
          <w:highlight w:val="none"/>
        </w:rPr>
        <w:t>：</w:t>
      </w:r>
    </w:p>
    <w:p w14:paraId="2CD9C61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center"/>
        <w:textAlignment w:val="auto"/>
        <w:outlineLvl w:val="9"/>
        <w:rPr>
          <w:rFonts w:hint="eastAsia" w:ascii="宋体" w:hAnsi="宋体"/>
          <w:sz w:val="24"/>
          <w:highlight w:val="none"/>
        </w:rPr>
      </w:pPr>
      <w:r>
        <w:rPr>
          <w:rFonts w:hint="eastAsia" w:ascii="宋体" w:hAnsi="宋体"/>
          <w:sz w:val="24"/>
          <w:highlight w:val="none"/>
        </w:rPr>
        <w:t>预付款担保</w:t>
      </w:r>
    </w:p>
    <w:p w14:paraId="3E692E1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u w:val="single"/>
        </w:rPr>
        <w:tab/>
      </w:r>
      <w:r>
        <w:rPr>
          <w:rFonts w:hint="eastAsia" w:ascii="宋体" w:hAnsi="宋体"/>
          <w:sz w:val="24"/>
          <w:highlight w:val="none"/>
          <w:u w:val="single"/>
        </w:rPr>
        <w:tab/>
      </w:r>
      <w:r>
        <w:rPr>
          <w:rFonts w:hint="eastAsia" w:ascii="宋体" w:hAnsi="宋体"/>
          <w:sz w:val="24"/>
          <w:highlight w:val="none"/>
          <w:u w:val="single"/>
        </w:rPr>
        <w:t xml:space="preserve"> </w:t>
      </w:r>
      <w:r>
        <w:rPr>
          <w:rFonts w:hint="eastAsia" w:ascii="宋体" w:hAnsi="宋体"/>
          <w:sz w:val="24"/>
          <w:highlight w:val="none"/>
        </w:rPr>
        <w:t xml:space="preserve"> （发包人名称）： </w:t>
      </w:r>
    </w:p>
    <w:p w14:paraId="6172D16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根据</w:t>
      </w:r>
      <w:r>
        <w:rPr>
          <w:rFonts w:hint="eastAsia" w:ascii="宋体" w:hAnsi="宋体"/>
          <w:sz w:val="24"/>
          <w:highlight w:val="none"/>
          <w:u w:val="single"/>
        </w:rPr>
        <w:t xml:space="preserve">       </w:t>
      </w:r>
      <w:r>
        <w:rPr>
          <w:rFonts w:hint="eastAsia" w:ascii="宋体" w:hAnsi="宋体"/>
          <w:sz w:val="24"/>
          <w:highlight w:val="none"/>
        </w:rPr>
        <w:t>（承包人名称）（以下称“承包人”）与</w:t>
      </w:r>
      <w:r>
        <w:rPr>
          <w:rFonts w:hint="eastAsia" w:ascii="宋体" w:hAnsi="宋体"/>
          <w:sz w:val="24"/>
          <w:highlight w:val="none"/>
          <w:u w:val="single"/>
        </w:rPr>
        <w:t xml:space="preserve">        </w:t>
      </w:r>
      <w:r>
        <w:rPr>
          <w:rFonts w:hint="eastAsia" w:ascii="宋体" w:hAnsi="宋体"/>
          <w:sz w:val="24"/>
          <w:highlight w:val="none"/>
        </w:rPr>
        <w:t>（发包人名称）（以下简称“发包人”）于</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日签订的</w:t>
      </w:r>
      <w:r>
        <w:rPr>
          <w:rFonts w:hint="eastAsia" w:ascii="宋体" w:hAnsi="宋体"/>
          <w:sz w:val="24"/>
          <w:highlight w:val="none"/>
          <w:u w:val="single"/>
        </w:rPr>
        <w:t xml:space="preserve">                 </w:t>
      </w:r>
      <w:r>
        <w:rPr>
          <w:rFonts w:hint="eastAsia" w:ascii="宋体" w:hAnsi="宋体"/>
          <w:sz w:val="24"/>
          <w:highlight w:val="none"/>
        </w:rPr>
        <w:t>（工程名称）《建设工程施工合同》，承包人按约定的金额向你方提交一份预付款担保，即有权得到你方支付相等金额的预付款。我方愿意就你方提供给承包人的预付款为承包人提供连带责任担保。</w:t>
      </w:r>
    </w:p>
    <w:p w14:paraId="36DE73E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1. 担保金额人民币（大写）</w:t>
      </w:r>
      <w:r>
        <w:rPr>
          <w:rFonts w:hint="eastAsia" w:ascii="宋体" w:hAnsi="宋体"/>
          <w:sz w:val="24"/>
          <w:highlight w:val="none"/>
          <w:u w:val="single"/>
        </w:rPr>
        <w:t xml:space="preserve">              </w:t>
      </w:r>
      <w:r>
        <w:rPr>
          <w:rFonts w:hint="eastAsia" w:ascii="宋体" w:hAnsi="宋体"/>
          <w:sz w:val="24"/>
          <w:highlight w:val="none"/>
        </w:rPr>
        <w:t>元（¥</w:t>
      </w:r>
      <w:r>
        <w:rPr>
          <w:rFonts w:hint="eastAsia" w:ascii="宋体" w:hAnsi="宋体"/>
          <w:sz w:val="24"/>
          <w:highlight w:val="none"/>
          <w:u w:val="single"/>
        </w:rPr>
        <w:t xml:space="preserve">           </w:t>
      </w:r>
      <w:r>
        <w:rPr>
          <w:rFonts w:hint="eastAsia" w:ascii="宋体" w:hAnsi="宋体"/>
          <w:sz w:val="24"/>
          <w:highlight w:val="none"/>
        </w:rPr>
        <w:t>）。</w:t>
      </w:r>
    </w:p>
    <w:p w14:paraId="24286DE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2. 担保有效期自预付款支付给承包人起生效，至你方签发的进度款支付证书说明已完全扣清止。</w:t>
      </w:r>
    </w:p>
    <w:p w14:paraId="2427C81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24BDFE9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4. 你方和承包人按合同约定变更合同时，我方承担本保函规定的义务不变。</w:t>
      </w:r>
    </w:p>
    <w:p w14:paraId="67A4AD7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5. 因本保函发生的纠纷，可由双方协商解决，协商不成的，任何一方均可提请</w:t>
      </w:r>
      <w:r>
        <w:rPr>
          <w:rFonts w:hint="eastAsia" w:ascii="宋体" w:hAnsi="宋体"/>
          <w:sz w:val="24"/>
          <w:highlight w:val="none"/>
          <w:u w:val="single"/>
        </w:rPr>
        <w:t xml:space="preserve">        </w:t>
      </w:r>
      <w:r>
        <w:rPr>
          <w:rFonts w:hint="eastAsia" w:ascii="宋体" w:hAnsi="宋体"/>
          <w:sz w:val="24"/>
          <w:highlight w:val="none"/>
        </w:rPr>
        <w:t>仲裁委员会仲裁。</w:t>
      </w:r>
    </w:p>
    <w:p w14:paraId="59C21E0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6. 本保函自我方法定代表人（或其授权代理人）签字并加盖公章之日起生效。</w:t>
      </w:r>
    </w:p>
    <w:p w14:paraId="0218167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1920" w:firstLineChars="800"/>
        <w:textAlignment w:val="auto"/>
        <w:outlineLvl w:val="9"/>
        <w:rPr>
          <w:rFonts w:hint="eastAsia" w:ascii="宋体" w:hAnsi="宋体"/>
          <w:sz w:val="24"/>
          <w:highlight w:val="none"/>
        </w:rPr>
      </w:pPr>
      <w:r>
        <w:rPr>
          <w:rFonts w:hint="eastAsia" w:ascii="宋体" w:hAnsi="宋体"/>
          <w:sz w:val="24"/>
          <w:highlight w:val="none"/>
        </w:rPr>
        <w:t>担保人：</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（盖单位章）</w:t>
      </w:r>
    </w:p>
    <w:p w14:paraId="28E0E9D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1920" w:firstLineChars="800"/>
        <w:textAlignment w:val="auto"/>
        <w:outlineLvl w:val="9"/>
        <w:rPr>
          <w:rFonts w:hint="eastAsia" w:ascii="宋体" w:hAnsi="宋体"/>
          <w:sz w:val="24"/>
          <w:highlight w:val="none"/>
        </w:rPr>
      </w:pPr>
      <w:r>
        <w:rPr>
          <w:rFonts w:hint="eastAsia" w:ascii="宋体" w:hAnsi="宋体"/>
          <w:sz w:val="24"/>
          <w:highlight w:val="none"/>
        </w:rPr>
        <w:t>法定代表人或其委托代理人：</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（签字）</w:t>
      </w:r>
    </w:p>
    <w:p w14:paraId="10911A38">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1920" w:firstLineChars="800"/>
        <w:textAlignment w:val="auto"/>
        <w:outlineLvl w:val="9"/>
        <w:rPr>
          <w:rFonts w:hint="eastAsia" w:ascii="宋体" w:hAnsi="宋体"/>
          <w:sz w:val="24"/>
          <w:highlight w:val="none"/>
        </w:rPr>
      </w:pPr>
      <w:r>
        <w:rPr>
          <w:rFonts w:hint="eastAsia" w:ascii="宋体" w:hAnsi="宋体"/>
          <w:sz w:val="24"/>
          <w:highlight w:val="none"/>
        </w:rPr>
        <w:t>地    址：</w:t>
      </w:r>
      <w:r>
        <w:rPr>
          <w:rFonts w:hint="eastAsia" w:ascii="宋体" w:hAnsi="宋体"/>
          <w:sz w:val="24"/>
          <w:highlight w:val="none"/>
          <w:u w:val="single"/>
        </w:rPr>
        <w:tab/>
      </w:r>
      <w:r>
        <w:rPr>
          <w:rFonts w:hint="eastAsia" w:ascii="宋体" w:hAnsi="宋体"/>
          <w:sz w:val="24"/>
          <w:highlight w:val="none"/>
          <w:u w:val="single"/>
        </w:rPr>
        <w:tab/>
      </w:r>
      <w:r>
        <w:rPr>
          <w:rFonts w:hint="eastAsia" w:ascii="宋体" w:hAnsi="宋体"/>
          <w:sz w:val="24"/>
          <w:highlight w:val="none"/>
          <w:u w:val="single"/>
        </w:rPr>
        <w:t xml:space="preserve">                          </w:t>
      </w:r>
      <w:r>
        <w:rPr>
          <w:rFonts w:hint="eastAsia" w:ascii="宋体" w:hAnsi="宋体"/>
          <w:sz w:val="24"/>
          <w:highlight w:val="none"/>
          <w:u w:val="single"/>
        </w:rPr>
        <w:tab/>
      </w:r>
      <w:r>
        <w:rPr>
          <w:rFonts w:hint="eastAsia" w:ascii="宋体" w:hAnsi="宋体"/>
          <w:sz w:val="24"/>
          <w:highlight w:val="none"/>
          <w:u w:val="single"/>
        </w:rPr>
        <w:tab/>
      </w:r>
      <w:r>
        <w:rPr>
          <w:rFonts w:hint="eastAsia" w:ascii="宋体" w:hAnsi="宋体"/>
          <w:sz w:val="24"/>
          <w:highlight w:val="none"/>
          <w:u w:val="single"/>
        </w:rPr>
        <w:tab/>
      </w:r>
    </w:p>
    <w:p w14:paraId="20C3521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1920" w:firstLineChars="800"/>
        <w:textAlignment w:val="auto"/>
        <w:outlineLvl w:val="9"/>
        <w:rPr>
          <w:rFonts w:hint="eastAsia" w:ascii="宋体" w:hAnsi="宋体"/>
          <w:sz w:val="24"/>
          <w:highlight w:val="none"/>
          <w:u w:val="single"/>
        </w:rPr>
      </w:pPr>
      <w:r>
        <w:rPr>
          <w:rFonts w:hint="eastAsia" w:ascii="宋体" w:hAnsi="宋体"/>
          <w:sz w:val="24"/>
          <w:highlight w:val="none"/>
        </w:rPr>
        <w:t>电    话：</w:t>
      </w:r>
      <w:r>
        <w:rPr>
          <w:rFonts w:hint="eastAsia" w:ascii="宋体" w:hAnsi="宋体"/>
          <w:sz w:val="24"/>
          <w:highlight w:val="none"/>
          <w:u w:val="single"/>
        </w:rPr>
        <w:tab/>
      </w:r>
      <w:r>
        <w:rPr>
          <w:rFonts w:hint="eastAsia" w:ascii="宋体" w:hAnsi="宋体"/>
          <w:sz w:val="24"/>
          <w:highlight w:val="none"/>
          <w:u w:val="single"/>
        </w:rPr>
        <w:tab/>
      </w:r>
      <w:r>
        <w:rPr>
          <w:rFonts w:hint="eastAsia" w:ascii="宋体" w:hAnsi="宋体"/>
          <w:sz w:val="24"/>
          <w:highlight w:val="none"/>
          <w:u w:val="single"/>
        </w:rPr>
        <w:t xml:space="preserve">  </w:t>
      </w:r>
      <w:r>
        <w:rPr>
          <w:rFonts w:hint="eastAsia" w:ascii="宋体" w:hAnsi="宋体"/>
          <w:sz w:val="24"/>
          <w:highlight w:val="none"/>
          <w:u w:val="single"/>
        </w:rPr>
        <w:tab/>
      </w:r>
      <w:r>
        <w:rPr>
          <w:rFonts w:hint="eastAsia" w:ascii="宋体" w:hAnsi="宋体"/>
          <w:sz w:val="24"/>
          <w:highlight w:val="none"/>
          <w:u w:val="single"/>
        </w:rPr>
        <w:tab/>
      </w:r>
      <w:r>
        <w:rPr>
          <w:rFonts w:hint="eastAsia" w:ascii="宋体" w:hAnsi="宋体"/>
          <w:sz w:val="24"/>
          <w:highlight w:val="none"/>
          <w:u w:val="single"/>
        </w:rPr>
        <w:t xml:space="preserve">                          </w:t>
      </w:r>
      <w:r>
        <w:rPr>
          <w:rFonts w:hint="eastAsia" w:ascii="宋体" w:hAnsi="宋体"/>
          <w:sz w:val="24"/>
          <w:highlight w:val="none"/>
          <w:u w:val="single"/>
        </w:rPr>
        <w:tab/>
      </w:r>
    </w:p>
    <w:p w14:paraId="269616A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07272EE8">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firstLine="0" w:firstLineChars="0"/>
        <w:textAlignment w:val="auto"/>
        <w:outlineLvl w:val="9"/>
        <w:rPr>
          <w:rFonts w:hint="eastAsia" w:ascii="宋体" w:hAnsi="宋体"/>
          <w:sz w:val="24"/>
          <w:highlight w:val="none"/>
        </w:rPr>
      </w:pPr>
      <w:r>
        <w:rPr>
          <w:rFonts w:hint="eastAsia" w:ascii="宋体" w:hAnsi="宋体"/>
          <w:b/>
          <w:bCs/>
          <w:sz w:val="24"/>
          <w:highlight w:val="none"/>
        </w:rPr>
        <w:br w:type="page"/>
      </w:r>
      <w:r>
        <w:rPr>
          <w:rFonts w:hint="eastAsia" w:ascii="宋体" w:hAnsi="宋体"/>
          <w:sz w:val="24"/>
          <w:highlight w:val="none"/>
        </w:rPr>
        <w:t>附件</w:t>
      </w:r>
      <w:r>
        <w:rPr>
          <w:rFonts w:hint="eastAsia" w:ascii="宋体" w:hAnsi="宋体"/>
          <w:sz w:val="24"/>
          <w:highlight w:val="none"/>
          <w:lang w:val="en-US" w:eastAsia="zh-CN"/>
        </w:rPr>
        <w:t>8</w:t>
      </w:r>
      <w:r>
        <w:rPr>
          <w:rFonts w:hint="eastAsia" w:ascii="宋体" w:hAnsi="宋体"/>
          <w:sz w:val="24"/>
          <w:highlight w:val="none"/>
        </w:rPr>
        <w:t xml:space="preserve">:  </w:t>
      </w:r>
    </w:p>
    <w:p w14:paraId="7023EBE8">
      <w:pPr>
        <w:keepNext w:val="0"/>
        <w:keepLines w:val="0"/>
        <w:pageBreakBefore w:val="0"/>
        <w:widowControl w:val="0"/>
        <w:kinsoku/>
        <w:wordWrap/>
        <w:overflowPunct/>
        <w:topLinePunct w:val="0"/>
        <w:autoSpaceDN/>
        <w:bidi w:val="0"/>
        <w:adjustRightInd/>
        <w:snapToGrid/>
        <w:spacing w:before="0" w:beforeLines="0" w:after="0" w:afterLines="0" w:line="360" w:lineRule="auto"/>
        <w:jc w:val="center"/>
        <w:textAlignment w:val="auto"/>
        <w:outlineLvl w:val="9"/>
        <w:rPr>
          <w:rFonts w:hint="eastAsia" w:ascii="宋体" w:hAnsi="宋体"/>
          <w:sz w:val="24"/>
          <w:highlight w:val="none"/>
        </w:rPr>
      </w:pPr>
      <w:r>
        <w:rPr>
          <w:rFonts w:hint="eastAsia" w:ascii="宋体" w:hAnsi="宋体"/>
          <w:sz w:val="24"/>
          <w:highlight w:val="none"/>
        </w:rPr>
        <w:t>支付担保</w:t>
      </w:r>
    </w:p>
    <w:p w14:paraId="6F45997D">
      <w:pPr>
        <w:keepNext w:val="0"/>
        <w:keepLines w:val="0"/>
        <w:pageBreakBefore w:val="0"/>
        <w:widowControl w:val="0"/>
        <w:kinsoku/>
        <w:wordWrap/>
        <w:overflowPunct/>
        <w:topLinePunct w:val="0"/>
        <w:autoSpaceDN/>
        <w:bidi w:val="0"/>
        <w:adjustRightInd/>
        <w:snapToGrid/>
        <w:spacing w:before="0" w:beforeLines="0" w:after="0" w:afterLines="0" w:line="360" w:lineRule="auto"/>
        <w:jc w:val="left"/>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 xml:space="preserve">（承包人）： </w:t>
      </w:r>
    </w:p>
    <w:p w14:paraId="2C3219BE">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鉴于你方作为承包人已经与</w:t>
      </w:r>
      <w:r>
        <w:rPr>
          <w:rFonts w:hint="eastAsia" w:ascii="宋体" w:hAnsi="宋体"/>
          <w:sz w:val="24"/>
          <w:highlight w:val="none"/>
          <w:u w:val="single"/>
        </w:rPr>
        <w:t xml:space="preserve">             </w:t>
      </w:r>
      <w:r>
        <w:rPr>
          <w:rFonts w:hint="eastAsia" w:ascii="宋体" w:hAnsi="宋体"/>
          <w:sz w:val="24"/>
          <w:highlight w:val="none"/>
        </w:rPr>
        <w:t>（发包人名称）（以下称“发包人”）于</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日签订了</w:t>
      </w:r>
      <w:r>
        <w:rPr>
          <w:rFonts w:hint="eastAsia" w:ascii="宋体" w:hAnsi="宋体"/>
          <w:sz w:val="24"/>
          <w:highlight w:val="none"/>
          <w:u w:val="single"/>
        </w:rPr>
        <w:t xml:space="preserve">           </w:t>
      </w:r>
      <w:r>
        <w:rPr>
          <w:rFonts w:hint="eastAsia" w:ascii="宋体" w:hAnsi="宋体"/>
          <w:sz w:val="24"/>
          <w:highlight w:val="none"/>
        </w:rPr>
        <w:t>（工程名称）《建设工程施工合同》（以下称“主合同”），应发包人的申请，我方愿就发包人履行主合同约定的工程款支付义务以保证的方式向你方提供如下担保：</w:t>
      </w:r>
    </w:p>
    <w:p w14:paraId="4C103E15">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一、保证的范围及保证金额</w:t>
      </w:r>
    </w:p>
    <w:p w14:paraId="1817397E">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1. 我方的保证范围是主合同约定的工程款。</w:t>
      </w:r>
    </w:p>
    <w:p w14:paraId="6E3BAF87">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2. 本保函所称主合同约定的工程款是指主合同约定的除工程质量保证金以外的合同价款。</w:t>
      </w:r>
    </w:p>
    <w:p w14:paraId="0CB4FCF1">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3. 我方保证的金额是主合同约定的工程款的</w:t>
      </w:r>
      <w:r>
        <w:rPr>
          <w:rFonts w:hint="eastAsia" w:ascii="宋体" w:hAnsi="宋体"/>
          <w:sz w:val="24"/>
          <w:highlight w:val="none"/>
          <w:u w:val="single"/>
        </w:rPr>
        <w:t xml:space="preserve">      </w:t>
      </w:r>
      <w:r>
        <w:rPr>
          <w:rFonts w:hint="eastAsia" w:ascii="宋体" w:hAnsi="宋体"/>
          <w:sz w:val="24"/>
          <w:highlight w:val="none"/>
        </w:rPr>
        <w:t>%，数额最高不超过人民币元（大写：</w:t>
      </w:r>
      <w:r>
        <w:rPr>
          <w:rFonts w:hint="eastAsia" w:ascii="宋体" w:hAnsi="宋体"/>
          <w:sz w:val="24"/>
          <w:highlight w:val="none"/>
          <w:u w:val="single"/>
        </w:rPr>
        <w:t xml:space="preserve">        </w:t>
      </w:r>
      <w:r>
        <w:rPr>
          <w:rFonts w:hint="eastAsia" w:ascii="宋体" w:hAnsi="宋体"/>
          <w:sz w:val="24"/>
          <w:highlight w:val="none"/>
        </w:rPr>
        <w:t>）。</w:t>
      </w:r>
    </w:p>
    <w:p w14:paraId="12E97175">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二、保证的方式及保证期间</w:t>
      </w:r>
    </w:p>
    <w:p w14:paraId="0BFB21EE">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1. 我方保证的方式为：连带责任保证。</w:t>
      </w:r>
    </w:p>
    <w:p w14:paraId="61AA3E5A">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2. 我方保证的期间为：自本合同生效之日起至主合同约定的工程款支付完毕之日后</w:t>
      </w:r>
      <w:r>
        <w:rPr>
          <w:rFonts w:hint="eastAsia" w:ascii="宋体" w:hAnsi="宋体"/>
          <w:sz w:val="24"/>
          <w:highlight w:val="none"/>
          <w:u w:val="single"/>
        </w:rPr>
        <w:t xml:space="preserve">    </w:t>
      </w:r>
      <w:r>
        <w:rPr>
          <w:rFonts w:hint="eastAsia" w:ascii="宋体" w:hAnsi="宋体"/>
          <w:sz w:val="24"/>
          <w:highlight w:val="none"/>
        </w:rPr>
        <w:t>日内。</w:t>
      </w:r>
    </w:p>
    <w:p w14:paraId="270EB747">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3. 你方与发包人协议变更工程款支付日期的，经我方书面同意后，保证期间按照变更后的支付日期做相应调整。</w:t>
      </w:r>
    </w:p>
    <w:p w14:paraId="3FD2A94D">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三、承担保证责任的形式</w:t>
      </w:r>
    </w:p>
    <w:p w14:paraId="15FEDEB9">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我方承担保证责任的形式是代为支付。发包人未按主合同约定向你方支付工程款的，由我方在保证金额内代为支付。</w:t>
      </w:r>
    </w:p>
    <w:p w14:paraId="1216B701">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四、代偿的安排</w:t>
      </w:r>
    </w:p>
    <w:p w14:paraId="0BE6D688">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1. 你方要求我方承担保证责任的，应向我方发出书面索赔通知及发包人未支付主合同约定工程款的证明材料。索赔通知应写明要求索赔的金额，支付款项应到达的账号。</w:t>
      </w:r>
    </w:p>
    <w:p w14:paraId="6259BD4D">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14:paraId="6CE20AD4">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3. 我方收到你方的书面索赔通知及相应的证明材料后７天内无条件支付。</w:t>
      </w:r>
    </w:p>
    <w:p w14:paraId="7DE62758">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五、保证责任的解除</w:t>
      </w:r>
    </w:p>
    <w:p w14:paraId="7CB8C5AD">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1. 在本保函承诺的保证期间内，你方未书面向我方主张保证责任的，自保证期间届满次日起，我方保证责任解除。</w:t>
      </w:r>
    </w:p>
    <w:p w14:paraId="188261B2">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2. 发包人按主合同约定履行了工程款的全部支付义务的，自本保函承诺的保证期间届满次日起，我方保证责任解除。</w:t>
      </w:r>
    </w:p>
    <w:p w14:paraId="35FD7390">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3. 我方按照本保函向你方履行保证责任所支付金额达到本保函保证金额时，自我方向你方支付（支付款项从我方账户划出）之日起，保证责任即解除。</w:t>
      </w:r>
    </w:p>
    <w:p w14:paraId="0B287DAC">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4. 按照法律法规的规定或出现应解除我方保证责任的其他情形的，我方在本保函项下的保证责任亦解除。</w:t>
      </w:r>
    </w:p>
    <w:p w14:paraId="7C8BAE74">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5. 我方解除保证责任后，你方应自我方保证责任解除之日起</w:t>
      </w:r>
      <w:r>
        <w:rPr>
          <w:rFonts w:hint="eastAsia" w:ascii="宋体" w:hAnsi="宋体"/>
          <w:sz w:val="24"/>
          <w:highlight w:val="none"/>
          <w:u w:val="single"/>
        </w:rPr>
        <w:t xml:space="preserve">  </w:t>
      </w:r>
      <w:r>
        <w:rPr>
          <w:rFonts w:hint="eastAsia" w:ascii="宋体" w:hAnsi="宋体"/>
          <w:sz w:val="24"/>
          <w:highlight w:val="none"/>
        </w:rPr>
        <w:t>个工作日内，将本保函原件返还我方。</w:t>
      </w:r>
    </w:p>
    <w:p w14:paraId="3167735B">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六、免责条款</w:t>
      </w:r>
    </w:p>
    <w:p w14:paraId="464F68FF">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1. 因你方违约致使发包人不能履行义务的，我方不承担保证责任。</w:t>
      </w:r>
    </w:p>
    <w:p w14:paraId="5A8AB5E6">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2. 依照法律法规的规定或你方与发包人的另行约定，免除发包人部分或全部义务的，我方亦免除其相应的保证责任。</w:t>
      </w:r>
    </w:p>
    <w:p w14:paraId="67928365">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14:paraId="76540249">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4. 因不可抗力造成发包人不能履行义务的，我方不承担保证责任。</w:t>
      </w:r>
    </w:p>
    <w:p w14:paraId="23B1BC75">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七、争议解决</w:t>
      </w:r>
    </w:p>
    <w:p w14:paraId="7F1C388D">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因本保函或本保函相关事项发生的纠纷，可由双方协商解决，协商不成的，按下列第</w:t>
      </w:r>
      <w:r>
        <w:rPr>
          <w:rFonts w:hint="eastAsia" w:ascii="宋体" w:hAnsi="宋体"/>
          <w:sz w:val="24"/>
          <w:highlight w:val="none"/>
          <w:u w:val="single"/>
        </w:rPr>
        <w:t xml:space="preserve">     </w:t>
      </w:r>
      <w:r>
        <w:rPr>
          <w:rFonts w:hint="eastAsia" w:ascii="宋体" w:hAnsi="宋体"/>
          <w:sz w:val="24"/>
          <w:highlight w:val="none"/>
        </w:rPr>
        <w:t>种方式解决：</w:t>
      </w:r>
    </w:p>
    <w:p w14:paraId="4005C9EA">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（1）向</w:t>
      </w:r>
      <w:r>
        <w:rPr>
          <w:rFonts w:hint="eastAsia" w:ascii="宋体" w:hAnsi="宋体"/>
          <w:sz w:val="24"/>
          <w:highlight w:val="none"/>
          <w:u w:val="single"/>
        </w:rPr>
        <w:t xml:space="preserve">                     </w:t>
      </w:r>
      <w:r>
        <w:rPr>
          <w:rFonts w:hint="eastAsia" w:ascii="宋体" w:hAnsi="宋体"/>
          <w:sz w:val="24"/>
          <w:highlight w:val="none"/>
        </w:rPr>
        <w:t>仲裁委员会申请仲裁；</w:t>
      </w:r>
    </w:p>
    <w:p w14:paraId="397B7A15">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（2）向</w:t>
      </w:r>
      <w:r>
        <w:rPr>
          <w:rFonts w:hint="eastAsia" w:ascii="宋体" w:hAnsi="宋体"/>
          <w:sz w:val="24"/>
          <w:highlight w:val="none"/>
          <w:u w:val="single"/>
        </w:rPr>
        <w:t xml:space="preserve">                     </w:t>
      </w:r>
      <w:r>
        <w:rPr>
          <w:rFonts w:hint="eastAsia" w:ascii="宋体" w:hAnsi="宋体"/>
          <w:sz w:val="24"/>
          <w:highlight w:val="none"/>
        </w:rPr>
        <w:t>人民法院起诉。</w:t>
      </w:r>
    </w:p>
    <w:p w14:paraId="316DBED5">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八、保函的生效</w:t>
      </w:r>
    </w:p>
    <w:p w14:paraId="5490425F">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本保函自我方法定代表人（或其授权代理人）签字并加盖公章之日起生效。</w:t>
      </w:r>
    </w:p>
    <w:p w14:paraId="5D3ED786">
      <w:pPr>
        <w:keepNext w:val="0"/>
        <w:keepLines w:val="0"/>
        <w:pageBreakBefore w:val="0"/>
        <w:widowControl w:val="0"/>
        <w:kinsoku/>
        <w:wordWrap/>
        <w:overflowPunct/>
        <w:topLinePunct w:val="0"/>
        <w:autoSpaceDN/>
        <w:bidi w:val="0"/>
        <w:adjustRightInd/>
        <w:snapToGrid/>
        <w:spacing w:before="0" w:beforeLines="0" w:after="0" w:afterLines="0" w:line="360" w:lineRule="auto"/>
        <w:ind w:right="600"/>
        <w:jc w:val="left"/>
        <w:textAlignment w:val="auto"/>
        <w:outlineLvl w:val="9"/>
        <w:rPr>
          <w:rFonts w:hint="eastAsia" w:ascii="宋体" w:hAnsi="宋体"/>
          <w:sz w:val="24"/>
          <w:highlight w:val="none"/>
        </w:rPr>
      </w:pPr>
      <w:r>
        <w:rPr>
          <w:rFonts w:hint="eastAsia" w:ascii="宋体" w:hAnsi="宋体"/>
          <w:sz w:val="24"/>
          <w:highlight w:val="none"/>
        </w:rPr>
        <w:t xml:space="preserve"> </w:t>
      </w:r>
    </w:p>
    <w:p w14:paraId="7D1A5DFB">
      <w:pPr>
        <w:pStyle w:val="9"/>
        <w:keepNext w:val="0"/>
        <w:keepLines w:val="0"/>
        <w:pageBreakBefore w:val="0"/>
        <w:widowControl w:val="0"/>
        <w:kinsoku/>
        <w:wordWrap/>
        <w:overflowPunct/>
        <w:topLinePunct w:val="0"/>
        <w:autoSpaceDN/>
        <w:bidi w:val="0"/>
        <w:adjustRightInd/>
        <w:snapToGrid/>
        <w:spacing w:before="0" w:beforeLines="0" w:after="0" w:afterLines="0" w:line="360" w:lineRule="auto"/>
        <w:textAlignment w:val="auto"/>
        <w:rPr>
          <w:rFonts w:hint="eastAsia" w:ascii="宋体" w:hAnsi="宋体"/>
          <w:sz w:val="24"/>
          <w:highlight w:val="none"/>
        </w:rPr>
      </w:pPr>
    </w:p>
    <w:p w14:paraId="1809395A">
      <w:pPr>
        <w:keepNext w:val="0"/>
        <w:keepLines w:val="0"/>
        <w:pageBreakBefore w:val="0"/>
        <w:widowControl w:val="0"/>
        <w:kinsoku/>
        <w:wordWrap/>
        <w:overflowPunct/>
        <w:topLinePunct w:val="0"/>
        <w:autoSpaceDN/>
        <w:bidi w:val="0"/>
        <w:adjustRightInd/>
        <w:snapToGrid/>
        <w:spacing w:before="0" w:beforeLines="0" w:after="0" w:afterLines="0" w:line="360" w:lineRule="auto"/>
        <w:textAlignment w:val="auto"/>
        <w:rPr>
          <w:rFonts w:hint="eastAsia"/>
        </w:rPr>
      </w:pPr>
    </w:p>
    <w:p w14:paraId="41BD244F">
      <w:pPr>
        <w:keepNext w:val="0"/>
        <w:keepLines w:val="0"/>
        <w:pageBreakBefore w:val="0"/>
        <w:widowControl w:val="0"/>
        <w:kinsoku/>
        <w:wordWrap/>
        <w:overflowPunct/>
        <w:topLinePunct w:val="0"/>
        <w:autoSpaceDN/>
        <w:bidi w:val="0"/>
        <w:adjustRightInd/>
        <w:snapToGrid/>
        <w:spacing w:before="0" w:beforeLines="0" w:after="0" w:afterLines="0" w:line="360" w:lineRule="auto"/>
        <w:ind w:right="600" w:firstLine="1440" w:firstLineChars="600"/>
        <w:jc w:val="left"/>
        <w:textAlignment w:val="auto"/>
        <w:outlineLvl w:val="9"/>
        <w:rPr>
          <w:rFonts w:hint="eastAsia" w:ascii="宋体" w:hAnsi="宋体"/>
          <w:sz w:val="24"/>
          <w:highlight w:val="none"/>
        </w:rPr>
      </w:pPr>
      <w:r>
        <w:rPr>
          <w:rFonts w:hint="eastAsia" w:ascii="宋体" w:hAnsi="宋体"/>
          <w:sz w:val="24"/>
          <w:highlight w:val="none"/>
        </w:rPr>
        <w:t>担保人：</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（盖章）</w:t>
      </w:r>
    </w:p>
    <w:p w14:paraId="52B6EBC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right="0" w:firstLine="1440" w:firstLineChars="600"/>
        <w:jc w:val="both"/>
        <w:textAlignment w:val="auto"/>
        <w:outlineLvl w:val="9"/>
        <w:rPr>
          <w:rFonts w:hint="eastAsia" w:ascii="宋体" w:hAnsi="宋体"/>
          <w:sz w:val="24"/>
          <w:highlight w:val="none"/>
        </w:rPr>
      </w:pPr>
      <w:r>
        <w:rPr>
          <w:rFonts w:hint="eastAsia" w:ascii="宋体" w:hAnsi="宋体"/>
          <w:sz w:val="24"/>
          <w:highlight w:val="none"/>
        </w:rPr>
        <w:t>法定代表人或委托代理人：</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（签字）</w:t>
      </w:r>
    </w:p>
    <w:p w14:paraId="728BF7D5">
      <w:pPr>
        <w:keepNext w:val="0"/>
        <w:keepLines w:val="0"/>
        <w:pageBreakBefore w:val="0"/>
        <w:widowControl w:val="0"/>
        <w:kinsoku/>
        <w:wordWrap/>
        <w:overflowPunct/>
        <w:topLinePunct w:val="0"/>
        <w:autoSpaceDN/>
        <w:bidi w:val="0"/>
        <w:adjustRightInd/>
        <w:snapToGrid/>
        <w:spacing w:before="0" w:beforeLines="0" w:after="0" w:afterLines="0" w:line="360" w:lineRule="auto"/>
        <w:ind w:firstLine="1440" w:firstLineChars="600"/>
        <w:jc w:val="left"/>
        <w:textAlignment w:val="auto"/>
        <w:outlineLvl w:val="9"/>
        <w:rPr>
          <w:rFonts w:hint="eastAsia" w:ascii="宋体" w:hAnsi="宋体"/>
          <w:sz w:val="24"/>
          <w:highlight w:val="none"/>
        </w:rPr>
      </w:pPr>
      <w:r>
        <w:rPr>
          <w:rFonts w:hint="eastAsia" w:ascii="宋体" w:hAnsi="宋体"/>
          <w:sz w:val="24"/>
          <w:highlight w:val="none"/>
        </w:rPr>
        <w:t>地    址：</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color w:val="FFFFFF"/>
          <w:sz w:val="24"/>
          <w:highlight w:val="none"/>
          <w:u w:val="single"/>
        </w:rPr>
        <w:t>，</w:t>
      </w:r>
    </w:p>
    <w:p w14:paraId="66293763">
      <w:pPr>
        <w:keepNext w:val="0"/>
        <w:keepLines w:val="0"/>
        <w:pageBreakBefore w:val="0"/>
        <w:widowControl w:val="0"/>
        <w:kinsoku/>
        <w:wordWrap/>
        <w:overflowPunct/>
        <w:topLinePunct w:val="0"/>
        <w:autoSpaceDN/>
        <w:bidi w:val="0"/>
        <w:adjustRightInd/>
        <w:snapToGrid/>
        <w:spacing w:before="0" w:beforeLines="0" w:after="0" w:afterLines="0" w:line="360" w:lineRule="auto"/>
        <w:ind w:firstLine="1440" w:firstLineChars="600"/>
        <w:jc w:val="left"/>
        <w:textAlignment w:val="auto"/>
        <w:outlineLvl w:val="9"/>
        <w:rPr>
          <w:rFonts w:hint="eastAsia" w:ascii="宋体" w:hAnsi="宋体"/>
          <w:sz w:val="24"/>
          <w:highlight w:val="none"/>
        </w:rPr>
      </w:pPr>
      <w:r>
        <w:rPr>
          <w:rFonts w:hint="eastAsia" w:ascii="宋体" w:hAnsi="宋体"/>
          <w:sz w:val="24"/>
          <w:highlight w:val="none"/>
        </w:rPr>
        <w:t>邮政编码：</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color w:val="FFFFFF"/>
          <w:sz w:val="24"/>
          <w:highlight w:val="none"/>
          <w:u w:val="single"/>
        </w:rPr>
        <w:t>，</w:t>
      </w:r>
    </w:p>
    <w:p w14:paraId="3EB25BF7">
      <w:pPr>
        <w:keepNext w:val="0"/>
        <w:keepLines w:val="0"/>
        <w:pageBreakBefore w:val="0"/>
        <w:widowControl w:val="0"/>
        <w:kinsoku/>
        <w:wordWrap/>
        <w:overflowPunct/>
        <w:topLinePunct w:val="0"/>
        <w:autoSpaceDN/>
        <w:bidi w:val="0"/>
        <w:adjustRightInd/>
        <w:snapToGrid/>
        <w:spacing w:before="0" w:beforeLines="0" w:after="0" w:afterLines="0" w:line="360" w:lineRule="auto"/>
        <w:ind w:firstLine="1440" w:firstLineChars="600"/>
        <w:jc w:val="left"/>
        <w:textAlignment w:val="auto"/>
        <w:outlineLvl w:val="9"/>
        <w:rPr>
          <w:rFonts w:hint="eastAsia" w:ascii="宋体" w:hAnsi="宋体"/>
          <w:sz w:val="24"/>
          <w:highlight w:val="none"/>
        </w:rPr>
      </w:pPr>
      <w:r>
        <w:rPr>
          <w:rFonts w:hint="eastAsia" w:ascii="宋体" w:hAnsi="宋体"/>
          <w:sz w:val="24"/>
          <w:highlight w:val="none"/>
        </w:rPr>
        <w:t>传    真：</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color w:val="FFFFFF"/>
          <w:sz w:val="24"/>
          <w:highlight w:val="none"/>
          <w:u w:val="single"/>
        </w:rPr>
        <w:t xml:space="preserve"> ，</w:t>
      </w:r>
    </w:p>
    <w:p w14:paraId="126560DC">
      <w:pPr>
        <w:keepNext w:val="0"/>
        <w:keepLines w:val="0"/>
        <w:pageBreakBefore w:val="0"/>
        <w:widowControl w:val="0"/>
        <w:kinsoku/>
        <w:wordWrap/>
        <w:overflowPunct/>
        <w:topLinePunct w:val="0"/>
        <w:autoSpaceDN/>
        <w:bidi w:val="0"/>
        <w:adjustRightInd/>
        <w:snapToGrid/>
        <w:spacing w:before="0" w:beforeLines="0" w:after="0" w:afterLines="0" w:line="360" w:lineRule="auto"/>
        <w:ind w:right="150" w:firstLine="480" w:firstLineChars="200"/>
        <w:jc w:val="left"/>
        <w:textAlignment w:val="auto"/>
        <w:outlineLvl w:val="9"/>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none"/>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日</w:t>
      </w:r>
    </w:p>
    <w:p w14:paraId="127E477A">
      <w:pPr>
        <w:keepNext w:val="0"/>
        <w:keepLines w:val="0"/>
        <w:pageBreakBefore w:val="0"/>
        <w:widowControl w:val="0"/>
        <w:kinsoku/>
        <w:wordWrap/>
        <w:overflowPunct/>
        <w:topLinePunct w:val="0"/>
        <w:autoSpaceDN/>
        <w:bidi w:val="0"/>
        <w:adjustRightInd/>
        <w:snapToGrid/>
        <w:spacing w:before="0" w:beforeLines="0" w:after="0" w:afterLines="0" w:line="360" w:lineRule="auto"/>
        <w:textAlignment w:val="auto"/>
        <w:outlineLvl w:val="9"/>
        <w:rPr>
          <w:rFonts w:hint="eastAsia" w:ascii="宋体" w:hAnsi="宋体"/>
          <w:sz w:val="24"/>
          <w:highlight w:val="none"/>
        </w:rPr>
      </w:pPr>
      <w:r>
        <w:rPr>
          <w:rFonts w:hint="eastAsia" w:ascii="宋体" w:hAnsi="宋体"/>
          <w:sz w:val="24"/>
          <w:highlight w:val="none"/>
        </w:rPr>
        <w:br w:type="page"/>
      </w:r>
      <w:r>
        <w:rPr>
          <w:rFonts w:hint="eastAsia" w:ascii="宋体" w:hAnsi="宋体"/>
          <w:sz w:val="24"/>
          <w:highlight w:val="none"/>
        </w:rPr>
        <w:t>附件</w:t>
      </w:r>
      <w:r>
        <w:rPr>
          <w:rFonts w:hint="eastAsia" w:ascii="宋体" w:hAnsi="宋体"/>
          <w:sz w:val="24"/>
          <w:highlight w:val="none"/>
          <w:lang w:val="en-US" w:eastAsia="zh-CN"/>
        </w:rPr>
        <w:t>9</w:t>
      </w:r>
      <w:r>
        <w:rPr>
          <w:rFonts w:hint="eastAsia" w:ascii="宋体" w:hAnsi="宋体"/>
          <w:sz w:val="24"/>
          <w:highlight w:val="none"/>
        </w:rPr>
        <w:t>：</w:t>
      </w:r>
    </w:p>
    <w:p w14:paraId="417ECB09">
      <w:pPr>
        <w:spacing w:before="156" w:beforeLines="50" w:after="156" w:afterLines="50" w:line="440" w:lineRule="exact"/>
        <w:jc w:val="center"/>
        <w:outlineLvl w:val="9"/>
        <w:rPr>
          <w:rFonts w:hint="eastAsia" w:ascii="宋体" w:hAnsi="宋体"/>
          <w:sz w:val="24"/>
          <w:highlight w:val="none"/>
        </w:rPr>
      </w:pPr>
      <w:r>
        <w:rPr>
          <w:rFonts w:hint="eastAsia" w:ascii="宋体" w:hAnsi="宋体"/>
          <w:sz w:val="24"/>
          <w:highlight w:val="none"/>
          <w:lang w:val="en-US" w:eastAsia="zh-CN"/>
        </w:rPr>
        <w:t>9</w:t>
      </w:r>
      <w:r>
        <w:rPr>
          <w:rFonts w:hint="eastAsia" w:ascii="宋体" w:hAnsi="宋体"/>
          <w:sz w:val="24"/>
          <w:highlight w:val="none"/>
        </w:rPr>
        <w:t>-1：材料暂估价表</w:t>
      </w:r>
    </w:p>
    <w:tbl>
      <w:tblPr>
        <w:tblStyle w:val="19"/>
        <w:tblW w:w="0" w:type="auto"/>
        <w:jc w:val="center"/>
        <w:tblLayout w:type="fixed"/>
        <w:tblCellMar>
          <w:top w:w="0" w:type="dxa"/>
          <w:left w:w="28" w:type="dxa"/>
          <w:bottom w:w="0" w:type="dxa"/>
          <w:right w:w="28" w:type="dxa"/>
        </w:tblCellMar>
      </w:tblPr>
      <w:tblGrid>
        <w:gridCol w:w="993"/>
        <w:gridCol w:w="1984"/>
        <w:gridCol w:w="851"/>
        <w:gridCol w:w="774"/>
        <w:gridCol w:w="1352"/>
        <w:gridCol w:w="1418"/>
        <w:gridCol w:w="1212"/>
      </w:tblGrid>
      <w:tr w14:paraId="22AF9469">
        <w:tblPrEx>
          <w:tblCellMar>
            <w:top w:w="0" w:type="dxa"/>
            <w:left w:w="28" w:type="dxa"/>
            <w:bottom w:w="0" w:type="dxa"/>
            <w:right w:w="28" w:type="dxa"/>
          </w:tblCellMar>
        </w:tblPrEx>
        <w:trPr>
          <w:jc w:val="center"/>
        </w:trPr>
        <w:tc>
          <w:tcPr>
            <w:tcW w:w="993" w:type="dxa"/>
            <w:tcBorders>
              <w:top w:val="single" w:color="auto" w:sz="12" w:space="0"/>
              <w:left w:val="single" w:color="auto" w:sz="12" w:space="0"/>
              <w:bottom w:val="double" w:color="auto" w:sz="2" w:space="0"/>
              <w:right w:val="single" w:color="auto" w:sz="6" w:space="0"/>
            </w:tcBorders>
            <w:noWrap w:val="0"/>
            <w:vAlign w:val="center"/>
          </w:tcPr>
          <w:p w14:paraId="568C70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71F200E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名称</w:t>
            </w:r>
          </w:p>
        </w:tc>
        <w:tc>
          <w:tcPr>
            <w:tcW w:w="851" w:type="dxa"/>
            <w:tcBorders>
              <w:top w:val="single" w:color="auto" w:sz="12" w:space="0"/>
              <w:left w:val="single" w:color="auto" w:sz="6" w:space="0"/>
              <w:bottom w:val="double" w:color="auto" w:sz="2" w:space="0"/>
              <w:right w:val="single" w:color="auto" w:sz="6" w:space="0"/>
            </w:tcBorders>
            <w:noWrap w:val="0"/>
            <w:vAlign w:val="center"/>
          </w:tcPr>
          <w:p w14:paraId="1CDBACE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单位</w:t>
            </w:r>
          </w:p>
        </w:tc>
        <w:tc>
          <w:tcPr>
            <w:tcW w:w="774" w:type="dxa"/>
            <w:tcBorders>
              <w:top w:val="single" w:color="auto" w:sz="12" w:space="0"/>
              <w:left w:val="single" w:color="auto" w:sz="6" w:space="0"/>
              <w:bottom w:val="double" w:color="auto" w:sz="2" w:space="0"/>
              <w:right w:val="single" w:color="auto" w:sz="6" w:space="0"/>
            </w:tcBorders>
            <w:noWrap w:val="0"/>
            <w:vAlign w:val="center"/>
          </w:tcPr>
          <w:p w14:paraId="038726F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数量</w:t>
            </w:r>
          </w:p>
        </w:tc>
        <w:tc>
          <w:tcPr>
            <w:tcW w:w="1352" w:type="dxa"/>
            <w:tcBorders>
              <w:top w:val="single" w:color="auto" w:sz="12" w:space="0"/>
              <w:left w:val="single" w:color="auto" w:sz="6" w:space="0"/>
              <w:bottom w:val="double" w:color="auto" w:sz="2" w:space="0"/>
              <w:right w:val="single" w:color="auto" w:sz="6" w:space="0"/>
            </w:tcBorders>
            <w:noWrap w:val="0"/>
            <w:vAlign w:val="center"/>
          </w:tcPr>
          <w:p w14:paraId="5F176C1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单价（元）</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34F94D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合价（元）</w:t>
            </w:r>
          </w:p>
        </w:tc>
        <w:tc>
          <w:tcPr>
            <w:tcW w:w="1212" w:type="dxa"/>
            <w:tcBorders>
              <w:top w:val="single" w:color="auto" w:sz="12" w:space="0"/>
              <w:left w:val="single" w:color="auto" w:sz="6" w:space="0"/>
              <w:bottom w:val="double" w:color="auto" w:sz="2" w:space="0"/>
              <w:right w:val="single" w:color="auto" w:sz="12" w:space="0"/>
            </w:tcBorders>
            <w:noWrap w:val="0"/>
            <w:vAlign w:val="center"/>
          </w:tcPr>
          <w:p w14:paraId="04BBBFD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备注</w:t>
            </w:r>
          </w:p>
        </w:tc>
      </w:tr>
      <w:tr w14:paraId="748F0340">
        <w:tblPrEx>
          <w:tblCellMar>
            <w:top w:w="0" w:type="dxa"/>
            <w:left w:w="28" w:type="dxa"/>
            <w:bottom w:w="0" w:type="dxa"/>
            <w:right w:w="28" w:type="dxa"/>
          </w:tblCellMar>
        </w:tblPrEx>
        <w:trPr>
          <w:jc w:val="center"/>
        </w:trPr>
        <w:tc>
          <w:tcPr>
            <w:tcW w:w="993" w:type="dxa"/>
            <w:tcBorders>
              <w:top w:val="double" w:color="auto" w:sz="2" w:space="0"/>
              <w:left w:val="single" w:color="auto" w:sz="12" w:space="0"/>
              <w:bottom w:val="single" w:color="auto" w:sz="6" w:space="0"/>
              <w:right w:val="single" w:color="auto" w:sz="6" w:space="0"/>
            </w:tcBorders>
            <w:noWrap w:val="0"/>
            <w:vAlign w:val="top"/>
          </w:tcPr>
          <w:p w14:paraId="2D29341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033F347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2465913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2A3E5FF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7945B1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382D9C6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double" w:color="auto" w:sz="2" w:space="0"/>
              <w:left w:val="single" w:color="auto" w:sz="6" w:space="0"/>
              <w:bottom w:val="single" w:color="auto" w:sz="6" w:space="0"/>
              <w:right w:val="single" w:color="auto" w:sz="12" w:space="0"/>
            </w:tcBorders>
            <w:noWrap w:val="0"/>
            <w:vAlign w:val="top"/>
          </w:tcPr>
          <w:p w14:paraId="760D9B4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5AB78AC">
        <w:tblPrEx>
          <w:tblCellMar>
            <w:top w:w="0" w:type="dxa"/>
            <w:left w:w="28" w:type="dxa"/>
            <w:bottom w:w="0" w:type="dxa"/>
            <w:right w:w="28" w:type="dxa"/>
          </w:tblCellMar>
        </w:tblPrEx>
        <w:trPr>
          <w:jc w:val="center"/>
        </w:trPr>
        <w:tc>
          <w:tcPr>
            <w:tcW w:w="993" w:type="dxa"/>
            <w:tcBorders>
              <w:top w:val="nil"/>
              <w:left w:val="single" w:color="auto" w:sz="12" w:space="0"/>
              <w:bottom w:val="single" w:color="auto" w:sz="6" w:space="0"/>
              <w:right w:val="single" w:color="auto" w:sz="6" w:space="0"/>
            </w:tcBorders>
            <w:noWrap w:val="0"/>
            <w:vAlign w:val="top"/>
          </w:tcPr>
          <w:p w14:paraId="54035B0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nil"/>
              <w:left w:val="single" w:color="auto" w:sz="6" w:space="0"/>
              <w:bottom w:val="single" w:color="auto" w:sz="6" w:space="0"/>
              <w:right w:val="single" w:color="auto" w:sz="6" w:space="0"/>
            </w:tcBorders>
            <w:noWrap w:val="0"/>
            <w:vAlign w:val="top"/>
          </w:tcPr>
          <w:p w14:paraId="57F3399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nil"/>
              <w:left w:val="single" w:color="auto" w:sz="6" w:space="0"/>
              <w:bottom w:val="single" w:color="auto" w:sz="6" w:space="0"/>
              <w:right w:val="single" w:color="auto" w:sz="6" w:space="0"/>
            </w:tcBorders>
            <w:noWrap w:val="0"/>
            <w:vAlign w:val="top"/>
          </w:tcPr>
          <w:p w14:paraId="31CFFD5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nil"/>
              <w:left w:val="single" w:color="auto" w:sz="6" w:space="0"/>
              <w:bottom w:val="single" w:color="auto" w:sz="6" w:space="0"/>
              <w:right w:val="single" w:color="auto" w:sz="6" w:space="0"/>
            </w:tcBorders>
            <w:noWrap w:val="0"/>
            <w:vAlign w:val="top"/>
          </w:tcPr>
          <w:p w14:paraId="402307F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nil"/>
              <w:left w:val="single" w:color="auto" w:sz="6" w:space="0"/>
              <w:bottom w:val="single" w:color="auto" w:sz="6" w:space="0"/>
              <w:right w:val="single" w:color="auto" w:sz="6" w:space="0"/>
            </w:tcBorders>
            <w:noWrap w:val="0"/>
            <w:vAlign w:val="top"/>
          </w:tcPr>
          <w:p w14:paraId="0864752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nil"/>
              <w:left w:val="single" w:color="auto" w:sz="6" w:space="0"/>
              <w:bottom w:val="single" w:color="auto" w:sz="6" w:space="0"/>
              <w:right w:val="single" w:color="auto" w:sz="6" w:space="0"/>
            </w:tcBorders>
            <w:noWrap w:val="0"/>
            <w:vAlign w:val="top"/>
          </w:tcPr>
          <w:p w14:paraId="5976C07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nil"/>
              <w:left w:val="single" w:color="auto" w:sz="6" w:space="0"/>
              <w:bottom w:val="single" w:color="auto" w:sz="6" w:space="0"/>
              <w:right w:val="single" w:color="auto" w:sz="12" w:space="0"/>
            </w:tcBorders>
            <w:noWrap w:val="0"/>
            <w:vAlign w:val="top"/>
          </w:tcPr>
          <w:p w14:paraId="66E1FDF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DFDE14F">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6BA881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2B135D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2D724B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A050AF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FD3F44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5DF41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5622BC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49F4490">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BECF37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18C4D7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9395F6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29B69A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BB383C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0E48DF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EF7A65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0390C0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0FFA2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3D38A6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5A94A9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862DDF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37A32E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69C8F0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5A033EB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248F3EF">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FC0F75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769AEF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5238F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E2E60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AC6C8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246E95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753448A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FA7531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36EBF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88F52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8C3866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DC2A0D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925015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79FA56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5F0C15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0C62BD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757803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9D500B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F4EB71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2A8908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FFF896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17A852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02D5D2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FB5508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67D129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4EB73B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3F4D46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447494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588077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308FD4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021267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F0CD7C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9DDC2A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97B8D3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02AEF1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00FBA2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1DF50F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B08AF8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429D4BD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1E421F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FB4A2E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FB2D21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2C626E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7032DF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D96717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079DA8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72CBED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2E6DD1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D36FF3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E693E5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72E884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EE5757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BF6E57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E677F5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7378B9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67B24EF">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7C5A6D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AD893A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B9D804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7C2A90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B05B93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71EDD5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41FFD65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FCB091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C6F8F3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94EBD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4AAB04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C996EA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DF5222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02509B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13509A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DC0FF31">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32801C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25F73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1298F7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7D6891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2712E5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E09139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470C6D5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974359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7831DB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11D6D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D62AF6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C603AE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B57BFB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1EA69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FE9A8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5747E1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55D403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8CDAB8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AFB77D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8E08DE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7BE1EB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7A6282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4679D19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C0A20D1">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B04212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D0C9E0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173042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3DE08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CAB425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9510C8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583B8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A583AE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7ADD33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537F38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D7718A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E51C53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CD7D29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36478E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4DB756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E6D712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37CD93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7E1A45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7A55CD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0CD179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6F828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584559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56DB319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BAB6B0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6B3767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6480D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FB0E1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061110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84B98A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50CB1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7C8B7F6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423D510">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1AB012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21015B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3C497D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764141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19115F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B62E4A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526976E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94E067C">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7B470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DDDDE3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DE1DA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86E14C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18FEDE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5CBD6F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7709E6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1C6732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12" w:space="0"/>
              <w:right w:val="single" w:color="auto" w:sz="6" w:space="0"/>
            </w:tcBorders>
            <w:noWrap w:val="0"/>
            <w:vAlign w:val="top"/>
          </w:tcPr>
          <w:p w14:paraId="5BC8278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2550C68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5018DE2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3008EF6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17EC184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3D7E0D2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12" w:space="0"/>
              <w:right w:val="single" w:color="auto" w:sz="12" w:space="0"/>
            </w:tcBorders>
            <w:noWrap w:val="0"/>
            <w:vAlign w:val="top"/>
          </w:tcPr>
          <w:p w14:paraId="12926B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bl>
    <w:p w14:paraId="06574929">
      <w:pPr>
        <w:spacing w:before="156" w:beforeLines="50" w:after="156" w:afterLines="50" w:line="440" w:lineRule="exact"/>
        <w:outlineLvl w:val="9"/>
        <w:rPr>
          <w:rFonts w:hint="eastAsia" w:ascii="宋体" w:hAnsi="宋体"/>
          <w:sz w:val="24"/>
          <w:highlight w:val="none"/>
        </w:rPr>
      </w:pPr>
      <w:r>
        <w:rPr>
          <w:rFonts w:hint="eastAsia" w:ascii="宋体" w:hAnsi="宋体"/>
          <w:sz w:val="24"/>
          <w:highlight w:val="none"/>
        </w:rPr>
        <w:t xml:space="preserve"> </w:t>
      </w:r>
    </w:p>
    <w:p w14:paraId="31DBDC64">
      <w:pPr>
        <w:spacing w:before="156" w:beforeLines="50" w:after="156" w:afterLines="50" w:line="440" w:lineRule="exact"/>
        <w:jc w:val="center"/>
        <w:outlineLvl w:val="9"/>
        <w:rPr>
          <w:rFonts w:hint="eastAsia" w:ascii="宋体" w:hAnsi="宋体"/>
          <w:sz w:val="24"/>
          <w:highlight w:val="none"/>
          <w:lang w:val="en-US" w:eastAsia="zh-CN"/>
        </w:rPr>
      </w:pPr>
    </w:p>
    <w:p w14:paraId="4A097E6F">
      <w:pPr>
        <w:spacing w:before="156" w:beforeLines="50" w:after="156" w:afterLines="50" w:line="440" w:lineRule="exact"/>
        <w:jc w:val="center"/>
        <w:outlineLvl w:val="9"/>
        <w:rPr>
          <w:rFonts w:hint="eastAsia" w:ascii="宋体" w:hAnsi="宋体"/>
          <w:sz w:val="24"/>
          <w:highlight w:val="none"/>
        </w:rPr>
      </w:pPr>
      <w:r>
        <w:rPr>
          <w:rFonts w:hint="eastAsia" w:ascii="宋体" w:hAnsi="宋体"/>
          <w:sz w:val="24"/>
          <w:highlight w:val="none"/>
          <w:lang w:val="en-US" w:eastAsia="zh-CN"/>
        </w:rPr>
        <w:t>9</w:t>
      </w:r>
      <w:r>
        <w:rPr>
          <w:rFonts w:hint="eastAsia" w:ascii="宋体" w:hAnsi="宋体"/>
          <w:sz w:val="24"/>
          <w:highlight w:val="none"/>
        </w:rPr>
        <w:t>-2：工程设备暂估价表</w:t>
      </w:r>
    </w:p>
    <w:tbl>
      <w:tblPr>
        <w:tblStyle w:val="19"/>
        <w:tblW w:w="0" w:type="auto"/>
        <w:jc w:val="center"/>
        <w:tblLayout w:type="fixed"/>
        <w:tblCellMar>
          <w:top w:w="0" w:type="dxa"/>
          <w:left w:w="28" w:type="dxa"/>
          <w:bottom w:w="0" w:type="dxa"/>
          <w:right w:w="28" w:type="dxa"/>
        </w:tblCellMar>
      </w:tblPr>
      <w:tblGrid>
        <w:gridCol w:w="993"/>
        <w:gridCol w:w="1984"/>
        <w:gridCol w:w="851"/>
        <w:gridCol w:w="774"/>
        <w:gridCol w:w="1352"/>
        <w:gridCol w:w="1418"/>
        <w:gridCol w:w="1381"/>
      </w:tblGrid>
      <w:tr w14:paraId="01046A72">
        <w:tblPrEx>
          <w:tblCellMar>
            <w:top w:w="0" w:type="dxa"/>
            <w:left w:w="28" w:type="dxa"/>
            <w:bottom w:w="0" w:type="dxa"/>
            <w:right w:w="28" w:type="dxa"/>
          </w:tblCellMar>
        </w:tblPrEx>
        <w:trPr>
          <w:jc w:val="center"/>
        </w:trPr>
        <w:tc>
          <w:tcPr>
            <w:tcW w:w="993" w:type="dxa"/>
            <w:tcBorders>
              <w:top w:val="single" w:color="auto" w:sz="12" w:space="0"/>
              <w:left w:val="single" w:color="auto" w:sz="12" w:space="0"/>
              <w:bottom w:val="double" w:color="auto" w:sz="2" w:space="0"/>
              <w:right w:val="single" w:color="auto" w:sz="6" w:space="0"/>
            </w:tcBorders>
            <w:noWrap w:val="0"/>
            <w:vAlign w:val="center"/>
          </w:tcPr>
          <w:p w14:paraId="1D6DB6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648CB24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名称</w:t>
            </w:r>
          </w:p>
        </w:tc>
        <w:tc>
          <w:tcPr>
            <w:tcW w:w="851" w:type="dxa"/>
            <w:tcBorders>
              <w:top w:val="single" w:color="auto" w:sz="12" w:space="0"/>
              <w:left w:val="single" w:color="auto" w:sz="6" w:space="0"/>
              <w:bottom w:val="double" w:color="auto" w:sz="2" w:space="0"/>
              <w:right w:val="single" w:color="auto" w:sz="6" w:space="0"/>
            </w:tcBorders>
            <w:noWrap w:val="0"/>
            <w:vAlign w:val="center"/>
          </w:tcPr>
          <w:p w14:paraId="51A7D47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单位</w:t>
            </w:r>
          </w:p>
        </w:tc>
        <w:tc>
          <w:tcPr>
            <w:tcW w:w="774" w:type="dxa"/>
            <w:tcBorders>
              <w:top w:val="single" w:color="auto" w:sz="12" w:space="0"/>
              <w:left w:val="single" w:color="auto" w:sz="6" w:space="0"/>
              <w:bottom w:val="double" w:color="auto" w:sz="2" w:space="0"/>
              <w:right w:val="single" w:color="auto" w:sz="6" w:space="0"/>
            </w:tcBorders>
            <w:noWrap w:val="0"/>
            <w:vAlign w:val="center"/>
          </w:tcPr>
          <w:p w14:paraId="10A46B2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数量</w:t>
            </w:r>
          </w:p>
        </w:tc>
        <w:tc>
          <w:tcPr>
            <w:tcW w:w="1352" w:type="dxa"/>
            <w:tcBorders>
              <w:top w:val="single" w:color="auto" w:sz="12" w:space="0"/>
              <w:left w:val="single" w:color="auto" w:sz="6" w:space="0"/>
              <w:bottom w:val="double" w:color="auto" w:sz="2" w:space="0"/>
              <w:right w:val="single" w:color="auto" w:sz="6" w:space="0"/>
            </w:tcBorders>
            <w:noWrap w:val="0"/>
            <w:vAlign w:val="center"/>
          </w:tcPr>
          <w:p w14:paraId="1932CFF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单价（元）</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1708746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合价（元）</w:t>
            </w:r>
          </w:p>
        </w:tc>
        <w:tc>
          <w:tcPr>
            <w:tcW w:w="1381" w:type="dxa"/>
            <w:tcBorders>
              <w:top w:val="single" w:color="auto" w:sz="12" w:space="0"/>
              <w:left w:val="single" w:color="auto" w:sz="6" w:space="0"/>
              <w:bottom w:val="double" w:color="auto" w:sz="2" w:space="0"/>
              <w:right w:val="single" w:color="auto" w:sz="12" w:space="0"/>
            </w:tcBorders>
            <w:noWrap w:val="0"/>
            <w:vAlign w:val="center"/>
          </w:tcPr>
          <w:p w14:paraId="26005D3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备注</w:t>
            </w:r>
          </w:p>
        </w:tc>
      </w:tr>
      <w:tr w14:paraId="4F648109">
        <w:tblPrEx>
          <w:tblCellMar>
            <w:top w:w="0" w:type="dxa"/>
            <w:left w:w="28" w:type="dxa"/>
            <w:bottom w:w="0" w:type="dxa"/>
            <w:right w:w="28" w:type="dxa"/>
          </w:tblCellMar>
        </w:tblPrEx>
        <w:trPr>
          <w:jc w:val="center"/>
        </w:trPr>
        <w:tc>
          <w:tcPr>
            <w:tcW w:w="993" w:type="dxa"/>
            <w:tcBorders>
              <w:top w:val="double" w:color="auto" w:sz="2" w:space="0"/>
              <w:left w:val="single" w:color="auto" w:sz="12" w:space="0"/>
              <w:bottom w:val="single" w:color="auto" w:sz="6" w:space="0"/>
              <w:right w:val="single" w:color="auto" w:sz="6" w:space="0"/>
            </w:tcBorders>
            <w:noWrap w:val="0"/>
            <w:vAlign w:val="top"/>
          </w:tcPr>
          <w:p w14:paraId="052BA1E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48F786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283C227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2685C8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784494D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684992F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double" w:color="auto" w:sz="2" w:space="0"/>
              <w:left w:val="single" w:color="auto" w:sz="6" w:space="0"/>
              <w:bottom w:val="single" w:color="auto" w:sz="6" w:space="0"/>
              <w:right w:val="single" w:color="auto" w:sz="12" w:space="0"/>
            </w:tcBorders>
            <w:noWrap w:val="0"/>
            <w:vAlign w:val="top"/>
          </w:tcPr>
          <w:p w14:paraId="0448711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4BB2332">
        <w:tblPrEx>
          <w:tblCellMar>
            <w:top w:w="0" w:type="dxa"/>
            <w:left w:w="28" w:type="dxa"/>
            <w:bottom w:w="0" w:type="dxa"/>
            <w:right w:w="28" w:type="dxa"/>
          </w:tblCellMar>
        </w:tblPrEx>
        <w:trPr>
          <w:jc w:val="center"/>
        </w:trPr>
        <w:tc>
          <w:tcPr>
            <w:tcW w:w="993" w:type="dxa"/>
            <w:tcBorders>
              <w:top w:val="nil"/>
              <w:left w:val="single" w:color="auto" w:sz="12" w:space="0"/>
              <w:bottom w:val="single" w:color="auto" w:sz="6" w:space="0"/>
              <w:right w:val="single" w:color="auto" w:sz="6" w:space="0"/>
            </w:tcBorders>
            <w:noWrap w:val="0"/>
            <w:vAlign w:val="top"/>
          </w:tcPr>
          <w:p w14:paraId="05B984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nil"/>
              <w:left w:val="single" w:color="auto" w:sz="6" w:space="0"/>
              <w:bottom w:val="single" w:color="auto" w:sz="6" w:space="0"/>
              <w:right w:val="single" w:color="auto" w:sz="6" w:space="0"/>
            </w:tcBorders>
            <w:noWrap w:val="0"/>
            <w:vAlign w:val="top"/>
          </w:tcPr>
          <w:p w14:paraId="24F6BF6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nil"/>
              <w:left w:val="single" w:color="auto" w:sz="6" w:space="0"/>
              <w:bottom w:val="single" w:color="auto" w:sz="6" w:space="0"/>
              <w:right w:val="single" w:color="auto" w:sz="6" w:space="0"/>
            </w:tcBorders>
            <w:noWrap w:val="0"/>
            <w:vAlign w:val="top"/>
          </w:tcPr>
          <w:p w14:paraId="6548C91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nil"/>
              <w:left w:val="single" w:color="auto" w:sz="6" w:space="0"/>
              <w:bottom w:val="single" w:color="auto" w:sz="6" w:space="0"/>
              <w:right w:val="single" w:color="auto" w:sz="6" w:space="0"/>
            </w:tcBorders>
            <w:noWrap w:val="0"/>
            <w:vAlign w:val="top"/>
          </w:tcPr>
          <w:p w14:paraId="34C6C3F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nil"/>
              <w:left w:val="single" w:color="auto" w:sz="6" w:space="0"/>
              <w:bottom w:val="single" w:color="auto" w:sz="6" w:space="0"/>
              <w:right w:val="single" w:color="auto" w:sz="6" w:space="0"/>
            </w:tcBorders>
            <w:noWrap w:val="0"/>
            <w:vAlign w:val="top"/>
          </w:tcPr>
          <w:p w14:paraId="54ABFEC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nil"/>
              <w:left w:val="single" w:color="auto" w:sz="6" w:space="0"/>
              <w:bottom w:val="single" w:color="auto" w:sz="6" w:space="0"/>
              <w:right w:val="single" w:color="auto" w:sz="6" w:space="0"/>
            </w:tcBorders>
            <w:noWrap w:val="0"/>
            <w:vAlign w:val="top"/>
          </w:tcPr>
          <w:p w14:paraId="6CF1171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nil"/>
              <w:left w:val="single" w:color="auto" w:sz="6" w:space="0"/>
              <w:bottom w:val="single" w:color="auto" w:sz="6" w:space="0"/>
              <w:right w:val="single" w:color="auto" w:sz="12" w:space="0"/>
            </w:tcBorders>
            <w:noWrap w:val="0"/>
            <w:vAlign w:val="top"/>
          </w:tcPr>
          <w:p w14:paraId="71FA0B1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5A28CE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C5066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5CC4BE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232517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298B8F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23BCBC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381349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07ED28B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8EA31F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130DDC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BB8EC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4A1C65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0748D9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827647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1BD7B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3B8491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6B95381">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012C02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EE3AD6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C40A20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A6F1E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E618F0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FC28F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2C4C2BC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C7BBDF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8679CA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45FF68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AA0348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54122B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008D18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75A960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DC0F13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13733C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07E050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70313D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DC60D3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BD009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2F264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7147C0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30BD48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D17206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851DCA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E7997A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C5783F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A27418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BB96E6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00CAB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6337A9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FC4B7A6">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011F7F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26CBE3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A22E3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2C25DC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3FCD6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44C846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2E7DA3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E9AE64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036D89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63E681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177985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CDE27D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BCAF59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73781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D8BB2F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D94877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4CDD4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5173C2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0392E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F0731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0E1EEE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16EEB3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7F41981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753502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1EA265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F323E1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9E2F06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2FEFFD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6F1176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490E5D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0D4C688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C585BD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87F1E9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6908BF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13DBD8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6AFA57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E99904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2D479A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77EF13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A20DCD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B65346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CFE8D3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C4389F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581D65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33C61E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D896B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667A3C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C00C63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9FE366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1465A4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E2094C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28266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61F2E1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6A14B4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CFE23B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117FB7A">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9D0A58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F74B9B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FB9D83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46B532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AC34F1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14F50D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D815E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F35018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59EBC0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3BFA98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04902C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F39D2D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E6CEB1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D1540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38E1A7D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190F8B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2A1784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767A71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811659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288803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E91701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BB90EA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0BE1D5F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62A117A">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EBAF16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B5501C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3265B4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78EA04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D946FD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AF5B71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2AF026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83FC69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2F02DA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6BB050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4D5554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8B5268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5B7E0E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BCEDD5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7A4678F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3F18EB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41FFE5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2ACB1B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CB8410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D8EDF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0C948B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F6C29A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7728FED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BEC6FCA">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C8F65F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D1D8C7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52759E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71074D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6D271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549128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83A8CD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215D8FC">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ADB6F1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5936BA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FA636B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19D6F4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BF61A4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0B1DA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2EDA71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3B3F3C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D532E6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259024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4A1153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B0EB47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340B70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77755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27C00D5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4B40C7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12" w:space="0"/>
              <w:right w:val="single" w:color="auto" w:sz="6" w:space="0"/>
            </w:tcBorders>
            <w:noWrap w:val="0"/>
            <w:vAlign w:val="top"/>
          </w:tcPr>
          <w:p w14:paraId="0E77EEE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49E1E6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1A2580B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3248061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410C258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06A1B01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12" w:space="0"/>
              <w:right w:val="single" w:color="auto" w:sz="12" w:space="0"/>
            </w:tcBorders>
            <w:noWrap w:val="0"/>
            <w:vAlign w:val="top"/>
          </w:tcPr>
          <w:p w14:paraId="3E168C6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bl>
    <w:p w14:paraId="126A7EB1">
      <w:pPr>
        <w:spacing w:line="440" w:lineRule="exact"/>
        <w:outlineLvl w:val="9"/>
        <w:rPr>
          <w:rFonts w:hint="eastAsia" w:ascii="宋体" w:hAnsi="宋体"/>
          <w:sz w:val="24"/>
          <w:highlight w:val="none"/>
        </w:rPr>
      </w:pPr>
      <w:r>
        <w:rPr>
          <w:rFonts w:hint="eastAsia" w:ascii="宋体" w:hAnsi="宋体"/>
          <w:sz w:val="24"/>
          <w:highlight w:val="none"/>
        </w:rPr>
        <w:br w:type="page"/>
      </w:r>
      <w:r>
        <w:rPr>
          <w:rFonts w:hint="eastAsia" w:ascii="宋体" w:hAnsi="宋体"/>
          <w:sz w:val="24"/>
          <w:highlight w:val="none"/>
          <w:lang w:val="en-US" w:eastAsia="zh-CN"/>
        </w:rPr>
        <w:t>9</w:t>
      </w:r>
      <w:r>
        <w:rPr>
          <w:rFonts w:hint="eastAsia" w:ascii="宋体" w:hAnsi="宋体"/>
          <w:sz w:val="24"/>
          <w:highlight w:val="none"/>
        </w:rPr>
        <w:t>-3：专业工程暂估价表</w:t>
      </w:r>
    </w:p>
    <w:tbl>
      <w:tblPr>
        <w:tblStyle w:val="19"/>
        <w:tblW w:w="0" w:type="auto"/>
        <w:jc w:val="center"/>
        <w:tblLayout w:type="fixed"/>
        <w:tblCellMar>
          <w:top w:w="0" w:type="dxa"/>
          <w:left w:w="28" w:type="dxa"/>
          <w:bottom w:w="0" w:type="dxa"/>
          <w:right w:w="28" w:type="dxa"/>
        </w:tblCellMar>
      </w:tblPr>
      <w:tblGrid>
        <w:gridCol w:w="879"/>
        <w:gridCol w:w="1984"/>
        <w:gridCol w:w="4678"/>
        <w:gridCol w:w="1276"/>
      </w:tblGrid>
      <w:tr w14:paraId="0BC766C9">
        <w:tblPrEx>
          <w:tblCellMar>
            <w:top w:w="0" w:type="dxa"/>
            <w:left w:w="28" w:type="dxa"/>
            <w:bottom w:w="0" w:type="dxa"/>
            <w:right w:w="28" w:type="dxa"/>
          </w:tblCellMar>
        </w:tblPrEx>
        <w:trPr>
          <w:trHeight w:val="227" w:hRule="atLeast"/>
          <w:jc w:val="center"/>
        </w:trPr>
        <w:tc>
          <w:tcPr>
            <w:tcW w:w="879" w:type="dxa"/>
            <w:tcBorders>
              <w:top w:val="single" w:color="auto" w:sz="12" w:space="0"/>
              <w:left w:val="single" w:color="auto" w:sz="12" w:space="0"/>
              <w:bottom w:val="double" w:color="auto" w:sz="2" w:space="0"/>
              <w:right w:val="single" w:color="auto" w:sz="6" w:space="0"/>
            </w:tcBorders>
            <w:noWrap w:val="0"/>
            <w:vAlign w:val="center"/>
          </w:tcPr>
          <w:p w14:paraId="31997D9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00732D0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专业工程名称</w:t>
            </w:r>
          </w:p>
        </w:tc>
        <w:tc>
          <w:tcPr>
            <w:tcW w:w="4678" w:type="dxa"/>
            <w:tcBorders>
              <w:top w:val="single" w:color="auto" w:sz="12" w:space="0"/>
              <w:left w:val="single" w:color="auto" w:sz="6" w:space="0"/>
              <w:bottom w:val="double" w:color="auto" w:sz="2" w:space="0"/>
              <w:right w:val="single" w:color="auto" w:sz="6" w:space="0"/>
            </w:tcBorders>
            <w:noWrap w:val="0"/>
            <w:vAlign w:val="center"/>
          </w:tcPr>
          <w:p w14:paraId="602BABD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工程内容</w:t>
            </w:r>
          </w:p>
        </w:tc>
        <w:tc>
          <w:tcPr>
            <w:tcW w:w="1276" w:type="dxa"/>
            <w:tcBorders>
              <w:top w:val="single" w:color="auto" w:sz="12" w:space="0"/>
              <w:left w:val="single" w:color="auto" w:sz="6" w:space="0"/>
              <w:bottom w:val="double" w:color="auto" w:sz="2" w:space="0"/>
              <w:right w:val="single" w:color="auto" w:sz="12" w:space="0"/>
            </w:tcBorders>
            <w:noWrap w:val="0"/>
            <w:vAlign w:val="center"/>
          </w:tcPr>
          <w:p w14:paraId="626FA6E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金额</w:t>
            </w:r>
          </w:p>
        </w:tc>
      </w:tr>
      <w:tr w14:paraId="30CA8958">
        <w:tblPrEx>
          <w:tblCellMar>
            <w:top w:w="0" w:type="dxa"/>
            <w:left w:w="28" w:type="dxa"/>
            <w:bottom w:w="0" w:type="dxa"/>
            <w:right w:w="28" w:type="dxa"/>
          </w:tblCellMar>
        </w:tblPrEx>
        <w:trPr>
          <w:trHeight w:val="227" w:hRule="atLeast"/>
          <w:jc w:val="center"/>
        </w:trPr>
        <w:tc>
          <w:tcPr>
            <w:tcW w:w="879" w:type="dxa"/>
            <w:tcBorders>
              <w:top w:val="double" w:color="auto" w:sz="2" w:space="0"/>
              <w:left w:val="single" w:color="auto" w:sz="12" w:space="0"/>
              <w:bottom w:val="single" w:color="auto" w:sz="6" w:space="0"/>
              <w:right w:val="single" w:color="auto" w:sz="6" w:space="0"/>
            </w:tcBorders>
            <w:noWrap w:val="0"/>
            <w:vAlign w:val="top"/>
          </w:tcPr>
          <w:p w14:paraId="1D906B7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0BB0BE9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double" w:color="auto" w:sz="2" w:space="0"/>
              <w:left w:val="single" w:color="auto" w:sz="6" w:space="0"/>
              <w:bottom w:val="single" w:color="auto" w:sz="6" w:space="0"/>
              <w:right w:val="single" w:color="auto" w:sz="6" w:space="0"/>
            </w:tcBorders>
            <w:noWrap w:val="0"/>
            <w:vAlign w:val="top"/>
          </w:tcPr>
          <w:p w14:paraId="6599C52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double" w:color="auto" w:sz="2" w:space="0"/>
              <w:left w:val="single" w:color="auto" w:sz="6" w:space="0"/>
              <w:bottom w:val="single" w:color="auto" w:sz="6" w:space="0"/>
              <w:right w:val="single" w:color="auto" w:sz="12" w:space="0"/>
            </w:tcBorders>
            <w:noWrap w:val="0"/>
            <w:vAlign w:val="top"/>
          </w:tcPr>
          <w:p w14:paraId="4204770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2111F2C">
        <w:tblPrEx>
          <w:tblCellMar>
            <w:top w:w="0" w:type="dxa"/>
            <w:left w:w="28" w:type="dxa"/>
            <w:bottom w:w="0" w:type="dxa"/>
            <w:right w:w="28" w:type="dxa"/>
          </w:tblCellMar>
        </w:tblPrEx>
        <w:trPr>
          <w:trHeight w:val="227" w:hRule="atLeast"/>
          <w:jc w:val="center"/>
        </w:trPr>
        <w:tc>
          <w:tcPr>
            <w:tcW w:w="879" w:type="dxa"/>
            <w:tcBorders>
              <w:top w:val="nil"/>
              <w:left w:val="single" w:color="auto" w:sz="12" w:space="0"/>
              <w:bottom w:val="single" w:color="auto" w:sz="6" w:space="0"/>
              <w:right w:val="single" w:color="auto" w:sz="6" w:space="0"/>
            </w:tcBorders>
            <w:noWrap w:val="0"/>
            <w:vAlign w:val="top"/>
          </w:tcPr>
          <w:p w14:paraId="136FB7E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nil"/>
              <w:left w:val="single" w:color="auto" w:sz="6" w:space="0"/>
              <w:bottom w:val="single" w:color="auto" w:sz="6" w:space="0"/>
              <w:right w:val="single" w:color="auto" w:sz="6" w:space="0"/>
            </w:tcBorders>
            <w:noWrap w:val="0"/>
            <w:vAlign w:val="top"/>
          </w:tcPr>
          <w:p w14:paraId="0CC9937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nil"/>
              <w:left w:val="single" w:color="auto" w:sz="6" w:space="0"/>
              <w:bottom w:val="single" w:color="auto" w:sz="6" w:space="0"/>
              <w:right w:val="single" w:color="auto" w:sz="6" w:space="0"/>
            </w:tcBorders>
            <w:noWrap w:val="0"/>
            <w:vAlign w:val="top"/>
          </w:tcPr>
          <w:p w14:paraId="5A1BC6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nil"/>
              <w:left w:val="single" w:color="auto" w:sz="6" w:space="0"/>
              <w:bottom w:val="single" w:color="auto" w:sz="6" w:space="0"/>
              <w:right w:val="single" w:color="auto" w:sz="12" w:space="0"/>
            </w:tcBorders>
            <w:noWrap w:val="0"/>
            <w:vAlign w:val="top"/>
          </w:tcPr>
          <w:p w14:paraId="2167FEC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2179C90">
        <w:tblPrEx>
          <w:tblCellMar>
            <w:top w:w="0" w:type="dxa"/>
            <w:left w:w="28" w:type="dxa"/>
            <w:bottom w:w="0" w:type="dxa"/>
            <w:right w:w="28" w:type="dxa"/>
          </w:tblCellMar>
        </w:tblPrEx>
        <w:trPr>
          <w:trHeight w:val="227" w:hRule="atLeast"/>
          <w:jc w:val="center"/>
        </w:trPr>
        <w:tc>
          <w:tcPr>
            <w:tcW w:w="879" w:type="dxa"/>
            <w:tcBorders>
              <w:top w:val="nil"/>
              <w:left w:val="single" w:color="auto" w:sz="12" w:space="0"/>
              <w:bottom w:val="single" w:color="auto" w:sz="6" w:space="0"/>
              <w:right w:val="single" w:color="auto" w:sz="6" w:space="0"/>
            </w:tcBorders>
            <w:noWrap w:val="0"/>
            <w:vAlign w:val="top"/>
          </w:tcPr>
          <w:p w14:paraId="1131047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nil"/>
              <w:left w:val="single" w:color="auto" w:sz="6" w:space="0"/>
              <w:bottom w:val="single" w:color="auto" w:sz="6" w:space="0"/>
              <w:right w:val="single" w:color="auto" w:sz="6" w:space="0"/>
            </w:tcBorders>
            <w:noWrap w:val="0"/>
            <w:vAlign w:val="top"/>
          </w:tcPr>
          <w:p w14:paraId="17742BC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nil"/>
              <w:left w:val="single" w:color="auto" w:sz="6" w:space="0"/>
              <w:bottom w:val="single" w:color="auto" w:sz="6" w:space="0"/>
              <w:right w:val="single" w:color="auto" w:sz="6" w:space="0"/>
            </w:tcBorders>
            <w:noWrap w:val="0"/>
            <w:vAlign w:val="top"/>
          </w:tcPr>
          <w:p w14:paraId="69029C7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nil"/>
              <w:left w:val="single" w:color="auto" w:sz="6" w:space="0"/>
              <w:bottom w:val="single" w:color="auto" w:sz="6" w:space="0"/>
              <w:right w:val="single" w:color="auto" w:sz="12" w:space="0"/>
            </w:tcBorders>
            <w:noWrap w:val="0"/>
            <w:vAlign w:val="top"/>
          </w:tcPr>
          <w:p w14:paraId="6E6D5B6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32A017B">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6BC565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DE1AE2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3E582D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26EB1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6BA696D">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AD2A40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39B772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E691E0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590D5E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A97C1AD">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449438A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42632E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E1739E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D3EE8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D74E931">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4788A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36428E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89DFF1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157DB4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216CA02">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9D9D6A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490CA6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5808F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A551F8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B34CC84">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15D74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F1EEE3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4E934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F786D5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E76A1B2">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FDB4E1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B01CE5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176CCE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BEE96E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A6B22C3">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E1B434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E4974B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40F8E7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9A06AD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F62BDD4">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6BB512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DECEA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4F5E6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CB302B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19BA608">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F770A8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3F8DE5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3D03B7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621AC8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F3A3C00">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4C30E60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657550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410C6C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CFF238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CD0A928">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29C735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FC9AE8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11429C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8A1291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959DEF1">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D67BE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DD3FEE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2FD214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B5AFC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1C1B377">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1BB7AB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757C66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C8B442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F85A1A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20995B6">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96BAA9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7083AC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0EEECB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170DAF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25B06AB">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9C7295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36F56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543C2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720B4C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FA864BE">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7E1964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95A7D0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EE2B93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E1F463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5138217">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00C8534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C5EA7F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8AC4D9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A9A0D9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3B69721">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3ACEC4F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383CF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1D5F1C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D61F34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9AC7B78">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0A26B1E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53BAE6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B9F5ED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35536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22DE977">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4DED1A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B6485A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7981B6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6CDAFD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2973E93">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99C989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D10673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FE48BF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A10C73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287395E">
        <w:tblPrEx>
          <w:tblCellMar>
            <w:top w:w="0" w:type="dxa"/>
            <w:left w:w="28" w:type="dxa"/>
            <w:bottom w:w="0" w:type="dxa"/>
            <w:right w:w="28" w:type="dxa"/>
          </w:tblCellMar>
        </w:tblPrEx>
        <w:trPr>
          <w:trHeight w:val="227" w:hRule="atLeast"/>
          <w:jc w:val="center"/>
        </w:trPr>
        <w:tc>
          <w:tcPr>
            <w:tcW w:w="8817" w:type="dxa"/>
            <w:gridSpan w:val="4"/>
            <w:tcBorders>
              <w:top w:val="single" w:color="auto" w:sz="6" w:space="0"/>
              <w:left w:val="single" w:color="auto" w:sz="12" w:space="0"/>
              <w:bottom w:val="single" w:color="auto" w:sz="12" w:space="0"/>
              <w:right w:val="single" w:color="auto" w:sz="12" w:space="0"/>
            </w:tcBorders>
            <w:noWrap w:val="0"/>
            <w:vAlign w:val="top"/>
          </w:tcPr>
          <w:p w14:paraId="4BE1EF7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小计：</w:t>
            </w:r>
          </w:p>
        </w:tc>
      </w:tr>
      <w:bookmarkEnd w:id="2"/>
      <w:bookmarkEnd w:id="3"/>
      <w:bookmarkEnd w:id="4"/>
      <w:bookmarkEnd w:id="5"/>
    </w:tbl>
    <w:p w14:paraId="515EDCCA">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firstLine="0" w:firstLineChars="0"/>
        <w:textAlignment w:val="auto"/>
        <w:rPr>
          <w:rFonts w:hint="eastAsia" w:ascii="宋体" w:hAnsi="宋体" w:eastAsia="宋体" w:cs="宋体"/>
          <w:sz w:val="10"/>
          <w:szCs w:val="10"/>
          <w:lang w:val="en-US" w:eastAsia="zh-CN"/>
        </w:rPr>
      </w:pPr>
    </w:p>
    <w:sectPr>
      <w:headerReference r:id="rId8" w:type="default"/>
      <w:footerReference r:id="rId9" w:type="default"/>
      <w:pgSz w:w="11906" w:h="16838"/>
      <w:pgMar w:top="1440" w:right="1247" w:bottom="1440" w:left="1531"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D6335">
    <w:pPr>
      <w:ind w:left="0" w:leftChars="0"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CFB68">
    <w:pPr>
      <w:rPr>
        <w:rFonts w:hint="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21608">
    <w:pPr>
      <w:pBdr>
        <w:bottom w:val="none" w:color="auto" w:sz="0" w:space="0"/>
      </w:pBdr>
      <w:spacing w:line="360" w:lineRule="auto"/>
      <w:ind w:right="-417" w:rightChars="-149"/>
      <w:jc w:val="left"/>
      <w:rPr>
        <w:rFonts w:hint="eastAsia" w:ascii="宋体" w:hAnsi="宋体"/>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3495D">
    <w:pPr>
      <w:pStyle w:val="14"/>
      <w:pBdr>
        <w:bottom w:val="none" w:color="auto" w:sz="0" w:space="1"/>
      </w:pBdr>
      <w:ind w:left="0" w:leftChars="0" w:firstLine="0" w:firstLineChars="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80DE6">
    <w:pPr>
      <w:pStyle w:val="14"/>
      <w:pBdr>
        <w:bottom w:val="none" w:color="auto" w:sz="0" w:space="1"/>
      </w:pBdr>
      <w:jc w:val="right"/>
    </w:pPr>
    <w:r>
      <w:rPr>
        <w:rFonts w:hint="eastAsia" w:ascii="宋体" w:hAnsi="宋体" w:eastAsia="宋体" w:cs="宋体"/>
        <w:spacing w:val="-11"/>
        <w:sz w:val="21"/>
        <w:szCs w:val="21"/>
        <w:highlight w:val="none"/>
        <w:lang w:val="en-US" w:eastAsia="zh-CN"/>
      </w:rPr>
      <w:t xml:space="preserve">    </w:t>
    </w:r>
    <w:r>
      <w:rPr>
        <w:rFonts w:hint="eastAsia" w:ascii="宋体" w:hAnsi="宋体" w:cs="宋体"/>
        <w:spacing w:val="-11"/>
        <w:sz w:val="21"/>
        <w:szCs w:val="21"/>
        <w:highlight w:val="non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694A14DC"/>
    <w:rsid w:val="00CA0050"/>
    <w:rsid w:val="02567DB3"/>
    <w:rsid w:val="051E0BD4"/>
    <w:rsid w:val="083E1F8B"/>
    <w:rsid w:val="0A40252D"/>
    <w:rsid w:val="0A4C54EF"/>
    <w:rsid w:val="0BCC346A"/>
    <w:rsid w:val="0D240982"/>
    <w:rsid w:val="107300C6"/>
    <w:rsid w:val="11F01580"/>
    <w:rsid w:val="12650510"/>
    <w:rsid w:val="1480421D"/>
    <w:rsid w:val="14C03686"/>
    <w:rsid w:val="16CD38D1"/>
    <w:rsid w:val="16ED5878"/>
    <w:rsid w:val="180947FE"/>
    <w:rsid w:val="1A452854"/>
    <w:rsid w:val="1BDA4758"/>
    <w:rsid w:val="1F7F45D1"/>
    <w:rsid w:val="20AE361B"/>
    <w:rsid w:val="22FF7220"/>
    <w:rsid w:val="252A4A7A"/>
    <w:rsid w:val="256533FF"/>
    <w:rsid w:val="29296C4B"/>
    <w:rsid w:val="29B80AF4"/>
    <w:rsid w:val="29C65E64"/>
    <w:rsid w:val="2C972285"/>
    <w:rsid w:val="2D527BB7"/>
    <w:rsid w:val="2E281F9B"/>
    <w:rsid w:val="319900D4"/>
    <w:rsid w:val="31C541D6"/>
    <w:rsid w:val="35417A73"/>
    <w:rsid w:val="399B1822"/>
    <w:rsid w:val="3B0B649B"/>
    <w:rsid w:val="3E3653B1"/>
    <w:rsid w:val="3E686071"/>
    <w:rsid w:val="3EF46ABF"/>
    <w:rsid w:val="3F3B19D7"/>
    <w:rsid w:val="3FF821FD"/>
    <w:rsid w:val="423B0BB0"/>
    <w:rsid w:val="42447624"/>
    <w:rsid w:val="435C7035"/>
    <w:rsid w:val="43755751"/>
    <w:rsid w:val="44024162"/>
    <w:rsid w:val="46024FFD"/>
    <w:rsid w:val="4698551B"/>
    <w:rsid w:val="47616387"/>
    <w:rsid w:val="477E2A43"/>
    <w:rsid w:val="4EFB0067"/>
    <w:rsid w:val="4FB10F78"/>
    <w:rsid w:val="504D514E"/>
    <w:rsid w:val="51B80C66"/>
    <w:rsid w:val="55256612"/>
    <w:rsid w:val="5B097FC5"/>
    <w:rsid w:val="5D5470BA"/>
    <w:rsid w:val="5DA16A52"/>
    <w:rsid w:val="5E8D0EFB"/>
    <w:rsid w:val="5FDA57C8"/>
    <w:rsid w:val="623C34CD"/>
    <w:rsid w:val="64B03100"/>
    <w:rsid w:val="694A14DC"/>
    <w:rsid w:val="6B1964B5"/>
    <w:rsid w:val="6CAE4CE7"/>
    <w:rsid w:val="6EB93FF0"/>
    <w:rsid w:val="6F6D4DEF"/>
    <w:rsid w:val="700E4EB7"/>
    <w:rsid w:val="71C1726B"/>
    <w:rsid w:val="765C57B4"/>
    <w:rsid w:val="77233AA6"/>
    <w:rsid w:val="78056103"/>
    <w:rsid w:val="79B61CB0"/>
    <w:rsid w:val="7B051F5C"/>
    <w:rsid w:val="7D1976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3">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4">
    <w:name w:val="heading 2"/>
    <w:basedOn w:val="1"/>
    <w:next w:val="5"/>
    <w:qFormat/>
    <w:uiPriority w:val="99"/>
    <w:pPr>
      <w:keepNext/>
      <w:keepLines/>
      <w:spacing w:line="413" w:lineRule="auto"/>
      <w:jc w:val="center"/>
      <w:outlineLvl w:val="1"/>
    </w:pPr>
    <w:rPr>
      <w:rFonts w:ascii="Arial" w:hAnsi="Arial"/>
      <w:b/>
      <w:sz w:val="28"/>
    </w:rPr>
  </w:style>
  <w:style w:type="paragraph" w:styleId="6">
    <w:name w:val="heading 3"/>
    <w:basedOn w:val="1"/>
    <w:next w:val="1"/>
    <w:qFormat/>
    <w:uiPriority w:val="99"/>
    <w:pPr>
      <w:keepNext/>
      <w:keepLines/>
      <w:spacing w:line="413" w:lineRule="auto"/>
      <w:outlineLvl w:val="2"/>
    </w:pPr>
    <w:rPr>
      <w:b/>
      <w:sz w:val="28"/>
    </w:rPr>
  </w:style>
  <w:style w:type="paragraph" w:styleId="7">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ind w:firstLine="200"/>
      <w:jc w:val="both"/>
    </w:pPr>
    <w:rPr>
      <w:rFonts w:ascii="宋体" w:hAnsi="Times New Roman" w:eastAsia="宋体" w:cs="Times New Roman"/>
      <w:sz w:val="21"/>
      <w:lang w:val="en-US" w:eastAsia="zh-CN" w:bidi="ar-SA"/>
    </w:rPr>
  </w:style>
  <w:style w:type="paragraph" w:styleId="5">
    <w:name w:val="Normal Indent"/>
    <w:basedOn w:val="1"/>
    <w:qFormat/>
    <w:uiPriority w:val="99"/>
    <w:pPr>
      <w:ind w:firstLine="420"/>
    </w:pPr>
    <w:rPr>
      <w:szCs w:val="20"/>
    </w:rPr>
  </w:style>
  <w:style w:type="paragraph" w:styleId="8">
    <w:name w:val="annotation text"/>
    <w:basedOn w:val="1"/>
    <w:semiHidden/>
    <w:qFormat/>
    <w:uiPriority w:val="0"/>
    <w:pPr>
      <w:adjustRightInd w:val="0"/>
      <w:spacing w:line="360" w:lineRule="atLeast"/>
      <w:jc w:val="left"/>
    </w:pPr>
    <w:rPr>
      <w:kern w:val="0"/>
      <w:sz w:val="24"/>
      <w:szCs w:val="20"/>
    </w:rPr>
  </w:style>
  <w:style w:type="paragraph" w:styleId="9">
    <w:name w:val="Body Text"/>
    <w:basedOn w:val="1"/>
    <w:next w:val="1"/>
    <w:qFormat/>
    <w:uiPriority w:val="0"/>
    <w:rPr>
      <w:sz w:val="28"/>
    </w:rPr>
  </w:style>
  <w:style w:type="paragraph" w:styleId="10">
    <w:name w:val="Body Text Indent"/>
    <w:basedOn w:val="1"/>
    <w:next w:val="1"/>
    <w:qFormat/>
    <w:uiPriority w:val="0"/>
    <w:pPr>
      <w:spacing w:after="120"/>
      <w:ind w:left="420"/>
    </w:pPr>
    <w:rPr>
      <w:kern w:val="1"/>
    </w:rPr>
  </w:style>
  <w:style w:type="paragraph" w:styleId="11">
    <w:name w:val="Plain Text"/>
    <w:basedOn w:val="1"/>
    <w:qFormat/>
    <w:uiPriority w:val="99"/>
    <w:pPr>
      <w:spacing w:line="324" w:lineRule="auto"/>
    </w:pPr>
    <w:rPr>
      <w:rFonts w:ascii="宋体" w:hAnsi="Courier New" w:cs="Courier New"/>
      <w:szCs w:val="21"/>
    </w:rPr>
  </w:style>
  <w:style w:type="paragraph" w:styleId="12">
    <w:name w:val="Body Text Indent 2"/>
    <w:basedOn w:val="1"/>
    <w:next w:val="1"/>
    <w:qFormat/>
    <w:uiPriority w:val="99"/>
    <w:pPr>
      <w:spacing w:after="120" w:line="480" w:lineRule="auto"/>
      <w:ind w:left="420" w:leftChars="200"/>
    </w:pPr>
  </w:style>
  <w:style w:type="paragraph" w:styleId="13">
    <w:name w:val="footer"/>
    <w:basedOn w:val="1"/>
    <w:qFormat/>
    <w:uiPriority w:val="99"/>
    <w:pPr>
      <w:pBdr>
        <w:top w:val="single" w:color="auto" w:sz="4" w:space="1"/>
      </w:pBdr>
      <w:tabs>
        <w:tab w:val="center" w:pos="4153"/>
        <w:tab w:val="right" w:pos="8306"/>
      </w:tabs>
      <w:snapToGrid w:val="0"/>
      <w:jc w:val="left"/>
    </w:pPr>
    <w:rPr>
      <w:sz w:val="18"/>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style>
  <w:style w:type="paragraph" w:styleId="16">
    <w:name w:val="toc 2"/>
    <w:basedOn w:val="1"/>
    <w:next w:val="1"/>
    <w:qFormat/>
    <w:uiPriority w:val="39"/>
    <w:pPr>
      <w:ind w:left="420" w:leftChars="200"/>
    </w:pPr>
  </w:style>
  <w:style w:type="paragraph" w:styleId="1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styleId="18">
    <w:name w:val="Body Text First Indent 2"/>
    <w:basedOn w:val="10"/>
    <w:next w:val="16"/>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bCs/>
    </w:rPr>
  </w:style>
  <w:style w:type="character" w:styleId="23">
    <w:name w:val="Hyperlink"/>
    <w:basedOn w:val="21"/>
    <w:qFormat/>
    <w:uiPriority w:val="0"/>
    <w:rPr>
      <w:color w:val="0000FF"/>
      <w:u w:val="single"/>
    </w:rPr>
  </w:style>
  <w:style w:type="paragraph" w:customStyle="1" w:styleId="24">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 w:type="paragraph" w:customStyle="1" w:styleId="25">
    <w:name w:val="xl31"/>
    <w:basedOn w:val="1"/>
    <w:qFormat/>
    <w:uiPriority w:val="0"/>
    <w:pPr>
      <w:widowControl/>
      <w:spacing w:before="100" w:beforeAutospacing="1" w:after="100" w:afterAutospacing="1"/>
      <w:jc w:val="center"/>
    </w:pPr>
    <w:rPr>
      <w:rFonts w:ascii="宋体" w:hAnsi="宋体" w:eastAsia="仿宋_GB2312"/>
      <w:b/>
      <w:bCs/>
      <w:kern w:val="0"/>
      <w:sz w:val="28"/>
      <w:szCs w:val="28"/>
    </w:rPr>
  </w:style>
  <w:style w:type="paragraph" w:customStyle="1" w:styleId="26">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sz w:val="28"/>
      <w:szCs w:val="20"/>
    </w:rPr>
  </w:style>
  <w:style w:type="paragraph" w:customStyle="1" w:styleId="27">
    <w:name w:val="样式 标题 3 + (中文) 黑体 小四 非加粗 段前: 7.8 磅 段后: 0 磅 行距: 固定值 20 磅"/>
    <w:basedOn w:val="6"/>
    <w:next w:val="1"/>
    <w:qFormat/>
    <w:uiPriority w:val="99"/>
    <w:pPr>
      <w:spacing w:before="0" w:after="0" w:line="400" w:lineRule="exact"/>
    </w:pPr>
    <w:rPr>
      <w:rFonts w:hAnsi="Calibri" w:eastAsia="黑体" w:cs="宋体"/>
      <w:b w:val="0"/>
      <w:sz w:val="24"/>
    </w:rPr>
  </w:style>
  <w:style w:type="paragraph" w:customStyle="1" w:styleId="28">
    <w:name w:val="List Paragraph"/>
    <w:basedOn w:val="1"/>
    <w:unhideWhenUsed/>
    <w:qFormat/>
    <w:uiPriority w:val="99"/>
    <w:pPr>
      <w:ind w:firstLine="420" w:firstLineChars="200"/>
    </w:pPr>
  </w:style>
  <w:style w:type="paragraph" w:customStyle="1" w:styleId="29">
    <w:name w:val="_Style 5"/>
    <w:basedOn w:val="3"/>
    <w:next w:val="1"/>
    <w:qFormat/>
    <w:uiPriority w:val="0"/>
    <w:pPr>
      <w:outlineLvl w:val="9"/>
    </w:pPr>
  </w:style>
  <w:style w:type="paragraph" w:customStyle="1" w:styleId="30">
    <w:name w:val="列出段落1"/>
    <w:basedOn w:val="1"/>
    <w:qFormat/>
    <w:uiPriority w:val="99"/>
    <w:pPr>
      <w:ind w:firstLine="420" w:firstLineChars="200"/>
    </w:pPr>
  </w:style>
  <w:style w:type="paragraph" w:customStyle="1" w:styleId="31">
    <w:name w:val="目录"/>
    <w:basedOn w:val="1"/>
    <w:qFormat/>
    <w:uiPriority w:val="0"/>
    <w:pPr>
      <w:widowControl/>
      <w:jc w:val="center"/>
    </w:pPr>
    <w:rPr>
      <w:rFonts w:ascii="宋体"/>
      <w:b/>
      <w:kern w:val="0"/>
      <w:sz w:val="36"/>
      <w:szCs w:val="20"/>
    </w:rPr>
  </w:style>
  <w:style w:type="paragraph" w:customStyle="1" w:styleId="3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12327</Words>
  <Characters>13100</Characters>
  <Lines>0</Lines>
  <Paragraphs>0</Paragraphs>
  <TotalTime>2</TotalTime>
  <ScaleCrop>false</ScaleCrop>
  <LinksUpToDate>false</LinksUpToDate>
  <CharactersWithSpaces>18188</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2022-07-22T02:33:00Z</dcterms:created>
  <dc:creator>MoSes</dc:creator>
  <cp:lastModifiedBy>吴玲</cp:lastModifiedBy>
  <cp:lastPrinted>2022-08-25T06:53:00Z</cp:lastPrinted>
  <dcterms:modified xsi:type="dcterms:W3CDTF">2026-04-23T07:31:15Z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C0EAC3B5E3C34B459AD5AA49A8F47DBC</vt:lpwstr>
  </property>
  <property fmtid="{D5CDD505-2E9C-101B-9397-08002B2CF9AE}" pid="4" name="KSOTemplateDocerSaveRecord">
    <vt:lpwstr>eyJoZGlkIjoiY2Q2Yzk4M2E5ZGY0MDA4NTkzYTE2ZDdmYzc4ZjM5MGUiLCJ1c2VySWQiOiIxMDAwNzE0MzQ3In0=</vt:lpwstr>
  </property>
</Properties>
</file>