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6D738">
      <w:pPr>
        <w:spacing w:line="500" w:lineRule="exact"/>
        <w:jc w:val="center"/>
        <w:outlineLvl w:val="0"/>
        <w:rPr>
          <w:rFonts w:hint="eastAsia" w:ascii="宋体" w:hAnsi="宋体" w:eastAsia="宋体" w:cs="宋体"/>
          <w:b/>
          <w:color w:val="auto"/>
          <w:sz w:val="36"/>
          <w:szCs w:val="36"/>
        </w:rPr>
      </w:pPr>
      <w:r>
        <w:rPr>
          <w:rFonts w:hint="eastAsia" w:ascii="宋体" w:hAnsi="宋体" w:eastAsia="宋体" w:cs="宋体"/>
          <w:b/>
          <w:color w:val="auto"/>
          <w:sz w:val="36"/>
          <w:szCs w:val="36"/>
        </w:rPr>
        <w:t>政府采购合同主要条款格式</w:t>
      </w:r>
    </w:p>
    <w:p w14:paraId="15AF7DF8">
      <w:pPr>
        <w:pStyle w:val="13"/>
        <w:spacing w:before="0" w:beforeAutospacing="0" w:after="0" w:afterAutospacing="0" w:line="360" w:lineRule="auto"/>
        <w:ind w:firstLine="3132" w:firstLineChars="1300"/>
        <w:rPr>
          <w:rFonts w:hint="eastAsia" w:ascii="宋体" w:hAnsi="宋体" w:eastAsia="宋体" w:cs="宋体"/>
          <w:b/>
          <w:bCs/>
          <w:color w:val="auto"/>
          <w:highlight w:val="none"/>
        </w:rPr>
      </w:pPr>
      <w:r>
        <w:rPr>
          <w:rFonts w:hint="eastAsia" w:ascii="宋体" w:hAnsi="宋体" w:eastAsia="宋体" w:cs="宋体"/>
          <w:b/>
          <w:bCs/>
          <w:color w:val="auto"/>
          <w:highlight w:val="none"/>
        </w:rPr>
        <w:t>建设工程施工合同（仅供参考）</w:t>
      </w:r>
    </w:p>
    <w:p w14:paraId="54E3210D">
      <w:pPr>
        <w:pStyle w:val="17"/>
        <w:ind w:firstLine="563"/>
        <w:rPr>
          <w:rFonts w:hint="eastAsia" w:ascii="宋体" w:hAnsi="宋体" w:eastAsia="宋体" w:cs="宋体"/>
          <w:b/>
          <w:sz w:val="28"/>
          <w:szCs w:val="28"/>
        </w:rPr>
      </w:pPr>
    </w:p>
    <w:p w14:paraId="3EF87E50">
      <w:pPr>
        <w:widowControl/>
        <w:spacing w:line="36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（本合同条款仅作为双方签订合同的参考，为阐明各方的权利和义务，经协商可增加新的条款。但不得与招</w:t>
      </w:r>
      <w:r>
        <w:rPr>
          <w:rFonts w:hint="eastAsia" w:ascii="宋体" w:hAnsi="宋体" w:eastAsia="宋体" w:cs="宋体"/>
          <w:b/>
          <w:bCs/>
          <w:szCs w:val="21"/>
          <w:lang w:eastAsia="zh-CN"/>
        </w:rPr>
        <w:t>响应文件</w:t>
      </w:r>
      <w:r>
        <w:rPr>
          <w:rFonts w:hint="eastAsia" w:ascii="宋体" w:hAnsi="宋体" w:eastAsia="宋体" w:cs="宋体"/>
          <w:b/>
          <w:bCs/>
          <w:szCs w:val="21"/>
        </w:rPr>
        <w:t>的实质性内容相背离）</w:t>
      </w:r>
    </w:p>
    <w:p w14:paraId="70EA5CCA">
      <w:pPr>
        <w:jc w:val="left"/>
        <w:rPr>
          <w:rFonts w:hint="eastAsia" w:ascii="宋体" w:hAnsi="宋体" w:eastAsia="宋体" w:cs="宋体"/>
          <w:bCs/>
          <w:color w:val="000000"/>
          <w:sz w:val="10"/>
          <w:szCs w:val="10"/>
        </w:rPr>
      </w:pPr>
    </w:p>
    <w:p w14:paraId="4B246BD0">
      <w:pPr>
        <w:pStyle w:val="17"/>
        <w:ind w:firstLine="563"/>
        <w:rPr>
          <w:rFonts w:hint="eastAsia" w:ascii="宋体" w:hAnsi="宋体" w:eastAsia="宋体" w:cs="宋体"/>
          <w:b/>
          <w:sz w:val="28"/>
          <w:szCs w:val="28"/>
        </w:rPr>
      </w:pPr>
    </w:p>
    <w:p w14:paraId="77BAD611">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823595</wp:posOffset>
                </wp:positionH>
                <wp:positionV relativeFrom="paragraph">
                  <wp:posOffset>200025</wp:posOffset>
                </wp:positionV>
                <wp:extent cx="2984500" cy="0"/>
                <wp:effectExtent l="0" t="4445" r="0" b="5080"/>
                <wp:wrapNone/>
                <wp:docPr id="10" name="直接连接符 10"/>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64.85pt;margin-top:15.75pt;height:0pt;width:235pt;z-index:251660288;mso-width-relative:page;mso-height-relative:page;" filled="f" stroked="t" coordsize="21600,21600" o:gfxdata="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KPURr1gAAAAkBAAAPAAAAAAAAAAEAIAAAACIAAABkcnMvZG93bnJldi54bWxQSwEC&#10;FAAUAAAACACHTuJAPZlQf/YBAADiAwAADgAAAAAAAAABACAAAAAlAQAAZHJzL2Uyb0RvYy54bWxQ&#10;SwUGAAAAAAYABgBZAQAAjQUAAAAA&#10;">
                <v:fill on="f" focussize="0,0"/>
                <v:stroke color="#191919" joinstyle="round"/>
                <v:imagedata o:title=""/>
                <o:lock v:ext="edit" aspectratio="f"/>
              </v:line>
            </w:pict>
          </mc:Fallback>
        </mc:AlternateContent>
      </w:r>
      <w:r>
        <w:rPr>
          <w:rFonts w:hint="eastAsia" w:ascii="宋体" w:hAnsi="宋体" w:eastAsia="宋体" w:cs="宋体"/>
          <w:color w:val="auto"/>
          <w:highlight w:val="none"/>
        </w:rPr>
        <w:t>甲方：</w:t>
      </w:r>
      <w:r>
        <w:rPr>
          <w:rFonts w:hint="eastAsia" w:ascii="宋体" w:hAnsi="宋体" w:eastAsia="宋体" w:cs="宋体"/>
          <w:color w:val="auto"/>
          <w:highlight w:val="none"/>
          <w:u w:val="none"/>
        </w:rPr>
        <w:t xml:space="preserve">  </w:t>
      </w:r>
      <w:r>
        <w:rPr>
          <w:rFonts w:hint="eastAsia" w:ascii="宋体" w:hAnsi="宋体" w:eastAsia="宋体" w:cs="宋体"/>
          <w:color w:val="auto"/>
          <w:highlight w:val="none"/>
        </w:rPr>
        <w:t xml:space="preserve"> </w:t>
      </w:r>
    </w:p>
    <w:p w14:paraId="16B13D8D">
      <w:pPr>
        <w:pStyle w:val="13"/>
        <w:spacing w:before="0" w:beforeAutospacing="0" w:after="0" w:afterAutospacing="0" w:line="360" w:lineRule="auto"/>
        <w:ind w:firstLine="48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mc:AlternateContent>
          <mc:Choice Requires="wps">
            <w:drawing>
              <wp:anchor distT="0" distB="0" distL="114300" distR="114300" simplePos="0" relativeHeight="251664384" behindDoc="0" locked="0" layoutInCell="1" allowOverlap="1">
                <wp:simplePos x="0" y="0"/>
                <wp:positionH relativeFrom="column">
                  <wp:posOffset>820420</wp:posOffset>
                </wp:positionH>
                <wp:positionV relativeFrom="paragraph">
                  <wp:posOffset>152400</wp:posOffset>
                </wp:positionV>
                <wp:extent cx="2984500" cy="0"/>
                <wp:effectExtent l="0" t="4445" r="0" b="5080"/>
                <wp:wrapNone/>
                <wp:docPr id="11" name="直接连接符 11"/>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64.6pt;margin-top:12pt;height:0pt;width:235pt;z-index:251664384;mso-width-relative:page;mso-height-relative:page;" filled="f" stroked="t" coordsize="21600,21600" o:gfxdata="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fetCi1gAAAAkBAAAPAAAAAAAAAAEAIAAAACIAAABkcnMvZG93bnJldi54bWxQSwEC&#10;FAAUAAAACACHTuJADZ0ihPYBAADiAwAADgAAAAAAAAABACAAAAAlAQAAZHJzL2Uyb0RvYy54bWxQ&#10;SwUGAAAAAAYABgBZAQAAjQUAAAAA&#10;">
                <v:fill on="f" focussize="0,0"/>
                <v:stroke color="#191919" joinstyle="round"/>
                <v:imagedata o:title=""/>
                <o:lock v:ext="edit" aspectratio="f"/>
              </v:line>
            </w:pict>
          </mc:Fallback>
        </mc:AlternateContent>
      </w:r>
      <w:r>
        <w:rPr>
          <w:rFonts w:hint="eastAsia" w:ascii="宋体" w:hAnsi="宋体" w:eastAsia="宋体" w:cs="宋体"/>
          <w:color w:val="auto"/>
          <w:highlight w:val="none"/>
        </w:rPr>
        <w:t xml:space="preserve">乙方： </w:t>
      </w:r>
    </w:p>
    <w:p w14:paraId="4EEFE44C">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根据《中华人民共和国合同法》、《中华人民共和国建筑法》及《建筑工程质量管理条例》的原则，结合本工程实际情况，为明确甲乙双方的权利、义务和经济责任，经双方洽商达成如下协议。</w:t>
      </w:r>
    </w:p>
    <w:p w14:paraId="3F70E729">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1318895</wp:posOffset>
                </wp:positionH>
                <wp:positionV relativeFrom="paragraph">
                  <wp:posOffset>154305</wp:posOffset>
                </wp:positionV>
                <wp:extent cx="2984500" cy="0"/>
                <wp:effectExtent l="0" t="4445" r="0" b="5080"/>
                <wp:wrapNone/>
                <wp:docPr id="8" name="直接连接符 8"/>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2.15pt;height:0pt;width:235pt;z-index:251661312;mso-width-relative:page;mso-height-relative:page;" filled="f" stroked="t" coordsize="21600,21600" o:gfxdata="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d+RLzWAAAACQEAAA8AAAAAAAAAAQAgAAAAIgAAAGRycy9kb3ducmV2LnhtbFBLAQIU&#10;ABQAAAAIAIdO4kC6Pucc9QEAAOADAAAOAAAAAAAAAAEAIAAAACUBAABkcnMvZTJvRG9jLnhtbFBL&#10;BQYAAAAABgAGAFkBAACMBQAAAAA=&#10;">
                <v:fill on="f" focussize="0,0"/>
                <v:stroke color="#191919" joinstyle="round"/>
                <v:imagedata o:title=""/>
                <o:lock v:ext="edit" aspectratio="f"/>
              </v:line>
            </w:pict>
          </mc:Fallback>
        </mc:AlternateContent>
      </w:r>
      <w:r>
        <w:rPr>
          <w:rFonts w:hint="eastAsia" w:ascii="宋体" w:hAnsi="宋体" w:eastAsia="宋体" w:cs="宋体"/>
          <w:color w:val="auto"/>
          <w:highlight w:val="none"/>
        </w:rPr>
        <w:t xml:space="preserve">一、工程名称： </w:t>
      </w:r>
    </w:p>
    <w:p w14:paraId="2DE7DFC9">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1318895</wp:posOffset>
                </wp:positionH>
                <wp:positionV relativeFrom="paragraph">
                  <wp:posOffset>176530</wp:posOffset>
                </wp:positionV>
                <wp:extent cx="2984500" cy="0"/>
                <wp:effectExtent l="0" t="4445" r="0" b="5080"/>
                <wp:wrapNone/>
                <wp:docPr id="9" name="直接连接符 9"/>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3.9pt;height:0pt;width:235pt;z-index:251662336;mso-width-relative:page;mso-height-relative:page;" filled="f" stroked="t" coordsize="21600,21600" o:gfxdata="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MV0799UAAAAJAQAADwAAAAAAAAABACAAAAAiAAAAZHJzL2Rvd25yZXYueG1sUEsBAhQA&#10;FAAAAAgAh07iQNpgxRf1AQAA4AMAAA4AAAAAAAAAAQAgAAAAJAEAAGRycy9lMm9Eb2MueG1sUEsF&#10;BgAAAAAGAAYAWQEAAIsFAAAAAA==&#10;">
                <v:fill on="f" focussize="0,0"/>
                <v:stroke color="#191919" joinstyle="round"/>
                <v:imagedata o:title=""/>
                <o:lock v:ext="edit" aspectratio="f"/>
              </v:line>
            </w:pict>
          </mc:Fallback>
        </mc:AlternateContent>
      </w:r>
      <w:r>
        <w:rPr>
          <w:rFonts w:hint="eastAsia" w:ascii="宋体" w:hAnsi="宋体" w:eastAsia="宋体" w:cs="宋体"/>
          <w:color w:val="auto"/>
          <w:highlight w:val="none"/>
        </w:rPr>
        <w:t xml:space="preserve">二、工程地点：                                </w:t>
      </w:r>
    </w:p>
    <w:p w14:paraId="6BD541FE">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1318895</wp:posOffset>
                </wp:positionH>
                <wp:positionV relativeFrom="paragraph">
                  <wp:posOffset>153670</wp:posOffset>
                </wp:positionV>
                <wp:extent cx="2984500" cy="0"/>
                <wp:effectExtent l="0" t="4445" r="0" b="5080"/>
                <wp:wrapNone/>
                <wp:docPr id="12" name="直接连接符 12"/>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2.1pt;height:0pt;width:235pt;z-index:251663360;mso-width-relative:page;mso-height-relative:page;" filled="f" stroked="t" coordsize="21600,21600" o:gfxdata="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qKtb+1gAAAAkBAAAPAAAAAAAAAAEAIAAAACIAAABkcnMvZG93bnJldi54bWxQSwEC&#10;FAAUAAAACACHTuJAHJfFUvYBAADiAwAADgAAAAAAAAABACAAAAAlAQAAZHJzL2Uyb0RvYy54bWxQ&#10;SwUGAAAAAAYABgBZAQAAjQUAAAAA&#10;">
                <v:fill on="f" focussize="0,0"/>
                <v:stroke color="#191919" joinstyle="round"/>
                <v:imagedata o:title=""/>
                <o:lock v:ext="edit" aspectratio="f"/>
              </v:line>
            </w:pict>
          </mc:Fallback>
        </mc:AlternateContent>
      </w:r>
      <w:r>
        <w:rPr>
          <w:rFonts w:hint="eastAsia" w:ascii="宋体" w:hAnsi="宋体" w:eastAsia="宋体" w:cs="宋体"/>
          <w:color w:val="auto"/>
          <w:highlight w:val="none"/>
        </w:rPr>
        <w:t xml:space="preserve">三、工作内容:                                                               </w:t>
      </w:r>
    </w:p>
    <w:p w14:paraId="59D2AF01">
      <w:pPr>
        <w:pStyle w:val="13"/>
        <w:spacing w:before="0" w:beforeAutospacing="0" w:after="0" w:afterAutospacing="0" w:line="360" w:lineRule="auto"/>
        <w:ind w:firstLine="480" w:firstLineChars="200"/>
        <w:outlineLvl w:val="1"/>
        <w:rPr>
          <w:rFonts w:hint="eastAsia" w:ascii="宋体" w:hAnsi="宋体" w:eastAsia="宋体" w:cs="宋体"/>
          <w:color w:val="auto"/>
          <w:highlight w:val="none"/>
        </w:rPr>
      </w:pPr>
      <w:bookmarkStart w:id="0" w:name="_Toc4094"/>
      <w:r>
        <w:rPr>
          <w:rFonts w:hint="eastAsia" w:ascii="宋体" w:hAnsi="宋体" w:eastAsia="宋体" w:cs="宋体"/>
          <w:color w:val="auto"/>
          <w:highlight w:val="none"/>
        </w:rPr>
        <w:t>四、承包方式及材料供应方式：</w:t>
      </w:r>
      <w:bookmarkEnd w:id="0"/>
    </w:p>
    <w:p w14:paraId="48C39142">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（一）承包方式：施工总承包。</w:t>
      </w:r>
    </w:p>
    <w:p w14:paraId="1E3732F6">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（二）材料供应方式：本工程所需材料全部由乙方采购供应。所有进场材料必须符合产品质量及规范要求，并按规定进行材料复验，并能满足工程项目设计要求及有关行业特殊使用要求。</w:t>
      </w:r>
    </w:p>
    <w:p w14:paraId="643244F1">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（三）所有材料，成品，半成品均应有产品合格证及检验报告，须经现场甲方代表及监理工程师检查验收，报验合格方可进场，无质量证明文件的产品不得用于本项目工程。</w:t>
      </w:r>
    </w:p>
    <w:p w14:paraId="568DD561">
      <w:pPr>
        <w:pStyle w:val="13"/>
        <w:spacing w:before="0" w:beforeAutospacing="0" w:after="0" w:afterAutospacing="0" w:line="360" w:lineRule="auto"/>
        <w:ind w:firstLine="480" w:firstLineChars="200"/>
        <w:outlineLvl w:val="1"/>
        <w:rPr>
          <w:rFonts w:hint="eastAsia" w:ascii="宋体" w:hAnsi="宋体" w:eastAsia="宋体" w:cs="宋体"/>
          <w:color w:val="auto"/>
          <w:highlight w:val="none"/>
        </w:rPr>
      </w:pPr>
      <w:bookmarkStart w:id="1" w:name="_Toc22170"/>
      <w:r>
        <w:rPr>
          <w:rFonts w:hint="eastAsia" w:ascii="宋体" w:hAnsi="宋体" w:eastAsia="宋体" w:cs="宋体"/>
          <w:color w:val="auto"/>
          <w:highlight w:val="none"/>
        </w:rPr>
        <w:t>五、工程价款及结算办法</w:t>
      </w:r>
      <w:bookmarkEnd w:id="1"/>
    </w:p>
    <w:p w14:paraId="6545A5D9">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（一）根据工程量清单所列的预计数量和单价或总额价计算的签约合同价：人民币（大写）</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元）。</w:t>
      </w:r>
    </w:p>
    <w:p w14:paraId="01A09731">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（二）合同总价包括完成该工程项目的直接费、间接费、利润、税金、保险费、其它费用以及合同明示或暗示的所有风险、责任和义务等全部费用。</w:t>
      </w:r>
    </w:p>
    <w:p w14:paraId="038A9E53">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（三）合同总价、单价按照成交确定的价格和合同中明确的工程范围，在工程实施过程中一次性包死。除此之外的工程范围和工程量的变动部分在征得甲方同意后实行现场签证，依照磋商报价增加或扣减。</w:t>
      </w:r>
    </w:p>
    <w:p w14:paraId="6295493B">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付款方式及工期：</w:t>
      </w:r>
    </w:p>
    <w:p w14:paraId="6DD5B650">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（一）付款方式：</w:t>
      </w:r>
    </w:p>
    <w:p w14:paraId="11E4A8FC">
      <w:pPr>
        <w:pStyle w:val="13"/>
        <w:spacing w:before="0" w:beforeAutospacing="0" w:after="0" w:afterAutospacing="0" w:line="360" w:lineRule="auto"/>
        <w:ind w:firstLine="480" w:firstLineChars="200"/>
        <w:outlineLvl w:val="2"/>
        <w:rPr>
          <w:rFonts w:hint="eastAsia" w:ascii="宋体" w:hAnsi="宋体" w:eastAsia="宋体" w:cs="宋体"/>
          <w:color w:val="auto"/>
          <w:highlight w:val="none"/>
        </w:rPr>
      </w:pPr>
      <w:bookmarkStart w:id="2" w:name="_Toc29674"/>
      <w:r>
        <w:rPr>
          <w:rFonts w:hint="eastAsia" w:ascii="宋体" w:hAnsi="宋体" w:eastAsia="宋体" w:cs="宋体"/>
          <w:color w:val="auto"/>
          <w:highlight w:val="none"/>
        </w:rPr>
        <w:t>1.工程款支付：</w:t>
      </w:r>
      <w:bookmarkEnd w:id="2"/>
    </w:p>
    <w:p w14:paraId="13D3CDF3">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1-1.根据施工进度拨付进度款，具体以甲乙双方最终签订的合同为准，待工程完工验收合格、经审计部门审定后留审定总价</w:t>
      </w:r>
      <w:r>
        <w:rPr>
          <w:rFonts w:hint="eastAsia" w:eastAsia="宋体" w:cs="宋体"/>
          <w:color w:val="auto"/>
          <w:highlight w:val="none"/>
          <w:lang w:val="en-US" w:eastAsia="zh-CN"/>
        </w:rPr>
        <w:t>xx</w:t>
      </w:r>
      <w:r>
        <w:rPr>
          <w:rFonts w:hint="eastAsia" w:ascii="宋体" w:hAnsi="宋体" w:eastAsia="宋体" w:cs="宋体"/>
          <w:color w:val="auto"/>
          <w:highlight w:val="none"/>
        </w:rPr>
        <w:t>%的尾款作为质保金，项目缺陷责任期满后退还质保金。</w:t>
      </w:r>
    </w:p>
    <w:p w14:paraId="14F4BFEF">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1-2.乙方不得因甲方资金暂时不到位而影响工期。</w:t>
      </w:r>
    </w:p>
    <w:p w14:paraId="1F251807">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2.结算方式：银行转账。</w:t>
      </w:r>
    </w:p>
    <w:p w14:paraId="7A3B876E">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3.付款方式：乙方在接受每次付款前，开具相应额度发票给甲方。</w:t>
      </w:r>
    </w:p>
    <w:p w14:paraId="7B103809">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（二）工期：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日至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3E8009BD">
      <w:pPr>
        <w:pStyle w:val="13"/>
        <w:spacing w:before="0" w:beforeAutospacing="0" w:after="0" w:afterAutospacing="0" w:line="360" w:lineRule="auto"/>
        <w:ind w:firstLine="480" w:firstLineChars="200"/>
        <w:outlineLvl w:val="1"/>
        <w:rPr>
          <w:rFonts w:hint="eastAsia" w:ascii="宋体" w:hAnsi="宋体" w:eastAsia="宋体" w:cs="宋体"/>
          <w:color w:val="auto"/>
          <w:highlight w:val="none"/>
        </w:rPr>
      </w:pPr>
      <w:bookmarkStart w:id="3" w:name="_Toc16640"/>
      <w:r>
        <w:rPr>
          <w:rFonts w:hint="eastAsia" w:ascii="宋体" w:hAnsi="宋体" w:eastAsia="宋体" w:cs="宋体"/>
          <w:color w:val="auto"/>
          <w:highlight w:val="none"/>
        </w:rPr>
        <w:t>七、质量保证</w:t>
      </w:r>
      <w:bookmarkEnd w:id="3"/>
    </w:p>
    <w:p w14:paraId="4A1EDCFF">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工程质量符合国家有关规范，确保达到合格。</w:t>
      </w:r>
    </w:p>
    <w:p w14:paraId="7B25ACE1">
      <w:pPr>
        <w:pStyle w:val="13"/>
        <w:spacing w:before="0" w:beforeAutospacing="0" w:after="0" w:afterAutospacing="0" w:line="360" w:lineRule="auto"/>
        <w:ind w:firstLine="480" w:firstLineChars="200"/>
        <w:outlineLvl w:val="1"/>
        <w:rPr>
          <w:rFonts w:hint="eastAsia" w:ascii="宋体" w:hAnsi="宋体" w:eastAsia="宋体" w:cs="宋体"/>
          <w:color w:val="auto"/>
          <w:highlight w:val="none"/>
        </w:rPr>
      </w:pPr>
      <w:bookmarkStart w:id="4" w:name="_Toc16731"/>
      <w:r>
        <w:rPr>
          <w:rFonts w:hint="eastAsia" w:ascii="宋体" w:hAnsi="宋体" w:eastAsia="宋体" w:cs="宋体"/>
          <w:color w:val="auto"/>
          <w:highlight w:val="none"/>
        </w:rPr>
        <w:t>八、双方责任</w:t>
      </w:r>
      <w:bookmarkEnd w:id="4"/>
    </w:p>
    <w:p w14:paraId="6B878DC0">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（一）甲方责任：</w:t>
      </w:r>
    </w:p>
    <w:p w14:paraId="2ACC02E8">
      <w:pPr>
        <w:pStyle w:val="13"/>
        <w:spacing w:before="0" w:beforeAutospacing="0" w:after="0" w:afterAutospacing="0" w:line="360" w:lineRule="auto"/>
        <w:ind w:firstLine="480" w:firstLineChars="200"/>
        <w:outlineLvl w:val="2"/>
        <w:rPr>
          <w:rFonts w:hint="eastAsia" w:ascii="宋体" w:hAnsi="宋体" w:eastAsia="宋体" w:cs="宋体"/>
          <w:color w:val="auto"/>
          <w:highlight w:val="none"/>
        </w:rPr>
      </w:pPr>
      <w:bookmarkStart w:id="5" w:name="_Toc17760"/>
      <w:r>
        <w:rPr>
          <w:rFonts w:hint="eastAsia" w:ascii="宋体" w:hAnsi="宋体" w:eastAsia="宋体" w:cs="宋体"/>
          <w:color w:val="auto"/>
          <w:highlight w:val="none"/>
        </w:rPr>
        <w:t>1.甲方负责施工场地的提供，排除施工障碍的协调。</w:t>
      </w:r>
      <w:bookmarkEnd w:id="5"/>
    </w:p>
    <w:p w14:paraId="6643CADD">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2.组织设计、施工单位进行图纸交底，负责设计图纸问题的处理，设计变更及现场签证，工程结算的审定等工作。</w:t>
      </w:r>
    </w:p>
    <w:p w14:paraId="0A0804E6">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3.对工程进度、质量进行监督检查。</w:t>
      </w:r>
    </w:p>
    <w:p w14:paraId="5CAC6857">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4.组织有关单位对工程进行竣工验收。</w:t>
      </w:r>
    </w:p>
    <w:p w14:paraId="227F0DE1">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5.按时支付工程款。</w:t>
      </w:r>
    </w:p>
    <w:p w14:paraId="39D1219B">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（二）乙方责任：</w:t>
      </w:r>
    </w:p>
    <w:p w14:paraId="764A9B05">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1.负责办理完成项目使用审批手续，负责工程安全文明施工、承担一切风险，满足甲方工程的需要。保证甲方正式投入使用，再无其他费用发生。</w:t>
      </w:r>
    </w:p>
    <w:p w14:paraId="73D96666">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0187FC5D">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3.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542E4868">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4.隐蔽工程在覆盖前必须经甲方代表或现场监理代表验收签章后，方可进行下一道工序。</w:t>
      </w:r>
    </w:p>
    <w:p w14:paraId="319DA69B">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5.遵守甲方施工场地的规章制度和管理，做到安全文明施工，做好成品保护，对甲方提出的问题应在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3DAA98F6">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6.采取有效的安全保障措施，确保施工安全，包括悬挂警示标牌、装设围栏、配备安全人员等，并承担事故的全部费用和责任。</w:t>
      </w:r>
    </w:p>
    <w:p w14:paraId="464DB6C4">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7.工程竣工后提供竣工验收技术资料及竣工图肆套，办理工程竣工结算手续，参加工程竣工验收。</w:t>
      </w:r>
    </w:p>
    <w:p w14:paraId="039418AB">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8.已完工的项目，在交工前乙方应负责保管，清理现场达到建筑物无污染，现场无建筑垃圾。</w:t>
      </w:r>
    </w:p>
    <w:p w14:paraId="3CC8B89F">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9.乙方应在设备运行过程中，对安全隐患进行全面的不定期检查与维护，并对不按安全规程操作的施工单位及时制止，并报甲方进行处理。</w:t>
      </w:r>
    </w:p>
    <w:p w14:paraId="0F5E9B2A">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10.乙方不能按合同规定的工期竣工的，应向甲方支付违约金，每逾期一日，支付合同总价款万分之二的违约金，造成甲方损失的，还应赔偿甲方损失。</w:t>
      </w:r>
    </w:p>
    <w:p w14:paraId="27D348CB">
      <w:pPr>
        <w:pStyle w:val="13"/>
        <w:spacing w:before="0" w:beforeAutospacing="0" w:after="0" w:afterAutospacing="0" w:line="360" w:lineRule="auto"/>
        <w:ind w:firstLine="480" w:firstLineChars="200"/>
        <w:outlineLvl w:val="1"/>
        <w:rPr>
          <w:rFonts w:hint="eastAsia" w:ascii="宋体" w:hAnsi="宋体" w:eastAsia="宋体" w:cs="宋体"/>
          <w:color w:val="auto"/>
          <w:highlight w:val="none"/>
        </w:rPr>
      </w:pPr>
      <w:bookmarkStart w:id="6" w:name="_Toc13890"/>
      <w:r>
        <w:rPr>
          <w:rFonts w:hint="eastAsia" w:ascii="宋体" w:hAnsi="宋体" w:eastAsia="宋体" w:cs="宋体"/>
          <w:color w:val="auto"/>
          <w:highlight w:val="none"/>
        </w:rPr>
        <w:t>九、验收</w:t>
      </w:r>
      <w:bookmarkEnd w:id="6"/>
    </w:p>
    <w:p w14:paraId="4B7F125A">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（一）主材到现场后，由甲方对其进行验收，确认材料的产地、规格、数量。</w:t>
      </w:r>
    </w:p>
    <w:p w14:paraId="13F1D2D1">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（二）乙方工程完工后，进行自检，合格后准备验收文件，并书面通知甲方。</w:t>
      </w:r>
    </w:p>
    <w:p w14:paraId="5E2524C3">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（三）甲方确认乙方的自检内容，验收合格作为工程的最终认可。</w:t>
      </w:r>
    </w:p>
    <w:p w14:paraId="1F97E6A5">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（四）验收依据：</w:t>
      </w:r>
    </w:p>
    <w:p w14:paraId="60B7BB3B">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1.合同、磋商文件、磋商响应文件及承诺。</w:t>
      </w:r>
    </w:p>
    <w:p w14:paraId="0D4E7913">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2.国家相关标准、规范及有关技术文件。</w:t>
      </w:r>
    </w:p>
    <w:p w14:paraId="080AB381">
      <w:pPr>
        <w:pStyle w:val="13"/>
        <w:spacing w:before="0" w:beforeAutospacing="0" w:after="0" w:afterAutospacing="0" w:line="360" w:lineRule="auto"/>
        <w:ind w:firstLine="480" w:firstLineChars="200"/>
        <w:outlineLvl w:val="1"/>
        <w:rPr>
          <w:rFonts w:hint="eastAsia" w:ascii="宋体" w:hAnsi="宋体" w:eastAsia="宋体" w:cs="宋体"/>
          <w:color w:val="auto"/>
          <w:highlight w:val="none"/>
        </w:rPr>
      </w:pPr>
      <w:bookmarkStart w:id="7" w:name="_Toc2109"/>
      <w:r>
        <w:rPr>
          <w:rFonts w:hint="eastAsia" w:ascii="宋体" w:hAnsi="宋体" w:eastAsia="宋体" w:cs="宋体"/>
          <w:color w:val="auto"/>
          <w:highlight w:val="none"/>
        </w:rPr>
        <w:t>十、工程保修</w:t>
      </w:r>
      <w:bookmarkEnd w:id="7"/>
    </w:p>
    <w:p w14:paraId="4D184F5E">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本项目保修期参照国家相关规定执行。在保修期限内，对甲方提出的有关维修、维护要求，乙方应在24小时内予以解决。乙方未能按时予以维修、维护的，甲方可另行委托第三方进行，因此而产生的费用由乙方承担，甲方有权从质保金中直接扣除，不足部分由乙方支付，乙方不得提出任何异议，给甲方造成损失的，乙方须给予赔偿。</w:t>
      </w:r>
    </w:p>
    <w:p w14:paraId="7D9E06B1">
      <w:pPr>
        <w:pStyle w:val="13"/>
        <w:spacing w:before="0" w:beforeAutospacing="0" w:after="0" w:afterAutospacing="0" w:line="360" w:lineRule="auto"/>
        <w:ind w:firstLine="480" w:firstLineChars="200"/>
        <w:outlineLvl w:val="1"/>
        <w:rPr>
          <w:rFonts w:hint="eastAsia" w:ascii="宋体" w:hAnsi="宋体" w:eastAsia="宋体" w:cs="宋体"/>
          <w:color w:val="auto"/>
          <w:highlight w:val="none"/>
        </w:rPr>
      </w:pPr>
      <w:bookmarkStart w:id="8" w:name="_Toc4636"/>
      <w:r>
        <w:rPr>
          <w:rFonts w:hint="eastAsia" w:ascii="宋体" w:hAnsi="宋体" w:eastAsia="宋体" w:cs="宋体"/>
          <w:color w:val="auto"/>
          <w:highlight w:val="none"/>
        </w:rPr>
        <w:t>十一、争议的解决方式</w:t>
      </w:r>
      <w:bookmarkEnd w:id="8"/>
    </w:p>
    <w:p w14:paraId="6AB8AE96">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合同执行过程中如发生争议，双方应及时协商解决，协商不成，双方均可向项目所在地人民法院起诉。</w:t>
      </w:r>
    </w:p>
    <w:p w14:paraId="36183649">
      <w:pPr>
        <w:pStyle w:val="13"/>
        <w:spacing w:before="0" w:beforeAutospacing="0" w:after="0" w:afterAutospacing="0" w:line="360" w:lineRule="auto"/>
        <w:ind w:firstLine="480" w:firstLineChars="200"/>
        <w:outlineLvl w:val="1"/>
        <w:rPr>
          <w:rFonts w:hint="eastAsia" w:ascii="宋体" w:hAnsi="宋体" w:eastAsia="宋体" w:cs="宋体"/>
          <w:color w:val="auto"/>
          <w:highlight w:val="none"/>
        </w:rPr>
      </w:pPr>
      <w:bookmarkStart w:id="9" w:name="_Toc27644"/>
      <w:r>
        <w:rPr>
          <w:rFonts w:hint="eastAsia" w:ascii="宋体" w:hAnsi="宋体" w:eastAsia="宋体" w:cs="宋体"/>
          <w:color w:val="auto"/>
          <w:highlight w:val="none"/>
        </w:rPr>
        <w:t>十二、其他</w:t>
      </w:r>
      <w:bookmarkEnd w:id="9"/>
    </w:p>
    <w:p w14:paraId="79F879A5">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本合同未定事宜，双方可根据具体情况结合有关规定另行签订补充协议，补充协议与本合同具有同等法律效力。</w:t>
      </w:r>
    </w:p>
    <w:p w14:paraId="0BBDD7B5">
      <w:pPr>
        <w:pStyle w:val="13"/>
        <w:spacing w:before="0" w:beforeAutospacing="0" w:after="0" w:afterAutospacing="0" w:line="360" w:lineRule="auto"/>
        <w:ind w:firstLine="480" w:firstLineChars="200"/>
        <w:outlineLvl w:val="1"/>
        <w:rPr>
          <w:rFonts w:hint="eastAsia" w:ascii="宋体" w:hAnsi="宋体" w:eastAsia="宋体" w:cs="宋体"/>
          <w:color w:val="auto"/>
          <w:highlight w:val="none"/>
        </w:rPr>
      </w:pPr>
      <w:bookmarkStart w:id="10" w:name="_Toc21267"/>
      <w:r>
        <w:rPr>
          <w:rFonts w:hint="eastAsia" w:ascii="宋体" w:hAnsi="宋体" w:eastAsia="宋体" w:cs="宋体"/>
          <w:color w:val="auto"/>
          <w:highlight w:val="none"/>
        </w:rPr>
        <w:t>十三、附则</w:t>
      </w:r>
      <w:bookmarkEnd w:id="10"/>
    </w:p>
    <w:p w14:paraId="7AB72C7C">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（一）本合同一式八份，正本两份，甲、乙方各执一份，副本六份，甲方执三份，乙方执三份。</w:t>
      </w:r>
    </w:p>
    <w:p w14:paraId="08D4125B">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（二）合同经双方盖章后生效，各条款执行完毕后终止。</w:t>
      </w:r>
    </w:p>
    <w:p w14:paraId="4E80A322">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甲方（公章）：                      乙方（公章）：</w:t>
      </w:r>
    </w:p>
    <w:p w14:paraId="3FB3DBF4">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法定代表人：                        法定代表人：</w:t>
      </w:r>
    </w:p>
    <w:p w14:paraId="3B2B757D">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委托代表人：                        委托代表人：</w:t>
      </w:r>
    </w:p>
    <w:p w14:paraId="1B20DD5E">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经办人：                            经办人：</w:t>
      </w:r>
    </w:p>
    <w:p w14:paraId="36998085">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75EC558B">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地址：                              地址：</w:t>
      </w:r>
    </w:p>
    <w:p w14:paraId="3F4D465C">
      <w:pPr>
        <w:pStyle w:val="13"/>
        <w:spacing w:before="0" w:beforeAutospacing="0" w:after="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签订时间：  年   月   日           签订时间：  年   月   日</w:t>
      </w:r>
    </w:p>
    <w:p w14:paraId="4AFCD27D">
      <w:pPr>
        <w:spacing w:line="520" w:lineRule="exact"/>
        <w:rPr>
          <w:rFonts w:hint="eastAsia" w:ascii="宋体" w:hAnsi="宋体" w:eastAsia="宋体" w:cs="宋体"/>
          <w:b/>
          <w:bCs/>
          <w:szCs w:val="32"/>
          <w:highlight w:val="none"/>
        </w:rPr>
      </w:pPr>
    </w:p>
    <w:p w14:paraId="2BAA7A2D">
      <w:pPr>
        <w:spacing w:line="500" w:lineRule="exact"/>
        <w:jc w:val="center"/>
        <w:rPr>
          <w:rFonts w:hint="eastAsia" w:ascii="宋体" w:hAnsi="宋体" w:eastAsia="宋体" w:cs="宋体"/>
          <w:b/>
          <w:color w:val="0000FF"/>
          <w:sz w:val="36"/>
          <w:szCs w:val="36"/>
          <w:highlight w:val="none"/>
        </w:rPr>
      </w:pPr>
    </w:p>
    <w:p w14:paraId="08E65160">
      <w:pPr>
        <w:spacing w:line="520" w:lineRule="exact"/>
        <w:rPr>
          <w:rFonts w:hint="eastAsia" w:ascii="宋体" w:hAnsi="宋体" w:eastAsia="宋体" w:cs="宋体"/>
          <w:b/>
          <w:bCs/>
          <w:szCs w:val="32"/>
          <w:highlight w:val="none"/>
        </w:rPr>
      </w:pPr>
    </w:p>
    <w:p w14:paraId="3A042A1A">
      <w:pPr>
        <w:pStyle w:val="2"/>
        <w:rPr>
          <w:rFonts w:hint="eastAsia" w:ascii="宋体" w:hAnsi="宋体" w:eastAsia="宋体" w:cs="宋体"/>
          <w:b/>
          <w:bCs/>
          <w:szCs w:val="32"/>
          <w:highlight w:val="none"/>
        </w:rPr>
      </w:pPr>
    </w:p>
    <w:p w14:paraId="7A86A94D">
      <w:pPr>
        <w:pStyle w:val="2"/>
        <w:rPr>
          <w:rFonts w:hint="eastAsia" w:ascii="宋体" w:hAnsi="宋体" w:eastAsia="宋体" w:cs="宋体"/>
          <w:b/>
          <w:bCs/>
          <w:szCs w:val="32"/>
          <w:highlight w:val="none"/>
        </w:rPr>
      </w:pPr>
    </w:p>
    <w:p w14:paraId="25398023">
      <w:pPr>
        <w:rPr>
          <w:rFonts w:hint="eastAsia" w:ascii="宋体" w:hAnsi="宋体" w:eastAsia="宋体" w:cs="宋体"/>
          <w:b/>
          <w:bCs/>
          <w:szCs w:val="32"/>
          <w:highlight w:val="none"/>
        </w:rPr>
      </w:pPr>
    </w:p>
    <w:p w14:paraId="0993039C">
      <w:pPr>
        <w:spacing w:line="520" w:lineRule="exact"/>
        <w:jc w:val="center"/>
        <w:rPr>
          <w:rFonts w:hint="eastAsia" w:ascii="宋体" w:hAnsi="宋体" w:eastAsia="宋体" w:cs="宋体"/>
          <w:b/>
          <w:sz w:val="36"/>
          <w:highlight w:val="none"/>
        </w:rPr>
      </w:pPr>
      <w:bookmarkStart w:id="14" w:name="_GoBack"/>
      <w:bookmarkEnd w:id="14"/>
      <w:r>
        <w:rPr>
          <w:rFonts w:hint="eastAsia" w:ascii="宋体" w:hAnsi="宋体" w:eastAsia="宋体" w:cs="宋体"/>
          <w:b/>
          <w:sz w:val="36"/>
          <w:highlight w:val="none"/>
        </w:rPr>
        <w:t>公平交易承诺书</w:t>
      </w:r>
    </w:p>
    <w:p w14:paraId="092A076D">
      <w:pPr>
        <w:spacing w:line="500" w:lineRule="exact"/>
        <w:ind w:right="-218" w:rightChars="-104"/>
        <w:jc w:val="center"/>
        <w:outlineLvl w:val="9"/>
        <w:rPr>
          <w:rFonts w:hint="eastAsia" w:ascii="宋体" w:hAnsi="宋体" w:eastAsia="宋体" w:cs="宋体"/>
          <w:b/>
          <w:sz w:val="36"/>
          <w:highlight w:val="none"/>
        </w:rPr>
      </w:pPr>
    </w:p>
    <w:p w14:paraId="2EE391C9">
      <w:pPr>
        <w:spacing w:line="360" w:lineRule="auto"/>
        <w:ind w:right="-218" w:rightChars="-104"/>
        <w:outlineLvl w:val="2"/>
        <w:rPr>
          <w:rFonts w:hint="eastAsia" w:ascii="宋体" w:hAnsi="宋体" w:eastAsia="宋体" w:cs="宋体"/>
          <w:sz w:val="24"/>
          <w:highlight w:val="none"/>
        </w:rPr>
      </w:pPr>
      <w:bookmarkStart w:id="11" w:name="_Toc28181"/>
      <w:r>
        <w:rPr>
          <w:rFonts w:hint="eastAsia" w:ascii="宋体" w:hAnsi="宋体" w:eastAsia="宋体" w:cs="宋体"/>
          <w:sz w:val="24"/>
          <w:highlight w:val="none"/>
        </w:rPr>
        <w:t>甲方（采购人）：</w:t>
      </w:r>
      <w:bookmarkEnd w:id="11"/>
    </w:p>
    <w:p w14:paraId="75CF480F">
      <w:pPr>
        <w:spacing w:line="360" w:lineRule="auto"/>
        <w:ind w:right="-218" w:rightChars="-104"/>
        <w:rPr>
          <w:rFonts w:hint="eastAsia" w:ascii="宋体" w:hAnsi="宋体" w:eastAsia="宋体" w:cs="宋体"/>
          <w:sz w:val="24"/>
          <w:highlight w:val="none"/>
        </w:rPr>
      </w:pPr>
      <w:r>
        <w:rPr>
          <w:rFonts w:hint="eastAsia" w:ascii="宋体" w:hAnsi="宋体" w:eastAsia="宋体" w:cs="宋体"/>
          <w:sz w:val="24"/>
          <w:highlight w:val="none"/>
        </w:rPr>
        <w:t>乙方（</w:t>
      </w:r>
      <w:r>
        <w:rPr>
          <w:rFonts w:hint="eastAsia" w:ascii="宋体" w:hAnsi="宋体" w:eastAsia="宋体" w:cs="宋体"/>
          <w:sz w:val="24"/>
          <w:highlight w:val="none"/>
          <w:lang w:eastAsia="zh-CN"/>
        </w:rPr>
        <w:t>供应商</w:t>
      </w:r>
      <w:r>
        <w:rPr>
          <w:rFonts w:hint="eastAsia" w:ascii="宋体" w:hAnsi="宋体" w:eastAsia="宋体" w:cs="宋体"/>
          <w:sz w:val="24"/>
          <w:highlight w:val="none"/>
        </w:rPr>
        <w:t>）：</w:t>
      </w:r>
    </w:p>
    <w:p w14:paraId="6F35DA54">
      <w:pPr>
        <w:spacing w:line="360" w:lineRule="auto"/>
        <w:ind w:right="-218" w:rightChars="-104" w:firstLine="570"/>
        <w:rPr>
          <w:rFonts w:hint="eastAsia" w:ascii="宋体" w:hAnsi="宋体" w:eastAsia="宋体" w:cs="宋体"/>
          <w:sz w:val="24"/>
          <w:highlight w:val="none"/>
        </w:rPr>
      </w:pPr>
      <w:r>
        <w:rPr>
          <w:rFonts w:hint="eastAsia" w:ascii="宋体" w:hAnsi="宋体" w:eastAsia="宋体" w:cs="宋体"/>
          <w:sz w:val="24"/>
          <w:highlight w:val="none"/>
        </w:rPr>
        <w:t>为确认本次磋商（项目名称：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）活动及合同订立过程的公平、公正，保证双方经济利益的充分实现，维护双方当事人的合法权益，现双方当事人就本次交易全过程在此承诺并严格信守如下约定：</w:t>
      </w:r>
    </w:p>
    <w:p w14:paraId="551BF733">
      <w:pPr>
        <w:spacing w:line="360" w:lineRule="auto"/>
        <w:ind w:right="-218" w:rightChars="-104" w:firstLine="570"/>
        <w:rPr>
          <w:rFonts w:hint="eastAsia" w:ascii="宋体" w:hAnsi="宋体" w:eastAsia="宋体" w:cs="宋体"/>
          <w:sz w:val="24"/>
          <w:highlight w:val="none"/>
        </w:rPr>
      </w:pPr>
      <w:r>
        <w:rPr>
          <w:rFonts w:hint="eastAsia" w:ascii="宋体" w:hAnsi="宋体" w:eastAsia="宋体" w:cs="宋体"/>
          <w:sz w:val="24"/>
          <w:highlight w:val="none"/>
        </w:rPr>
        <w:t>甲方责权：</w:t>
      </w:r>
    </w:p>
    <w:p w14:paraId="286AD086">
      <w:pPr>
        <w:spacing w:line="360" w:lineRule="auto"/>
        <w:ind w:right="-218" w:rightChars="-104" w:firstLine="570"/>
        <w:rPr>
          <w:rFonts w:hint="eastAsia" w:ascii="宋体" w:hAnsi="宋体" w:eastAsia="宋体" w:cs="宋体"/>
          <w:sz w:val="24"/>
          <w:highlight w:val="none"/>
        </w:rPr>
      </w:pPr>
      <w:r>
        <w:rPr>
          <w:rFonts w:hint="eastAsia" w:ascii="宋体" w:hAnsi="宋体" w:eastAsia="宋体" w:cs="宋体"/>
          <w:sz w:val="24"/>
          <w:highlight w:val="none"/>
        </w:rPr>
        <w:t>一、保证约束工作人员在本次采购过程中，不接受乙方或其工作人员提供的针对个人的任何形式的利益。</w:t>
      </w:r>
    </w:p>
    <w:p w14:paraId="56C201D7">
      <w:pPr>
        <w:spacing w:line="360" w:lineRule="auto"/>
        <w:ind w:right="-218" w:rightChars="-104" w:firstLine="570"/>
        <w:rPr>
          <w:rFonts w:hint="eastAsia" w:ascii="宋体" w:hAnsi="宋体" w:eastAsia="宋体" w:cs="宋体"/>
          <w:sz w:val="24"/>
          <w:highlight w:val="none"/>
        </w:rPr>
      </w:pPr>
      <w:r>
        <w:rPr>
          <w:rFonts w:hint="eastAsia" w:ascii="宋体" w:hAnsi="宋体" w:eastAsia="宋体" w:cs="宋体"/>
          <w:sz w:val="24"/>
          <w:highlight w:val="none"/>
        </w:rPr>
        <w:t>二、保证在接到乙方关于甲方工作人员利用本次商业机会向乙方或其他相关方索取个人好处的举报后，立即开展调查核实工作。</w:t>
      </w:r>
    </w:p>
    <w:p w14:paraId="4EDB79B2">
      <w:pPr>
        <w:spacing w:line="360" w:lineRule="auto"/>
        <w:ind w:right="-218" w:rightChars="-104" w:firstLine="570"/>
        <w:rPr>
          <w:rFonts w:hint="eastAsia" w:ascii="宋体" w:hAnsi="宋体" w:eastAsia="宋体" w:cs="宋体"/>
          <w:sz w:val="24"/>
          <w:highlight w:val="none"/>
        </w:rPr>
      </w:pPr>
      <w:r>
        <w:rPr>
          <w:rFonts w:hint="eastAsia" w:ascii="宋体" w:hAnsi="宋体" w:eastAsia="宋体" w:cs="宋体"/>
          <w:sz w:val="24"/>
          <w:highlight w:val="none"/>
        </w:rPr>
        <w:t>三、保证不因举报而对乙方采取歧视政策，故意妨害乙方实现合法的磋商及合同权益。</w:t>
      </w:r>
    </w:p>
    <w:p w14:paraId="53EE0F33">
      <w:pPr>
        <w:spacing w:line="360" w:lineRule="auto"/>
        <w:ind w:right="-218" w:rightChars="-104" w:firstLine="570"/>
        <w:outlineLvl w:val="1"/>
        <w:rPr>
          <w:rFonts w:hint="eastAsia" w:ascii="宋体" w:hAnsi="宋体" w:eastAsia="宋体" w:cs="宋体"/>
          <w:sz w:val="24"/>
          <w:highlight w:val="none"/>
        </w:rPr>
      </w:pPr>
      <w:bookmarkStart w:id="12" w:name="_Toc24816"/>
      <w:r>
        <w:rPr>
          <w:rFonts w:hint="eastAsia" w:ascii="宋体" w:hAnsi="宋体" w:eastAsia="宋体" w:cs="宋体"/>
          <w:sz w:val="24"/>
          <w:highlight w:val="none"/>
        </w:rPr>
        <w:t>四、保证责成工作人员将其因本交易已取得的非正当所得全部退还。</w:t>
      </w:r>
      <w:bookmarkEnd w:id="12"/>
    </w:p>
    <w:p w14:paraId="75EE55F2">
      <w:pPr>
        <w:spacing w:line="360" w:lineRule="auto"/>
        <w:ind w:right="-218" w:rightChars="-104" w:firstLine="570"/>
        <w:rPr>
          <w:rFonts w:hint="eastAsia" w:ascii="宋体" w:hAnsi="宋体" w:eastAsia="宋体" w:cs="宋体"/>
          <w:sz w:val="24"/>
          <w:highlight w:val="none"/>
        </w:rPr>
      </w:pPr>
      <w:r>
        <w:rPr>
          <w:rFonts w:hint="eastAsia" w:ascii="宋体" w:hAnsi="宋体" w:eastAsia="宋体" w:cs="宋体"/>
          <w:sz w:val="24"/>
          <w:highlight w:val="none"/>
        </w:rPr>
        <w:t>五、在证实乙方向甲方工作人员实现或许诺实现任何形式的利益后，有权要求乙方赔偿损失、修改合同条款、直至解除合同。</w:t>
      </w:r>
    </w:p>
    <w:p w14:paraId="55EA391C">
      <w:pPr>
        <w:spacing w:line="360" w:lineRule="auto"/>
        <w:ind w:right="-218" w:rightChars="-104" w:firstLine="570"/>
        <w:rPr>
          <w:rFonts w:hint="eastAsia" w:ascii="宋体" w:hAnsi="宋体" w:eastAsia="宋体" w:cs="宋体"/>
          <w:sz w:val="24"/>
          <w:highlight w:val="none"/>
        </w:rPr>
      </w:pPr>
      <w:r>
        <w:rPr>
          <w:rFonts w:hint="eastAsia" w:ascii="宋体" w:hAnsi="宋体" w:eastAsia="宋体" w:cs="宋体"/>
          <w:sz w:val="24"/>
          <w:highlight w:val="none"/>
        </w:rPr>
        <w:t>乙方责权：</w:t>
      </w:r>
    </w:p>
    <w:p w14:paraId="7590D0A2">
      <w:pPr>
        <w:spacing w:line="360" w:lineRule="auto"/>
        <w:ind w:right="-218" w:rightChars="-104" w:firstLine="570"/>
        <w:rPr>
          <w:rFonts w:hint="eastAsia" w:ascii="宋体" w:hAnsi="宋体" w:eastAsia="宋体" w:cs="宋体"/>
          <w:sz w:val="24"/>
          <w:highlight w:val="none"/>
        </w:rPr>
      </w:pPr>
      <w:r>
        <w:rPr>
          <w:rFonts w:hint="eastAsia" w:ascii="宋体" w:hAnsi="宋体" w:eastAsia="宋体" w:cs="宋体"/>
          <w:sz w:val="24"/>
          <w:highlight w:val="none"/>
        </w:rPr>
        <w:t>一、保证自己及其工作人员未使用向甲方工作人员个人（包括与该工作人员有直接关系的人）承诺任何形式利益（无论何时实现）和其他不正当手段（包括向甲方提供虚假材料争取中标，单独或与甲方工作人员串通诋毁其他</w:t>
      </w:r>
      <w:r>
        <w:rPr>
          <w:rFonts w:hint="eastAsia" w:ascii="宋体" w:hAnsi="宋体" w:eastAsia="宋体" w:cs="宋体"/>
          <w:sz w:val="24"/>
          <w:highlight w:val="none"/>
          <w:lang w:eastAsia="zh-CN"/>
        </w:rPr>
        <w:t>供应商</w:t>
      </w:r>
      <w:r>
        <w:rPr>
          <w:rFonts w:hint="eastAsia" w:ascii="宋体" w:hAnsi="宋体" w:eastAsia="宋体" w:cs="宋体"/>
          <w:sz w:val="24"/>
          <w:highlight w:val="none"/>
        </w:rPr>
        <w:t>的商业形象和商业信誉，设置障碍阻止其他方从事本项目的磋商及合同订立活动等手段）达成本次交易。</w:t>
      </w:r>
    </w:p>
    <w:p w14:paraId="033AC2E5">
      <w:pPr>
        <w:spacing w:line="360" w:lineRule="auto"/>
        <w:ind w:right="-218" w:rightChars="-104" w:firstLine="570"/>
        <w:rPr>
          <w:rFonts w:hint="eastAsia" w:ascii="宋体" w:hAnsi="宋体" w:eastAsia="宋体" w:cs="宋体"/>
          <w:sz w:val="24"/>
          <w:highlight w:val="none"/>
        </w:rPr>
      </w:pPr>
      <w:r>
        <w:rPr>
          <w:rFonts w:hint="eastAsia" w:ascii="宋体" w:hAnsi="宋体" w:eastAsia="宋体" w:cs="宋体"/>
          <w:sz w:val="24"/>
          <w:highlight w:val="none"/>
        </w:rPr>
        <w:t>二、保证在发现甲方工作人员向乙方或向其他任何相关方索取个人好处或因不能实现个人利益将产生不利相要挟时，于第一时间向甲方举报，并积极配合甲方的调查核实工作。</w:t>
      </w:r>
    </w:p>
    <w:p w14:paraId="7F09420A">
      <w:pPr>
        <w:pStyle w:val="9"/>
        <w:spacing w:after="0" w:line="360" w:lineRule="auto"/>
        <w:ind w:left="0" w:leftChars="0" w:right="-218" w:rightChars="-104" w:firstLine="480" w:firstLineChars="200"/>
        <w:rPr>
          <w:rFonts w:hint="eastAsia" w:ascii="宋体" w:hAnsi="宋体" w:eastAsia="宋体" w:cs="宋体"/>
          <w:sz w:val="24"/>
          <w:highlight w:val="none"/>
        </w:rPr>
      </w:pPr>
      <w:r>
        <w:rPr>
          <w:rFonts w:hint="eastAsia" w:ascii="宋体" w:hAnsi="宋体" w:eastAsia="宋体" w:cs="宋体"/>
          <w:sz w:val="24"/>
          <w:highlight w:val="none"/>
        </w:rPr>
        <w:t>三、保证在甲方调查与本次采购相关问题时给予配合和协助，并如实陈述有关过程的细节。不得在甲方调查时设置障碍。</w:t>
      </w:r>
    </w:p>
    <w:p w14:paraId="7850BD09">
      <w:pPr>
        <w:spacing w:line="360" w:lineRule="auto"/>
        <w:ind w:right="-218" w:rightChars="-104" w:firstLine="570"/>
        <w:rPr>
          <w:rFonts w:hint="eastAsia" w:ascii="宋体" w:hAnsi="宋体" w:eastAsia="宋体" w:cs="宋体"/>
          <w:sz w:val="24"/>
          <w:highlight w:val="none"/>
        </w:rPr>
      </w:pPr>
      <w:r>
        <w:rPr>
          <w:rFonts w:hint="eastAsia" w:ascii="宋体" w:hAnsi="宋体" w:eastAsia="宋体" w:cs="宋体"/>
          <w:sz w:val="24"/>
          <w:highlight w:val="none"/>
        </w:rPr>
        <w:t>四、保证在发生违反本承诺书情形时，接受甲方的有关损失赔偿、变更合同条款、解除合同等合法请求。</w:t>
      </w:r>
    </w:p>
    <w:p w14:paraId="2C16CD30">
      <w:pPr>
        <w:spacing w:line="360" w:lineRule="auto"/>
        <w:ind w:right="-218" w:rightChars="-104" w:firstLine="570"/>
        <w:rPr>
          <w:rFonts w:hint="eastAsia" w:ascii="宋体" w:hAnsi="宋体" w:eastAsia="宋体" w:cs="宋体"/>
          <w:sz w:val="24"/>
          <w:highlight w:val="none"/>
        </w:rPr>
      </w:pPr>
      <w:r>
        <w:rPr>
          <w:rFonts w:hint="eastAsia" w:ascii="宋体" w:hAnsi="宋体" w:eastAsia="宋体" w:cs="宋体"/>
          <w:sz w:val="24"/>
          <w:highlight w:val="none"/>
        </w:rPr>
        <w:t>本承诺书是</w:t>
      </w:r>
      <w:r>
        <w:rPr>
          <w:rFonts w:hint="eastAsia" w:ascii="宋体" w:hAnsi="宋体" w:eastAsia="宋体" w:cs="宋体"/>
          <w:sz w:val="24"/>
          <w:highlight w:val="none"/>
          <w:lang w:eastAsia="zh-CN"/>
        </w:rPr>
        <w:t>响应文件</w:t>
      </w:r>
      <w:r>
        <w:rPr>
          <w:rFonts w:hint="eastAsia" w:ascii="宋体" w:hAnsi="宋体" w:eastAsia="宋体" w:cs="宋体"/>
          <w:sz w:val="24"/>
          <w:highlight w:val="none"/>
        </w:rPr>
        <w:t>（磋商项目名称：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）及合同不可分割组成部分，与合同具有同等法律效力。</w:t>
      </w:r>
    </w:p>
    <w:p w14:paraId="08092A35">
      <w:pPr>
        <w:spacing w:line="360" w:lineRule="auto"/>
        <w:ind w:right="-218" w:rightChars="-104" w:firstLine="570"/>
        <w:rPr>
          <w:rFonts w:hint="eastAsia" w:ascii="宋体" w:hAnsi="宋体" w:eastAsia="宋体" w:cs="宋体"/>
          <w:sz w:val="24"/>
          <w:highlight w:val="none"/>
        </w:rPr>
      </w:pPr>
      <w:r>
        <w:rPr>
          <w:rFonts w:hint="eastAsia" w:ascii="宋体" w:hAnsi="宋体" w:eastAsia="宋体" w:cs="宋体"/>
          <w:sz w:val="24"/>
          <w:highlight w:val="none"/>
        </w:rPr>
        <w:t>本承诺书一经双方签字，其效力可追溯至本次交易开始时，而不受签字日期的限制。</w:t>
      </w:r>
    </w:p>
    <w:p w14:paraId="7A9E91E1">
      <w:pPr>
        <w:spacing w:line="360" w:lineRule="auto"/>
        <w:ind w:right="-218" w:rightChars="-104" w:firstLine="570"/>
        <w:rPr>
          <w:rFonts w:hint="eastAsia" w:ascii="宋体" w:hAnsi="宋体" w:eastAsia="宋体" w:cs="宋体"/>
          <w:sz w:val="24"/>
          <w:highlight w:val="none"/>
        </w:rPr>
      </w:pPr>
    </w:p>
    <w:p w14:paraId="4FE66963">
      <w:pPr>
        <w:spacing w:line="360" w:lineRule="auto"/>
        <w:ind w:right="-218" w:rightChars="-104" w:firstLine="570"/>
        <w:rPr>
          <w:rFonts w:hint="eastAsia" w:ascii="宋体" w:hAnsi="宋体" w:eastAsia="宋体" w:cs="宋体"/>
          <w:sz w:val="24"/>
          <w:highlight w:val="none"/>
        </w:rPr>
      </w:pPr>
    </w:p>
    <w:p w14:paraId="180E1FAC">
      <w:pPr>
        <w:spacing w:line="360" w:lineRule="auto"/>
        <w:ind w:right="-218" w:rightChars="-104"/>
        <w:rPr>
          <w:rFonts w:hint="eastAsia" w:ascii="宋体" w:hAnsi="宋体" w:eastAsia="宋体" w:cs="宋体"/>
          <w:sz w:val="24"/>
          <w:highlight w:val="none"/>
        </w:rPr>
      </w:pPr>
      <w:r>
        <w:rPr>
          <w:rFonts w:hint="eastAsia" w:ascii="宋体" w:hAnsi="宋体" w:eastAsia="宋体" w:cs="宋体"/>
          <w:sz w:val="24"/>
          <w:highlight w:val="none"/>
        </w:rPr>
        <w:t>甲方：                                乙方：</w:t>
      </w:r>
    </w:p>
    <w:p w14:paraId="70C81880">
      <w:pPr>
        <w:spacing w:line="360" w:lineRule="auto"/>
        <w:ind w:right="-218" w:rightChars="-104"/>
        <w:rPr>
          <w:rFonts w:hint="eastAsia" w:ascii="宋体" w:hAnsi="宋体" w:eastAsia="宋体" w:cs="宋体"/>
          <w:sz w:val="24"/>
          <w:highlight w:val="none"/>
        </w:rPr>
      </w:pPr>
    </w:p>
    <w:p w14:paraId="4D51176F">
      <w:pPr>
        <w:spacing w:line="360" w:lineRule="auto"/>
        <w:ind w:right="-218" w:rightChars="-104"/>
        <w:rPr>
          <w:rFonts w:hint="eastAsia" w:ascii="宋体" w:hAnsi="宋体" w:eastAsia="宋体" w:cs="宋体"/>
          <w:sz w:val="24"/>
          <w:highlight w:val="none"/>
        </w:rPr>
      </w:pPr>
      <w:r>
        <w:rPr>
          <w:rFonts w:hint="eastAsia" w:ascii="宋体" w:hAnsi="宋体" w:eastAsia="宋体" w:cs="宋体"/>
          <w:sz w:val="24"/>
          <w:highlight w:val="none"/>
        </w:rPr>
        <w:t>代表：                                代表：</w:t>
      </w:r>
    </w:p>
    <w:p w14:paraId="44D4CE37">
      <w:pPr>
        <w:spacing w:line="360" w:lineRule="auto"/>
        <w:ind w:right="-218" w:rightChars="-104"/>
        <w:rPr>
          <w:rFonts w:hint="eastAsia" w:ascii="宋体" w:hAnsi="宋体" w:eastAsia="宋体" w:cs="宋体"/>
          <w:sz w:val="24"/>
          <w:highlight w:val="none"/>
        </w:rPr>
      </w:pPr>
    </w:p>
    <w:p w14:paraId="21159D1C">
      <w:pPr>
        <w:spacing w:line="360" w:lineRule="auto"/>
        <w:ind w:right="-218" w:rightChars="-104"/>
        <w:rPr>
          <w:rFonts w:hint="eastAsia" w:ascii="宋体" w:hAnsi="宋体" w:eastAsia="宋体" w:cs="宋体"/>
          <w:sz w:val="24"/>
          <w:highlight w:val="none"/>
        </w:rPr>
      </w:pPr>
    </w:p>
    <w:p w14:paraId="7054D8EC">
      <w:pPr>
        <w:spacing w:line="360" w:lineRule="auto"/>
        <w:ind w:right="-218" w:rightChars="-104"/>
        <w:rPr>
          <w:rFonts w:hint="eastAsia" w:ascii="宋体" w:hAnsi="宋体" w:eastAsia="宋体" w:cs="宋体"/>
          <w:sz w:val="24"/>
          <w:highlight w:val="none"/>
        </w:rPr>
      </w:pPr>
      <w:r>
        <w:rPr>
          <w:rFonts w:hint="eastAsia" w:ascii="宋体" w:hAnsi="宋体" w:eastAsia="宋体" w:cs="宋体"/>
          <w:sz w:val="24"/>
          <w:highlight w:val="none"/>
        </w:rPr>
        <w:t>年       月       日                 年       月       日</w:t>
      </w:r>
    </w:p>
    <w:p w14:paraId="7A452949">
      <w:pPr>
        <w:rPr>
          <w:rFonts w:hint="eastAsia" w:ascii="宋体" w:hAnsi="宋体" w:eastAsia="宋体" w:cs="宋体"/>
          <w:b/>
          <w:bCs/>
          <w:sz w:val="32"/>
          <w:szCs w:val="32"/>
          <w:lang w:val="zh-CN"/>
        </w:rPr>
      </w:pPr>
    </w:p>
    <w:p w14:paraId="49A4D21F">
      <w:pPr>
        <w:spacing w:line="360" w:lineRule="auto"/>
        <w:jc w:val="right"/>
        <w:rPr>
          <w:rFonts w:hint="eastAsia" w:ascii="宋体" w:hAnsi="宋体" w:eastAsia="宋体" w:cs="宋体"/>
          <w:b/>
          <w:bCs/>
          <w:sz w:val="28"/>
          <w:szCs w:val="28"/>
        </w:rPr>
      </w:pPr>
    </w:p>
    <w:p w14:paraId="626BAA26">
      <w:pPr>
        <w:tabs>
          <w:tab w:val="left" w:pos="5145"/>
        </w:tabs>
        <w:spacing w:line="520" w:lineRule="exact"/>
        <w:ind w:firstLine="562" w:firstLineChars="200"/>
        <w:rPr>
          <w:rFonts w:hint="eastAsia" w:ascii="宋体" w:hAnsi="宋体" w:eastAsia="宋体" w:cs="宋体"/>
          <w:sz w:val="24"/>
        </w:rPr>
      </w:pPr>
      <w:r>
        <w:rPr>
          <w:rFonts w:hint="eastAsia" w:ascii="宋体" w:hAnsi="宋体" w:eastAsia="宋体" w:cs="宋体"/>
          <w:b/>
          <w:bCs/>
          <w:sz w:val="28"/>
          <w:szCs w:val="28"/>
        </w:rPr>
        <w:t xml:space="preserve">               </w:t>
      </w:r>
      <w:bookmarkStart w:id="13" w:name="_Toc231459935"/>
    </w:p>
    <w:bookmarkEnd w:id="13"/>
    <w:p w14:paraId="7DA90A62"/>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简体">
    <w:altName w:val="宋体"/>
    <w:panose1 w:val="00000000000000000000"/>
    <w:charset w:val="86"/>
    <w:family w:val="script"/>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869D6">
    <w:pPr>
      <w:pStyle w:val="10"/>
      <w:rPr>
        <w:rFonts w:hint="eastAsia"/>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677344">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B677344">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AA2EC">
    <w:pPr>
      <w:pStyle w:val="11"/>
      <w:rPr>
        <w:rFonts w:hint="default"/>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B08E1"/>
    <w:rsid w:val="04015370"/>
    <w:rsid w:val="0A365F7E"/>
    <w:rsid w:val="227B5090"/>
    <w:rsid w:val="67FB34BE"/>
    <w:rsid w:val="6B8013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qFormat/>
    <w:uiPriority w:val="0"/>
    <w:pPr>
      <w:keepNext/>
      <w:keepLines/>
      <w:spacing w:line="416" w:lineRule="auto"/>
      <w:outlineLvl w:val="2"/>
    </w:pPr>
    <w:rPr>
      <w:b/>
      <w:bCs/>
      <w:sz w:val="32"/>
      <w:szCs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kern w:val="0"/>
      <w:sz w:val="20"/>
    </w:rPr>
  </w:style>
  <w:style w:type="paragraph" w:styleId="5">
    <w:name w:val="Normal Indent"/>
    <w:basedOn w:val="1"/>
    <w:next w:val="6"/>
    <w:qFormat/>
    <w:uiPriority w:val="0"/>
    <w:pPr>
      <w:ind w:firstLine="420"/>
    </w:pPr>
    <w:rPr>
      <w:szCs w:val="20"/>
    </w:rPr>
  </w:style>
  <w:style w:type="paragraph" w:styleId="6">
    <w:name w:val="Body Text First Indent 2"/>
    <w:basedOn w:val="7"/>
    <w:next w:val="5"/>
    <w:unhideWhenUsed/>
    <w:qFormat/>
    <w:uiPriority w:val="0"/>
    <w:pPr>
      <w:ind w:firstLine="420"/>
    </w:pPr>
  </w:style>
  <w:style w:type="paragraph" w:styleId="7">
    <w:name w:val="Body Text Indent"/>
    <w:basedOn w:val="1"/>
    <w:next w:val="8"/>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8">
    <w:name w:val="envelope return"/>
    <w:basedOn w:val="1"/>
    <w:qFormat/>
    <w:uiPriority w:val="0"/>
    <w:pPr>
      <w:snapToGrid w:val="0"/>
    </w:pPr>
    <w:rPr>
      <w:rFonts w:ascii="Arial" w:hAnsi="Arial"/>
    </w:rPr>
  </w:style>
  <w:style w:type="paragraph" w:styleId="9">
    <w:name w:val="Body Text Indent 2"/>
    <w:basedOn w:val="1"/>
    <w:qFormat/>
    <w:uiPriority w:val="0"/>
    <w:pPr>
      <w:spacing w:after="120" w:line="480" w:lineRule="auto"/>
      <w:ind w:left="420" w:leftChars="200"/>
    </w:pPr>
  </w:style>
  <w:style w:type="paragraph" w:styleId="10">
    <w:name w:val="footer"/>
    <w:basedOn w:val="1"/>
    <w:next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4"/>
    <w:basedOn w:val="1"/>
    <w:next w:val="1"/>
    <w:qFormat/>
    <w:uiPriority w:val="0"/>
    <w:pPr>
      <w:ind w:left="1260" w:leftChars="600"/>
    </w:pPr>
    <w:rPr>
      <w:rFonts w:ascii="Calibri" w:hAnsi="Calibri"/>
    </w:rPr>
  </w:style>
  <w:style w:type="paragraph" w:styleId="13">
    <w:name w:val="Normal (Web)"/>
    <w:basedOn w:val="1"/>
    <w:next w:val="10"/>
    <w:qFormat/>
    <w:uiPriority w:val="0"/>
    <w:pPr>
      <w:widowControl/>
      <w:spacing w:before="100" w:beforeAutospacing="1" w:after="100" w:afterAutospacing="1"/>
      <w:jc w:val="left"/>
    </w:pPr>
    <w:rPr>
      <w:rFonts w:ascii="宋体" w:hAnsi="宋体" w:cs="宋体"/>
      <w:sz w:val="24"/>
    </w:rPr>
  </w:style>
  <w:style w:type="paragraph" w:customStyle="1" w:styleId="16">
    <w:name w:val="样式 仿宋_GB2312 四号 行距: 1.5 倍行距"/>
    <w:basedOn w:val="1"/>
    <w:autoRedefine/>
    <w:qFormat/>
    <w:uiPriority w:val="0"/>
    <w:pPr>
      <w:tabs>
        <w:tab w:val="left" w:pos="2619"/>
      </w:tabs>
      <w:spacing w:line="360" w:lineRule="auto"/>
      <w:ind w:firstLine="560"/>
    </w:pPr>
    <w:rPr>
      <w:rFonts w:ascii="仿宋_GB2312" w:eastAsia="仿宋_GB2312" w:cs="宋体"/>
    </w:rPr>
  </w:style>
  <w:style w:type="paragraph" w:customStyle="1" w:styleId="17">
    <w:name w:val="样式 首行缩进:  2 字符"/>
    <w:basedOn w:val="1"/>
    <w:qFormat/>
    <w:uiPriority w:val="0"/>
    <w:pPr>
      <w:spacing w:line="400" w:lineRule="exact"/>
      <w:ind w:firstLine="200" w:firstLineChars="200"/>
    </w:pPr>
    <w:rPr>
      <w:rFonts w:ascii="Times New Roman" w:hAnsi="Times New Roman" w:cs="宋体"/>
      <w:sz w:val="24"/>
    </w:rPr>
  </w:style>
  <w:style w:type="paragraph" w:customStyle="1" w:styleId="18">
    <w:name w:val="样式 标题 3 + (中文) 黑体 小四 非加粗 段前: 7.8 磅 段后: 0 磅 行距: 固定值 20 磅"/>
    <w:basedOn w:val="4"/>
    <w:qFormat/>
    <w:uiPriority w:val="0"/>
    <w:pPr>
      <w:spacing w:line="400" w:lineRule="exact"/>
    </w:pPr>
    <w:rPr>
      <w:rFonts w:eastAsia="黑体" w:cs="宋体"/>
      <w:b w:val="0"/>
      <w:bCs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27294</Words>
  <Characters>28550</Characters>
  <Lines>0</Lines>
  <Paragraphs>0</Paragraphs>
  <TotalTime>2</TotalTime>
  <ScaleCrop>false</ScaleCrop>
  <LinksUpToDate>false</LinksUpToDate>
  <CharactersWithSpaces>29536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2026-01-28T08:12:00Z</dcterms:created>
  <dc:creator>Administrator</dc:creator>
  <cp:lastModifiedBy>么么哒现实不是想象中的</cp:lastModifiedBy>
  <dcterms:modified xsi:type="dcterms:W3CDTF">2026-04-23T02:58:14Z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eyJoZGlkIjoiOTc5Mzc0YjNmNTMzZDU2YzEzNTQwOTBiMzNkYzJkZmQiLCJ1c2VySWQiOiIxMDQyNTI2NDQzIn0=</vt:lpwstr>
  </property>
  <property fmtid="{D5CDD505-2E9C-101B-9397-08002B2CF9AE}" pid="4" name="ICV">
    <vt:lpwstr>8FCF926EF21347BB8E3D39C862D30050_12</vt:lpwstr>
  </property>
</Properties>
</file>