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版本号：JXRZ-HC-2026-021-0220260423001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佛坪县熊猫谷智慧景区建设项目(二次)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JXRZ-HC-2026-021-02</w:t>
      </w:r>
      <w:r>
        <w:br/>
      </w:r>
      <w:r>
        <w:br/>
      </w:r>
      <w:r>
        <w:br/>
      </w:r>
    </w:p>
    <w:p>
      <w:pPr>
        <w:pStyle w:val="null3"/>
        <w:jc w:val="center"/>
        <w:outlineLvl w:val="2"/>
      </w:pPr>
      <w:r>
        <w:rPr>
          <w:rFonts w:ascii="仿宋_GB2312" w:hAnsi="仿宋_GB2312" w:cs="仿宋_GB2312" w:eastAsia="仿宋_GB2312"/>
          <w:sz w:val="28"/>
          <w:b/>
        </w:rPr>
        <w:t>佛坪县景区建设管理委员会办公室</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佛坪县景区建设管理委员会办公室</w:t>
      </w:r>
      <w:r>
        <w:rPr>
          <w:rFonts w:ascii="仿宋_GB2312" w:hAnsi="仿宋_GB2312" w:cs="仿宋_GB2312" w:eastAsia="仿宋_GB2312"/>
        </w:rPr>
        <w:t>委托，拟对</w:t>
      </w:r>
      <w:r>
        <w:rPr>
          <w:rFonts w:ascii="仿宋_GB2312" w:hAnsi="仿宋_GB2312" w:cs="仿宋_GB2312" w:eastAsia="仿宋_GB2312"/>
        </w:rPr>
        <w:t>佛坪县熊猫谷智慧景区建设项目(二次)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JXRZ-HC-2026-021-02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佛坪县熊猫谷智慧景区建设项目(二次)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佛坪县熊猫谷智慧景区建设项目内，建设大数据系统、票务、分销、店铺、商户等管理系统1套，指挥中心大屏、环境监测等集成设备1套，票务硬件设备1套。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佛坪县景区建设管理委员会办公室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佛坪县南环路6号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13891657200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汉中市汉台区天汉文化产业园A6-A7号楼二楼D-07</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15309166370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佛坪县景区建设管理委员会办公室</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佛坪县景区建设管理委员会办公室</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佛坪县景区建设管理委员会办公室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联系电话：15309166370</w:t>
      </w:r>
    </w:p>
    <w:p>
      <w:pPr>
        <w:pStyle w:val="null3"/>
      </w:pPr>
      <w:r>
        <w:rPr>
          <w:rFonts w:ascii="仿宋_GB2312" w:hAnsi="仿宋_GB2312" w:cs="仿宋_GB2312" w:eastAsia="仿宋_GB2312"/>
        </w:rPr>
        <w:t>地址：汉中市汉台区天汉文化产业园A6-A7号楼二楼D-07</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佛坪县熊猫谷智慧景区建设项目内，建设大数据系统、票务、分销、店铺、商户等管理系统1套，指挥中心大屏、环境监测等集成设备1套，票务硬件设备1套。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6"/>
              <w:gridCol w:w="112"/>
              <w:gridCol w:w="112"/>
              <w:gridCol w:w="168"/>
              <w:gridCol w:w="125"/>
              <w:gridCol w:w="1632"/>
              <w:gridCol w:w="315"/>
            </w:tblGrid>
            <w:tr>
              <w:tc>
                <w:tcPr>
                  <w:tcW w:type="dxa" w:w="2550"/>
                  <w:gridSpan w:val="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b/>
                      <w:color w:val="000000"/>
                    </w:rPr>
                    <w:t>参数清单</w:t>
                  </w:r>
                </w:p>
              </w:tc>
            </w:tr>
            <w:tr>
              <w:tc>
                <w:tcPr>
                  <w:tcW w:type="dxa" w:w="86"/>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b/>
                      <w:color w:val="000000"/>
                    </w:rPr>
                    <w:t>序号</w:t>
                  </w:r>
                </w:p>
              </w:tc>
              <w:tc>
                <w:tcPr>
                  <w:tcW w:type="dxa" w:w="224"/>
                  <w:gridSpan w:val="2"/>
                  <w:vMerge w:val="restart"/>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b/>
                      <w:color w:val="000000"/>
                    </w:rPr>
                    <w:t>设备名称</w:t>
                  </w:r>
                </w:p>
              </w:tc>
              <w:tc>
                <w:tcPr>
                  <w:tcW w:type="dxa" w:w="168"/>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b/>
                      <w:color w:val="000000"/>
                    </w:rPr>
                    <w:t>计量单位</w:t>
                  </w:r>
                </w:p>
              </w:tc>
              <w:tc>
                <w:tcPr>
                  <w:tcW w:type="dxa" w:w="1757"/>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b/>
                      <w:color w:val="000000"/>
                    </w:rPr>
                    <w:t>单位配置数</w:t>
                  </w:r>
                </w:p>
              </w:tc>
              <w:tc>
                <w:tcPr>
                  <w:tcW w:type="dxa" w:w="315"/>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b/>
                      <w:color w:val="000000"/>
                    </w:rPr>
                    <w:t>备注</w:t>
                  </w:r>
                </w:p>
              </w:tc>
            </w:tr>
            <w:tr>
              <w:tc>
                <w:tcPr>
                  <w:tcW w:type="dxa" w:w="86"/>
                  <w:vMerge/>
                  <w:tcBorders>
                    <w:top w:val="single" w:color="000000" w:sz="4"/>
                    <w:left w:val="single" w:color="000000" w:sz="4"/>
                    <w:bottom w:val="single" w:color="000000" w:sz="4"/>
                    <w:right w:val="single" w:color="000000" w:sz="4"/>
                  </w:tcBorders>
                </w:tcPr>
                <w:p/>
              </w:tc>
              <w:tc>
                <w:tcPr>
                  <w:tcW w:type="dxa" w:w="224"/>
                  <w:gridSpan w:val="2"/>
                  <w:vMerge/>
                  <w:tcBorders>
                    <w:top w:val="single" w:color="000000" w:sz="4"/>
                    <w:left w:val="single" w:color="000000" w:sz="4"/>
                    <w:bottom w:val="none" w:color="000000" w:sz="4"/>
                    <w:right w:val="single" w:color="000000" w:sz="4"/>
                  </w:tcBorders>
                </w:tcPr>
                <w:p/>
              </w:tc>
              <w:tc>
                <w:tcPr>
                  <w:tcW w:type="dxa" w:w="168"/>
                  <w:vMerge/>
                  <w:tcBorders>
                    <w:top w:val="single" w:color="000000" w:sz="4"/>
                    <w:left w:val="single" w:color="000000" w:sz="4"/>
                    <w:bottom w:val="single" w:color="000000" w:sz="4"/>
                    <w:right w:val="single" w:color="000000" w:sz="4"/>
                  </w:tcBorders>
                </w:tcPr>
                <w:p/>
              </w:tc>
              <w:tc>
                <w:tcPr>
                  <w:tcW w:type="dxa" w:w="12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b/>
                      <w:color w:val="000000"/>
                    </w:rPr>
                    <w:t>数量</w:t>
                  </w:r>
                </w:p>
              </w:tc>
              <w:tc>
                <w:tcPr>
                  <w:tcW w:type="dxa" w:w="1632"/>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b/>
                      <w:color w:val="000000"/>
                    </w:rPr>
                    <w:t>技术参数</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智能文搜相机（核心产品）</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56</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1，★≥400万像素（提供第三方机构出具的检测报告证明并加盖原厂家公章）</w:t>
                  </w:r>
                  <w:r>
                    <w:br/>
                  </w:r>
                  <w:r>
                    <w:rPr>
                      <w:rFonts w:ascii="仿宋_GB2312" w:hAnsi="仿宋_GB2312" w:cs="仿宋_GB2312" w:eastAsia="仿宋_GB2312"/>
                      <w:color w:val="000000"/>
                    </w:rPr>
                    <w:t xml:space="preserve"> 2，靶面尺寸≥1/2.7英寸、信噪比不小于55dB。</w:t>
                  </w:r>
                  <w:r>
                    <w:br/>
                  </w:r>
                  <w:r>
                    <w:rPr>
                      <w:rFonts w:ascii="仿宋_GB2312" w:hAnsi="仿宋_GB2312" w:cs="仿宋_GB2312" w:eastAsia="仿宋_GB2312"/>
                      <w:color w:val="000000"/>
                    </w:rPr>
                    <w:t xml:space="preserve"> 3，需支持红外补光、白光补光，有效补光距离≥20m</w:t>
                  </w:r>
                  <w:r>
                    <w:br/>
                  </w:r>
                  <w:r>
                    <w:rPr>
                      <w:rFonts w:ascii="仿宋_GB2312" w:hAnsi="仿宋_GB2312" w:cs="仿宋_GB2312" w:eastAsia="仿宋_GB2312"/>
                      <w:color w:val="000000"/>
                    </w:rPr>
                    <w:t xml:space="preserve"> 4，▲具备区域入侵、越界入侵，当以上智能分析行为达到设定的阈值时，可通过客户端软件或IE浏览器给出报警提示。（提供第三方机构出具的检测报告证明并加盖原厂家公章）</w:t>
                  </w:r>
                  <w:r>
                    <w:br/>
                  </w:r>
                  <w:r>
                    <w:rPr>
                      <w:rFonts w:ascii="仿宋_GB2312" w:hAnsi="仿宋_GB2312" w:cs="仿宋_GB2312" w:eastAsia="仿宋_GB2312"/>
                      <w:color w:val="000000"/>
                    </w:rPr>
                    <w:t xml:space="preserve"> 5，需内置≥1个麦克风，≥1个RJ45网络接口</w:t>
                  </w:r>
                  <w:r>
                    <w:br/>
                  </w:r>
                  <w:r>
                    <w:rPr>
                      <w:rFonts w:ascii="仿宋_GB2312" w:hAnsi="仿宋_GB2312" w:cs="仿宋_GB2312" w:eastAsia="仿宋_GB2312"/>
                      <w:color w:val="000000"/>
                    </w:rPr>
                    <w:t xml:space="preserve"> 6，需支持不低于IP66防尘防水等级。</w:t>
                  </w:r>
                </w:p>
              </w:tc>
              <w:tc>
                <w:tcPr>
                  <w:tcW w:type="dxa" w:w="3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包含左半山步道相机20台补盲</w:t>
                  </w:r>
                  <w:r>
                    <w:br/>
                  </w:r>
                  <w:r>
                    <w:rPr>
                      <w:rFonts w:ascii="仿宋_GB2312" w:hAnsi="仿宋_GB2312" w:cs="仿宋_GB2312" w:eastAsia="仿宋_GB2312"/>
                      <w:color w:val="000000"/>
                    </w:rPr>
                    <w:t xml:space="preserve"> 包含36台老旧、损坏视频监控替换</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2</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摄像机支架</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56</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1，不低于压铸纯铝合金材质，表面做喷塑处理</w:t>
                  </w:r>
                  <w:r>
                    <w:br/>
                  </w:r>
                  <w:r>
                    <w:rPr>
                      <w:rFonts w:ascii="仿宋_GB2312" w:hAnsi="仿宋_GB2312" w:cs="仿宋_GB2312" w:eastAsia="仿宋_GB2312"/>
                      <w:color w:val="000000"/>
                    </w:rPr>
                    <w:t xml:space="preserve"> 2，支架需带出线孔，安装更加美观</w:t>
                  </w:r>
                  <w:r>
                    <w:br/>
                  </w:r>
                  <w:r>
                    <w:rPr>
                      <w:rFonts w:ascii="仿宋_GB2312" w:hAnsi="仿宋_GB2312" w:cs="仿宋_GB2312" w:eastAsia="仿宋_GB2312"/>
                      <w:color w:val="000000"/>
                    </w:rPr>
                    <w:t xml:space="preserve"> 3，摄像机安装座表面需具备海绵垫，保证和摄像机底座结合更紧密</w:t>
                  </w:r>
                  <w:r>
                    <w:br/>
                  </w:r>
                  <w:r>
                    <w:rPr>
                      <w:rFonts w:ascii="仿宋_GB2312" w:hAnsi="仿宋_GB2312" w:cs="仿宋_GB2312" w:eastAsia="仿宋_GB2312"/>
                      <w:color w:val="000000"/>
                    </w:rPr>
                    <w:t xml:space="preserve"> 4，摄像机安装座可旋转，方便摄像机角度调整</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3</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智能周界球型摄像机</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1，最大视频分辨率与帧率≥2560x1440、25fps</w:t>
                  </w:r>
                  <w:r>
                    <w:br/>
                  </w:r>
                  <w:r>
                    <w:rPr>
                      <w:rFonts w:ascii="仿宋_GB2312" w:hAnsi="仿宋_GB2312" w:cs="仿宋_GB2312" w:eastAsia="仿宋_GB2312"/>
                      <w:color w:val="000000"/>
                    </w:rPr>
                    <w:t xml:space="preserve"> 2，设备靶面尺寸≥1/2.8英寸</w:t>
                  </w:r>
                  <w:r>
                    <w:br/>
                  </w:r>
                  <w:r>
                    <w:rPr>
                      <w:rFonts w:ascii="仿宋_GB2312" w:hAnsi="仿宋_GB2312" w:cs="仿宋_GB2312" w:eastAsia="仿宋_GB2312"/>
                      <w:color w:val="000000"/>
                    </w:rPr>
                    <w:t xml:space="preserve"> 3，光学变倍大于21倍，最大焦距110.4mm</w:t>
                  </w:r>
                  <w:r>
                    <w:br/>
                  </w:r>
                  <w:r>
                    <w:rPr>
                      <w:rFonts w:ascii="仿宋_GB2312" w:hAnsi="仿宋_GB2312" w:cs="仿宋_GB2312" w:eastAsia="仿宋_GB2312"/>
                      <w:color w:val="000000"/>
                    </w:rPr>
                    <w:t xml:space="preserve"> 4，补光光源关闭的情况下：彩色≤0.005 lx，黑白≤0.001 lx；</w:t>
                  </w:r>
                  <w:r>
                    <w:br/>
                  </w:r>
                  <w:r>
                    <w:rPr>
                      <w:rFonts w:ascii="仿宋_GB2312" w:hAnsi="仿宋_GB2312" w:cs="仿宋_GB2312" w:eastAsia="仿宋_GB2312"/>
                      <w:color w:val="000000"/>
                    </w:rPr>
                    <w:t xml:space="preserve"> 5，设备应具有≥200个预置位，具有自动扫描功能，可按照设置的预置位设置≥4条巡航路径</w:t>
                  </w:r>
                  <w:r>
                    <w:br/>
                  </w:r>
                  <w:r>
                    <w:rPr>
                      <w:rFonts w:ascii="仿宋_GB2312" w:hAnsi="仿宋_GB2312" w:cs="仿宋_GB2312" w:eastAsia="仿宋_GB2312"/>
                      <w:color w:val="000000"/>
                    </w:rPr>
                    <w:t xml:space="preserve"> 6，设备应支持区域入侵侦测、越界侦测等智能侦测功能，支持将智能分析结果传递至客户端</w:t>
                  </w:r>
                  <w:r>
                    <w:br/>
                  </w:r>
                  <w:r>
                    <w:rPr>
                      <w:rFonts w:ascii="仿宋_GB2312" w:hAnsi="仿宋_GB2312" w:cs="仿宋_GB2312" w:eastAsia="仿宋_GB2312"/>
                      <w:color w:val="000000"/>
                    </w:rPr>
                    <w:t xml:space="preserve"> 7，▲设备应具有镜头前盖加热功能，可对镜头前盖玻璃加热，去除镜头玻璃上的冰状和水状附着物。（提供第三方机构出具的检测报告证明并加盖原厂家公章）</w:t>
                  </w:r>
                  <w:r>
                    <w:br/>
                  </w:r>
                  <w:r>
                    <w:rPr>
                      <w:rFonts w:ascii="仿宋_GB2312" w:hAnsi="仿宋_GB2312" w:cs="仿宋_GB2312" w:eastAsia="仿宋_GB2312"/>
                      <w:color w:val="000000"/>
                    </w:rPr>
                    <w:t xml:space="preserve"> 8，设备内置应≥2个麦克风，可采集距离设备10m处大于等于75dB（A）的声音</w:t>
                  </w:r>
                </w:p>
              </w:tc>
              <w:tc>
                <w:tcPr>
                  <w:tcW w:type="dxa" w:w="3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包含大北崖水潭、蛙石水潭、酒店门口水潭、野人谷，共计4处进行游客翻越围栏告警</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4</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快球支架</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个</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1，不低于压铸纯铝合金材质，表面做喷塑处理</w:t>
                  </w:r>
                  <w:r>
                    <w:br/>
                  </w:r>
                  <w:r>
                    <w:rPr>
                      <w:rFonts w:ascii="仿宋_GB2312" w:hAnsi="仿宋_GB2312" w:cs="仿宋_GB2312" w:eastAsia="仿宋_GB2312"/>
                      <w:color w:val="000000"/>
                    </w:rPr>
                    <w:t xml:space="preserve"> 2，支架需带出线孔，安装更加美观</w:t>
                  </w:r>
                  <w:r>
                    <w:br/>
                  </w:r>
                  <w:r>
                    <w:rPr>
                      <w:rFonts w:ascii="仿宋_GB2312" w:hAnsi="仿宋_GB2312" w:cs="仿宋_GB2312" w:eastAsia="仿宋_GB2312"/>
                      <w:color w:val="000000"/>
                    </w:rPr>
                    <w:t xml:space="preserve"> 3，摄像机安装座表面需具备海绵垫，保证和摄像机底座结合更紧密</w:t>
                  </w:r>
                  <w:r>
                    <w:br/>
                  </w:r>
                  <w:r>
                    <w:rPr>
                      <w:rFonts w:ascii="仿宋_GB2312" w:hAnsi="仿宋_GB2312" w:cs="仿宋_GB2312" w:eastAsia="仿宋_GB2312"/>
                      <w:color w:val="000000"/>
                    </w:rPr>
                    <w:t xml:space="preserve"> 4，摄像机安装座可旋转，方便摄像机角度调整</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5</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智能大模型存储服务器</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具有≥2个HDMI接口、≥2个VGA接口、≥1个CVBS接口，≥2个RJ45千兆网络接口、≥2个USB2.0接口、≥2个USB3.0接口、≥1个RS232接口、≥1个RS485接口。具有≥1路音频输入接口、≥2路音频输出接口，≥12路报警输入接口、≥8路报警输出接口，可内置≥8个SATA接口硬盘</w:t>
                  </w:r>
                  <w:r>
                    <w:br/>
                  </w:r>
                  <w:r>
                    <w:rPr>
                      <w:rFonts w:ascii="仿宋_GB2312" w:hAnsi="仿宋_GB2312" w:cs="仿宋_GB2312" w:eastAsia="仿宋_GB2312"/>
                      <w:color w:val="000000"/>
                    </w:rPr>
                    <w:t xml:space="preserve"> 2，▲设备应支持文搜内容合规性检测，可自动过滤敏感内容，且合规检测算法支持在线升级。（提供第三方机构出具的检测报告证明并加盖原厂家公章）</w:t>
                  </w:r>
                  <w:r>
                    <w:br/>
                  </w:r>
                  <w:r>
                    <w:rPr>
                      <w:rFonts w:ascii="仿宋_GB2312" w:hAnsi="仿宋_GB2312" w:cs="仿宋_GB2312" w:eastAsia="仿宋_GB2312"/>
                      <w:color w:val="000000"/>
                    </w:rPr>
                    <w:t xml:space="preserve"> 3，▲应支持WEB或平台通过网络接口来调用设备文搜板块，进行文搜及页面展示。（提供第三方机构出具的检测报告证明并加盖原厂家公章）</w:t>
                  </w:r>
                  <w:r>
                    <w:br/>
                  </w:r>
                  <w:r>
                    <w:rPr>
                      <w:rFonts w:ascii="仿宋_GB2312" w:hAnsi="仿宋_GB2312" w:cs="仿宋_GB2312" w:eastAsia="仿宋_GB2312"/>
                      <w:color w:val="000000"/>
                    </w:rPr>
                    <w:t xml:space="preserve"> 4，▲文搜检索结果应支持选中查看关联录像/图片，录像片段内显示关联目标跟踪框，支持对录像关联目标及其周围目标进行二次精准检索；（提供第三方机构出具的检测报告证明并加盖原厂家公章）</w:t>
                  </w:r>
                  <w:r>
                    <w:br/>
                  </w:r>
                  <w:r>
                    <w:rPr>
                      <w:rFonts w:ascii="仿宋_GB2312" w:hAnsi="仿宋_GB2312" w:cs="仿宋_GB2312" w:eastAsia="仿宋_GB2312"/>
                      <w:color w:val="000000"/>
                    </w:rPr>
                    <w:t xml:space="preserve"> 5，设备应支持文搜功能，可通过文字语义描述，快速检索目标对象或内容；并可基于文搜快速检索的结果，对目标进行图搜的二次精准检索定位</w:t>
                  </w:r>
                  <w:r>
                    <w:br/>
                  </w:r>
                  <w:r>
                    <w:rPr>
                      <w:rFonts w:ascii="仿宋_GB2312" w:hAnsi="仿宋_GB2312" w:cs="仿宋_GB2312" w:eastAsia="仿宋_GB2312"/>
                      <w:color w:val="000000"/>
                    </w:rPr>
                    <w:t xml:space="preserve"> 6，应支持将搜索内容添加到历史记录，历史检索词条保持最近10条，通过直接点击该高频热词或历史记录可直接进行重复检索</w:t>
                  </w:r>
                  <w:r>
                    <w:br/>
                  </w:r>
                  <w:r>
                    <w:rPr>
                      <w:rFonts w:ascii="仿宋_GB2312" w:hAnsi="仿宋_GB2312" w:cs="仿宋_GB2312" w:eastAsia="仿宋_GB2312"/>
                      <w:color w:val="000000"/>
                    </w:rPr>
                    <w:t xml:space="preserve"> 7，▲应支持≥12路视频流人脸识别，支持≥48路图片流人脸识别（提供第三方机构出具的检测报告证明并加盖原厂家公章）</w:t>
                  </w:r>
                  <w:r>
                    <w:br/>
                  </w:r>
                  <w:r>
                    <w:rPr>
                      <w:rFonts w:ascii="仿宋_GB2312" w:hAnsi="仿宋_GB2312" w:cs="仿宋_GB2312" w:eastAsia="仿宋_GB2312"/>
                      <w:color w:val="000000"/>
                    </w:rPr>
                    <w:t xml:space="preserve"> 8，应支持录像目标检索功能，目标检索支持单帧模式调整目标画面，可通过鼠标滚轮调整录像画面帧序列；事件中心，切片回放、回放支持目标检索快速入口</w:t>
                  </w:r>
                  <w:r>
                    <w:br/>
                  </w:r>
                  <w:r>
                    <w:rPr>
                      <w:rFonts w:ascii="仿宋_GB2312" w:hAnsi="仿宋_GB2312" w:cs="仿宋_GB2312" w:eastAsia="仿宋_GB2312"/>
                      <w:color w:val="000000"/>
                    </w:rPr>
                    <w:t xml:space="preserve"> 9，应支持预览时对实时视频流进行手动打标签，通过标签检索可以检索到相关的录像片段</w:t>
                  </w:r>
                  <w:r>
                    <w:br/>
                  </w:r>
                  <w:r>
                    <w:rPr>
                      <w:rFonts w:ascii="仿宋_GB2312" w:hAnsi="仿宋_GB2312" w:cs="仿宋_GB2312" w:eastAsia="仿宋_GB2312"/>
                      <w:color w:val="000000"/>
                    </w:rPr>
                    <w:t xml:space="preserve"> 10，应支持预览的单窗口轮巡，设备支持在多画面的固定窗口上进行轮巡预览，其他预览窗口不轮巡。</w:t>
                  </w:r>
                </w:p>
              </w:tc>
              <w:tc>
                <w:tcPr>
                  <w:tcW w:type="dxa" w:w="3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新建56路存储30天</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6</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硬盘</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1，≥16TB容量，SATA3.0接口，≥7200RPM</w:t>
                  </w:r>
                  <w:r>
                    <w:br/>
                  </w:r>
                  <w:r>
                    <w:rPr>
                      <w:rFonts w:ascii="仿宋_GB2312" w:hAnsi="仿宋_GB2312" w:cs="仿宋_GB2312" w:eastAsia="仿宋_GB2312"/>
                      <w:color w:val="000000"/>
                    </w:rPr>
                    <w:t xml:space="preserve"> 2，传输速率≥285 MB/s</w:t>
                  </w:r>
                  <w:r>
                    <w:br/>
                  </w:r>
                  <w:r>
                    <w:rPr>
                      <w:rFonts w:ascii="仿宋_GB2312" w:hAnsi="仿宋_GB2312" w:cs="仿宋_GB2312" w:eastAsia="仿宋_GB2312"/>
                      <w:color w:val="000000"/>
                    </w:rPr>
                    <w:t xml:space="preserve"> 3，满足7*24小时运行可靠性、安全性的需求</w:t>
                  </w:r>
                  <w:r>
                    <w:br/>
                  </w:r>
                  <w:r>
                    <w:rPr>
                      <w:rFonts w:ascii="仿宋_GB2312" w:hAnsi="仿宋_GB2312" w:cs="仿宋_GB2312" w:eastAsia="仿宋_GB2312"/>
                      <w:color w:val="000000"/>
                    </w:rPr>
                    <w:t xml:space="preserve"> 4，支持≥5年有限质保服务</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7</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广播管理主机</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1，Linux系统，≥10.1寸彩色IPS 触摸屏；</w:t>
                  </w:r>
                  <w:r>
                    <w:br/>
                  </w:r>
                  <w:r>
                    <w:rPr>
                      <w:rFonts w:ascii="仿宋_GB2312" w:hAnsi="仿宋_GB2312" w:cs="仿宋_GB2312" w:eastAsia="仿宋_GB2312"/>
                      <w:color w:val="000000"/>
                    </w:rPr>
                    <w:t xml:space="preserve"> 2，应支持通过web方式导入本地音源，并存入节目管理文件夹；</w:t>
                  </w:r>
                  <w:r>
                    <w:br/>
                  </w:r>
                  <w:r>
                    <w:rPr>
                      <w:rFonts w:ascii="仿宋_GB2312" w:hAnsi="仿宋_GB2312" w:cs="仿宋_GB2312" w:eastAsia="仿宋_GB2312"/>
                      <w:color w:val="000000"/>
                    </w:rPr>
                    <w:t xml:space="preserve"> 3，应支持对指定的全部、部分或者单个终端，实现实时广播及喊话功能；</w:t>
                  </w:r>
                  <w:r>
                    <w:br/>
                  </w:r>
                  <w:r>
                    <w:rPr>
                      <w:rFonts w:ascii="仿宋_GB2312" w:hAnsi="仿宋_GB2312" w:cs="仿宋_GB2312" w:eastAsia="仿宋_GB2312"/>
                      <w:color w:val="000000"/>
                    </w:rPr>
                    <w:t xml:space="preserve"> 4，应支持文件广播、文字转语音广播、实时广播和紧急广播；</w:t>
                  </w:r>
                  <w:r>
                    <w:br/>
                  </w:r>
                  <w:r>
                    <w:rPr>
                      <w:rFonts w:ascii="仿宋_GB2312" w:hAnsi="仿宋_GB2312" w:cs="仿宋_GB2312" w:eastAsia="仿宋_GB2312"/>
                      <w:color w:val="000000"/>
                    </w:rPr>
                    <w:t xml:space="preserve"> 5，应支持下发定时任务到终端，遇到网络中断等情况，终端也可以在指定的时间播放定时任务；</w:t>
                  </w:r>
                  <w:r>
                    <w:br/>
                  </w:r>
                  <w:r>
                    <w:rPr>
                      <w:rFonts w:ascii="仿宋_GB2312" w:hAnsi="仿宋_GB2312" w:cs="仿宋_GB2312" w:eastAsia="仿宋_GB2312"/>
                      <w:color w:val="000000"/>
                    </w:rPr>
                    <w:t xml:space="preserve"> 6，管理机应支持≥30台终端管理，支持与网络音箱，网络音柱进行双工对讲；</w:t>
                  </w:r>
                  <w:r>
                    <w:br/>
                  </w:r>
                  <w:r>
                    <w:rPr>
                      <w:rFonts w:ascii="仿宋_GB2312" w:hAnsi="仿宋_GB2312" w:cs="仿宋_GB2312" w:eastAsia="仿宋_GB2312"/>
                      <w:color w:val="000000"/>
                    </w:rPr>
                    <w:t xml:space="preserve"> 7，麦克风类型需支持驻极体</w:t>
                  </w:r>
                  <w:r>
                    <w:br/>
                  </w:r>
                  <w:r>
                    <w:rPr>
                      <w:rFonts w:ascii="仿宋_GB2312" w:hAnsi="仿宋_GB2312" w:cs="仿宋_GB2312" w:eastAsia="仿宋_GB2312"/>
                      <w:color w:val="000000"/>
                    </w:rPr>
                    <w:t xml:space="preserve"> 8，频响范围≥50 Hz~16 KHz、灵敏度≥-42 dB±2 dB (0db=1V/Pa at 1KHz)、阻抗：输出阻抗≥ 680 Ω (at 1KHz)</w:t>
                  </w:r>
                  <w:r>
                    <w:br/>
                  </w:r>
                  <w:r>
                    <w:rPr>
                      <w:rFonts w:ascii="仿宋_GB2312" w:hAnsi="仿宋_GB2312" w:cs="仿宋_GB2312" w:eastAsia="仿宋_GB2312"/>
                      <w:color w:val="000000"/>
                    </w:rPr>
                    <w:t xml:space="preserve"> 9，信道带宽≥20 MHz、有效距离≥50 m、内置天线 、网络≥1个支持10M/100M/1000M自适应;</w:t>
                  </w:r>
                  <w:r>
                    <w:br/>
                  </w:r>
                  <w:r>
                    <w:rPr>
                      <w:rFonts w:ascii="仿宋_GB2312" w:hAnsi="仿宋_GB2312" w:cs="仿宋_GB2312" w:eastAsia="仿宋_GB2312"/>
                      <w:color w:val="000000"/>
                    </w:rPr>
                    <w:t xml:space="preserve"> 10，报警≥2路报警输入、≥2路报警输出、显示屏分辨率≥ 1280*800  、RS485≥1</w:t>
                  </w:r>
                </w:p>
              </w:tc>
              <w:tc>
                <w:tcPr>
                  <w:tcW w:type="dxa" w:w="31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8</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网络音箱</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30</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1、具备网络音频解码、高性能D类功放及扬声器三合一，中低音和高音分频设计</w:t>
                  </w:r>
                  <w:r>
                    <w:br/>
                  </w:r>
                  <w:r>
                    <w:rPr>
                      <w:rFonts w:ascii="仿宋_GB2312" w:hAnsi="仿宋_GB2312" w:cs="仿宋_GB2312" w:eastAsia="仿宋_GB2312"/>
                      <w:color w:val="000000"/>
                    </w:rPr>
                    <w:t xml:space="preserve"> 2、具备双核芯片，内置NOR Flash+EMMC双存储，支持系统双备份</w:t>
                  </w:r>
                  <w:r>
                    <w:br/>
                  </w:r>
                  <w:r>
                    <w:rPr>
                      <w:rFonts w:ascii="仿宋_GB2312" w:hAnsi="仿宋_GB2312" w:cs="仿宋_GB2312" w:eastAsia="仿宋_GB2312"/>
                      <w:color w:val="000000"/>
                    </w:rPr>
                    <w:t xml:space="preserve"> 3、需支持安全启动、用户登录锁定机制及密码复杂度提示，支持安全审计日志事后可追溯</w:t>
                  </w:r>
                  <w:r>
                    <w:br/>
                  </w:r>
                  <w:r>
                    <w:rPr>
                      <w:rFonts w:ascii="仿宋_GB2312" w:hAnsi="仿宋_GB2312" w:cs="仿宋_GB2312" w:eastAsia="仿宋_GB2312"/>
                      <w:color w:val="000000"/>
                    </w:rPr>
                    <w:t xml:space="preserve"> 4、需支持通过IP网络（局域网/公网），远程平台批量统一管理+本地WEB单机灵活配置，同时支持本地音频采集播放</w:t>
                  </w:r>
                  <w:r>
                    <w:br/>
                  </w:r>
                  <w:r>
                    <w:rPr>
                      <w:rFonts w:ascii="仿宋_GB2312" w:hAnsi="仿宋_GB2312" w:cs="仿宋_GB2312" w:eastAsia="仿宋_GB2312"/>
                      <w:color w:val="000000"/>
                    </w:rPr>
                    <w:t xml:space="preserve"> 5、需支持实时和定时任务播放，支持本地保存60个定时任务，内置1GB存储空间最多支持1000个wav、mp3音频素材库管理</w:t>
                  </w:r>
                  <w:r>
                    <w:br/>
                  </w:r>
                  <w:r>
                    <w:rPr>
                      <w:rFonts w:ascii="仿宋_GB2312" w:hAnsi="仿宋_GB2312" w:cs="仿宋_GB2312" w:eastAsia="仿宋_GB2312"/>
                      <w:color w:val="000000"/>
                    </w:rPr>
                    <w:t xml:space="preserve"> 6、需支持NTP自动校时，系统时间与服务器自动同步，确保多设备播放同步和定时任务准时执行</w:t>
                  </w:r>
                  <w:r>
                    <w:br/>
                  </w:r>
                  <w:r>
                    <w:rPr>
                      <w:rFonts w:ascii="仿宋_GB2312" w:hAnsi="仿宋_GB2312" w:cs="仿宋_GB2312" w:eastAsia="仿宋_GB2312"/>
                      <w:color w:val="000000"/>
                    </w:rPr>
                    <w:t xml:space="preserve"> 7、需支持网络广播及本地输入混音、优先级可配置</w:t>
                  </w:r>
                  <w:r>
                    <w:br/>
                  </w:r>
                  <w:r>
                    <w:rPr>
                      <w:rFonts w:ascii="仿宋_GB2312" w:hAnsi="仿宋_GB2312" w:cs="仿宋_GB2312" w:eastAsia="仿宋_GB2312"/>
                      <w:color w:val="000000"/>
                    </w:rPr>
                    <w:t xml:space="preserve"> 8、可脱离平台独立联动IPC事件报警，如人员聚集报警、异常事件检测等，针对不同报警事件播报不同内容</w:t>
                  </w:r>
                  <w:r>
                    <w:br/>
                  </w:r>
                  <w:r>
                    <w:rPr>
                      <w:rFonts w:ascii="仿宋_GB2312" w:hAnsi="仿宋_GB2312" w:cs="仿宋_GB2312" w:eastAsia="仿宋_GB2312"/>
                      <w:color w:val="000000"/>
                    </w:rPr>
                    <w:t xml:space="preserve"> 9、需支持离线广播功能，下发音频文件、定时广播任务和报警触发任务后，终端在断网后可继续播放</w:t>
                  </w:r>
                  <w:r>
                    <w:br/>
                  </w:r>
                  <w:r>
                    <w:rPr>
                      <w:rFonts w:ascii="仿宋_GB2312" w:hAnsi="仿宋_GB2312" w:cs="仿宋_GB2312" w:eastAsia="仿宋_GB2312"/>
                      <w:color w:val="000000"/>
                    </w:rPr>
                    <w:t xml:space="preserve"> 10、需支持广播平台设置断点续播功能，每日同时段的循环播放具备断点记忆，被打断恢复后，可自动从下一个音频文件开始播放</w:t>
                  </w:r>
                  <w:r>
                    <w:br/>
                  </w:r>
                  <w:r>
                    <w:rPr>
                      <w:rFonts w:ascii="仿宋_GB2312" w:hAnsi="仿宋_GB2312" w:cs="仿宋_GB2312" w:eastAsia="仿宋_GB2312"/>
                      <w:color w:val="000000"/>
                    </w:rPr>
                    <w:t xml:space="preserve"> 11、需内置阵列麦克风，支持平台端对现场的监听与对讲</w:t>
                  </w:r>
                  <w:r>
                    <w:br/>
                  </w:r>
                  <w:r>
                    <w:rPr>
                      <w:rFonts w:ascii="仿宋_GB2312" w:hAnsi="仿宋_GB2312" w:cs="仿宋_GB2312" w:eastAsia="仿宋_GB2312"/>
                      <w:color w:val="000000"/>
                    </w:rPr>
                    <w:t xml:space="preserve"> 12、物理接口报警输入≥2、音频输入Line in≥ 2</w:t>
                  </w:r>
                </w:p>
              </w:tc>
              <w:tc>
                <w:tcPr>
                  <w:tcW w:type="dxa" w:w="3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利旧原有立杆安装，均匀分布</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9</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人脸门禁机</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1、▲设备结构后壳的防破坏能力应满足 IK07 的要求；屏幕防破坏能力应满足IK04的要求（提供第三方机构出具的检测报告证明并加盖原厂家公章）</w:t>
                  </w:r>
                  <w:r>
                    <w:br/>
                  </w:r>
                  <w:r>
                    <w:rPr>
                      <w:rFonts w:ascii="仿宋_GB2312" w:hAnsi="仿宋_GB2312" w:cs="仿宋_GB2312" w:eastAsia="仿宋_GB2312"/>
                      <w:color w:val="000000"/>
                    </w:rPr>
                    <w:t xml:space="preserve"> 2、设备应具有网络接口≥1个；RS-485 接口≥1 个；韦根接口≥1 个；USB 接口≥1 个；门锁接口≥1 个；门磁接口≥1 个；开门按钮 ≥1 个；报警 I/O 输出≥1 个；报警 I/O 输入≥1 个；机械防拆接口≥1 个。</w:t>
                  </w:r>
                  <w:r>
                    <w:br/>
                  </w:r>
                  <w:r>
                    <w:rPr>
                      <w:rFonts w:ascii="仿宋_GB2312" w:hAnsi="仿宋_GB2312" w:cs="仿宋_GB2312" w:eastAsia="仿宋_GB2312"/>
                      <w:color w:val="000000"/>
                    </w:rPr>
                    <w:t xml:space="preserve"> 3，屏幕应为 7 英寸触摸屏；屏幕流明度应不小于200cd/m2；屏幕分辨率应不小于1024*600；</w:t>
                  </w:r>
                  <w:r>
                    <w:br/>
                  </w:r>
                  <w:r>
                    <w:rPr>
                      <w:rFonts w:ascii="仿宋_GB2312" w:hAnsi="仿宋_GB2312" w:cs="仿宋_GB2312" w:eastAsia="仿宋_GB2312"/>
                      <w:color w:val="000000"/>
                    </w:rPr>
                    <w:t xml:space="preserve"> 4，设备网口应支持支持10/100Mbsp自适应有线网络通信传输；</w:t>
                  </w:r>
                  <w:r>
                    <w:br/>
                  </w:r>
                  <w:r>
                    <w:rPr>
                      <w:rFonts w:ascii="仿宋_GB2312" w:hAnsi="仿宋_GB2312" w:cs="仿宋_GB2312" w:eastAsia="仿宋_GB2312"/>
                      <w:color w:val="000000"/>
                    </w:rPr>
                    <w:t xml:space="preserve"> 5、设备应支持云平台通信，实现参数配置、权限管控功能；设备应支持被≥1个客户端软件管理和≥4个客户端软件同时实时监听</w:t>
                  </w:r>
                  <w:r>
                    <w:br/>
                  </w:r>
                  <w:r>
                    <w:rPr>
                      <w:rFonts w:ascii="仿宋_GB2312" w:hAnsi="仿宋_GB2312" w:cs="仿宋_GB2312" w:eastAsia="仿宋_GB2312"/>
                      <w:color w:val="000000"/>
                    </w:rPr>
                    <w:t xml:space="preserve"> 6、设备离线应能储存≥4000个用户、 ≥10000张卡片信息、≥50000条事件记录</w:t>
                  </w:r>
                  <w:r>
                    <w:br/>
                  </w:r>
                  <w:r>
                    <w:rPr>
                      <w:rFonts w:ascii="仿宋_GB2312" w:hAnsi="仿宋_GB2312" w:cs="仿宋_GB2312" w:eastAsia="仿宋_GB2312"/>
                      <w:color w:val="000000"/>
                    </w:rPr>
                    <w:t xml:space="preserve"> 7、▲设备应支持本地加密存储比对结果、身份信息及抓拍人脸照片；应支持实时加密上传比对结果、身份信息及抓拍人脸照片等至管理中心；应支持断网续传离线加密记录功能；设备USB导出数据应采用加密处理；用户数据及比对记录应采用加密处理（提供第三方机构出具的检测报告证明并加盖原厂家公章）</w:t>
                  </w:r>
                  <w:r>
                    <w:br/>
                  </w:r>
                  <w:r>
                    <w:rPr>
                      <w:rFonts w:ascii="仿宋_GB2312" w:hAnsi="仿宋_GB2312" w:cs="仿宋_GB2312" w:eastAsia="仿宋_GB2312"/>
                      <w:color w:val="000000"/>
                    </w:rPr>
                    <w:t xml:space="preserve"> 8、应支持在没有用户使用时自动切换到屏保或息屏待机状态，物体靠近自动唤醒待机设备，唤醒距离应能调节；应采用软硬件低功耗管理模式，设备待机运行功耗应低于5.5W。</w:t>
                  </w:r>
                </w:p>
              </w:tc>
              <w:tc>
                <w:tcPr>
                  <w:tcW w:type="dxa" w:w="31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建设与指挥中心二楼大门处，防止游客进入</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10</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电子锁</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把</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1、外壳不低于高强度合金材料，阳极硬化处理；</w:t>
                  </w:r>
                  <w:r>
                    <w:br/>
                  </w:r>
                  <w:r>
                    <w:rPr>
                      <w:rFonts w:ascii="仿宋_GB2312" w:hAnsi="仿宋_GB2312" w:cs="仿宋_GB2312" w:eastAsia="仿宋_GB2312"/>
                      <w:color w:val="000000"/>
                    </w:rPr>
                    <w:t xml:space="preserve"> 2、最大静态直线拉力≥230kg±10%*2；</w:t>
                  </w:r>
                  <w:r>
                    <w:br/>
                  </w:r>
                  <w:r>
                    <w:rPr>
                      <w:rFonts w:ascii="仿宋_GB2312" w:hAnsi="仿宋_GB2312" w:cs="仿宋_GB2312" w:eastAsia="仿宋_GB2312"/>
                      <w:color w:val="000000"/>
                    </w:rPr>
                    <w:t xml:space="preserve"> 3、需支持断电开锁，满足消防要求；</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11</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电子锁支架</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只</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1、选用材料不低于高强铝合金，表面喷沙，颜色为氧化银。</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12</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开门按钮</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1、最大耐电流1.25A，电压250V；</w:t>
                  </w:r>
                  <w:r>
                    <w:br/>
                  </w:r>
                  <w:r>
                    <w:rPr>
                      <w:rFonts w:ascii="仿宋_GB2312" w:hAnsi="仿宋_GB2312" w:cs="仿宋_GB2312" w:eastAsia="仿宋_GB2312"/>
                      <w:color w:val="000000"/>
                    </w:rPr>
                    <w:t xml:space="preserve"> 2、输出支持常开；</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13</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环境监测</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1、应支持扬尘、噪声、大气温湿度、风速风向、负氧离子实时监测</w:t>
                  </w:r>
                  <w:r>
                    <w:br/>
                  </w:r>
                  <w:r>
                    <w:rPr>
                      <w:rFonts w:ascii="仿宋_GB2312" w:hAnsi="仿宋_GB2312" w:cs="仿宋_GB2312" w:eastAsia="仿宋_GB2312"/>
                      <w:color w:val="000000"/>
                    </w:rPr>
                    <w:t xml:space="preserve"> 2、应支持实时和定时上传数据，远程可设定</w:t>
                  </w:r>
                  <w:r>
                    <w:br/>
                  </w:r>
                  <w:r>
                    <w:rPr>
                      <w:rFonts w:ascii="仿宋_GB2312" w:hAnsi="仿宋_GB2312" w:cs="仿宋_GB2312" w:eastAsia="仿宋_GB2312"/>
                      <w:color w:val="000000"/>
                    </w:rPr>
                    <w:t xml:space="preserve"> 3、应支持LED屏本地显示监测数据、支持4G全网通无线传输</w:t>
                  </w:r>
                  <w:r>
                    <w:br/>
                  </w:r>
                  <w:r>
                    <w:rPr>
                      <w:rFonts w:ascii="仿宋_GB2312" w:hAnsi="仿宋_GB2312" w:cs="仿宋_GB2312" w:eastAsia="仿宋_GB2312"/>
                      <w:color w:val="000000"/>
                    </w:rPr>
                    <w:t xml:space="preserve"> 4、应支持有线网络传输、支持扬尘越限自动联动喷淋降尘</w:t>
                  </w:r>
                  <w:r>
                    <w:br/>
                  </w:r>
                  <w:r>
                    <w:rPr>
                      <w:rFonts w:ascii="仿宋_GB2312" w:hAnsi="仿宋_GB2312" w:cs="仿宋_GB2312" w:eastAsia="仿宋_GB2312"/>
                      <w:color w:val="000000"/>
                    </w:rPr>
                    <w:t xml:space="preserve"> 5、应支持云端设备管理、支持AC220V 电源输入</w:t>
                  </w:r>
                  <w:r>
                    <w:br/>
                  </w:r>
                  <w:r>
                    <w:rPr>
                      <w:rFonts w:ascii="仿宋_GB2312" w:hAnsi="仿宋_GB2312" w:cs="仿宋_GB2312" w:eastAsia="仿宋_GB2312"/>
                      <w:color w:val="000000"/>
                    </w:rPr>
                    <w:t xml:space="preserve"> 6、【扬尘】颗粒物类型需支持PM2.5、PM10、量程≥0～1000ug/m³、精度≤±10%、分辨率≤1μg/m³</w:t>
                  </w:r>
                  <w:r>
                    <w:br/>
                  </w:r>
                  <w:r>
                    <w:rPr>
                      <w:rFonts w:ascii="仿宋_GB2312" w:hAnsi="仿宋_GB2312" w:cs="仿宋_GB2312" w:eastAsia="仿宋_GB2312"/>
                      <w:color w:val="000000"/>
                    </w:rPr>
                    <w:t xml:space="preserve"> 7、【噪声】量程≥30dB～130dB、频率范围≥31.5Hz～20kHz、精度≤±1.5dB、分辨率≤0.1dB</w:t>
                  </w:r>
                  <w:r>
                    <w:br/>
                  </w:r>
                  <w:r>
                    <w:rPr>
                      <w:rFonts w:ascii="仿宋_GB2312" w:hAnsi="仿宋_GB2312" w:cs="仿宋_GB2312" w:eastAsia="仿宋_GB2312"/>
                      <w:color w:val="000000"/>
                    </w:rPr>
                    <w:t xml:space="preserve"> 8、【温度】量程≥-40°C～70°C、精度≤±0.3°C、分辨率≤0.1°C</w:t>
                  </w:r>
                  <w:r>
                    <w:br/>
                  </w:r>
                  <w:r>
                    <w:rPr>
                      <w:rFonts w:ascii="仿宋_GB2312" w:hAnsi="仿宋_GB2312" w:cs="仿宋_GB2312" w:eastAsia="仿宋_GB2312"/>
                      <w:color w:val="000000"/>
                    </w:rPr>
                    <w:t xml:space="preserve"> 9、【湿度】量程≥0～100%RH、精度≤±2%RH(20%RH～80%RH)、分辨率≤0.1%RH</w:t>
                  </w:r>
                  <w:r>
                    <w:br/>
                  </w:r>
                  <w:r>
                    <w:rPr>
                      <w:rFonts w:ascii="仿宋_GB2312" w:hAnsi="仿宋_GB2312" w:cs="仿宋_GB2312" w:eastAsia="仿宋_GB2312"/>
                      <w:color w:val="000000"/>
                    </w:rPr>
                    <w:t xml:space="preserve"> 10、【风速】量程≥0～30m/s、精度≤±(0.3+0.03V)m/s、分辨率≤0.1m/s、启动风速≤0.5m/s</w:t>
                  </w:r>
                  <w:r>
                    <w:br/>
                  </w:r>
                  <w:r>
                    <w:rPr>
                      <w:rFonts w:ascii="仿宋_GB2312" w:hAnsi="仿宋_GB2312" w:cs="仿宋_GB2312" w:eastAsia="仿宋_GB2312"/>
                      <w:color w:val="000000"/>
                    </w:rPr>
                    <w:t xml:space="preserve"> 11、【风向】量程≥0～360°、精度≤±3°、分辨率≤1°、启动风速≤0.5m/s</w:t>
                  </w:r>
                  <w:r>
                    <w:br/>
                  </w:r>
                  <w:r>
                    <w:rPr>
                      <w:rFonts w:ascii="仿宋_GB2312" w:hAnsi="仿宋_GB2312" w:cs="仿宋_GB2312" w:eastAsia="仿宋_GB2312"/>
                      <w:color w:val="000000"/>
                    </w:rPr>
                    <w:t xml:space="preserve"> 12、【负氧离子】量程≥0～5万个/cm3、精度≤±15%、分辨率≤10个/cm3、迁移率≤0.4～1.0（cm2／V•sec）、测量间隔：≥3分/次</w:t>
                  </w:r>
                </w:p>
              </w:tc>
              <w:tc>
                <w:tcPr>
                  <w:tcW w:type="dxa" w:w="3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数据展示到景区门口已有LED屏上</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14</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视频监控</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路</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 监控点最多管理容量≥500路。</w:t>
                  </w:r>
                  <w:r>
                    <w:br/>
                  </w:r>
                  <w:r>
                    <w:rPr>
                      <w:rFonts w:ascii="仿宋_GB2312" w:hAnsi="仿宋_GB2312" w:cs="仿宋_GB2312" w:eastAsia="仿宋_GB2312"/>
                      <w:color w:val="000000"/>
                    </w:rPr>
                    <w:t xml:space="preserve"> 2. 系统应支持国标协议上下级平台级联，支持流媒体集群配置。</w:t>
                  </w:r>
                  <w:r>
                    <w:br/>
                  </w:r>
                  <w:r>
                    <w:rPr>
                      <w:rFonts w:ascii="仿宋_GB2312" w:hAnsi="仿宋_GB2312" w:cs="仿宋_GB2312" w:eastAsia="仿宋_GB2312"/>
                      <w:color w:val="000000"/>
                    </w:rPr>
                    <w:t xml:space="preserve"> 3. 应支持设置接入ONVIF、GB/T28181等协议的设备。</w:t>
                  </w:r>
                  <w:r>
                    <w:br/>
                  </w:r>
                  <w:r>
                    <w:rPr>
                      <w:rFonts w:ascii="仿宋_GB2312" w:hAnsi="仿宋_GB2312" w:cs="仿宋_GB2312" w:eastAsia="仿宋_GB2312"/>
                      <w:color w:val="000000"/>
                    </w:rPr>
                    <w:t xml:space="preserve"> 4. 应支持监控点的批量迁移。</w:t>
                  </w:r>
                  <w:r>
                    <w:br/>
                  </w:r>
                  <w:r>
                    <w:rPr>
                      <w:rFonts w:ascii="仿宋_GB2312" w:hAnsi="仿宋_GB2312" w:cs="仿宋_GB2312" w:eastAsia="仿宋_GB2312"/>
                      <w:color w:val="000000"/>
                    </w:rPr>
                    <w:t xml:space="preserve"> 5. 应支持热成像相机接入，预览回放、热成温度、烟火识别报警联动等功能。</w:t>
                  </w:r>
                  <w:r>
                    <w:br/>
                  </w:r>
                  <w:r>
                    <w:rPr>
                      <w:rFonts w:ascii="仿宋_GB2312" w:hAnsi="仿宋_GB2312" w:cs="仿宋_GB2312" w:eastAsia="仿宋_GB2312"/>
                      <w:color w:val="000000"/>
                    </w:rPr>
                    <w:t xml:space="preserve"> 6. 应支持BS客户端、CS客户端、移动客户端（Android、iOS）视频预览，支持多浏览器实时预览。</w:t>
                  </w:r>
                  <w:r>
                    <w:br/>
                  </w:r>
                  <w:r>
                    <w:rPr>
                      <w:rFonts w:ascii="仿宋_GB2312" w:hAnsi="仿宋_GB2312" w:cs="仿宋_GB2312" w:eastAsia="仿宋_GB2312"/>
                      <w:color w:val="000000"/>
                    </w:rPr>
                    <w:t xml:space="preserve"> 7. 应支持对当前预览的窗格和监控点画面进行视图保存，用于后续预览该视图。</w:t>
                  </w:r>
                  <w:r>
                    <w:br/>
                  </w:r>
                  <w:r>
                    <w:rPr>
                      <w:rFonts w:ascii="仿宋_GB2312" w:hAnsi="仿宋_GB2312" w:cs="仿宋_GB2312" w:eastAsia="仿宋_GB2312"/>
                      <w:color w:val="000000"/>
                    </w:rPr>
                    <w:t xml:space="preserve"> 8. 应支持图片实时监控及历史查询。</w:t>
                  </w:r>
                  <w:r>
                    <w:br/>
                  </w:r>
                  <w:r>
                    <w:rPr>
                      <w:rFonts w:ascii="仿宋_GB2312" w:hAnsi="仿宋_GB2312" w:cs="仿宋_GB2312" w:eastAsia="仿宋_GB2312"/>
                      <w:color w:val="000000"/>
                    </w:rPr>
                    <w:t xml:space="preserve"> 9. 应支持显示鱼眼图像或矫正后图像。</w:t>
                  </w:r>
                  <w:r>
                    <w:br/>
                  </w:r>
                  <w:r>
                    <w:rPr>
                      <w:rFonts w:ascii="仿宋_GB2312" w:hAnsi="仿宋_GB2312" w:cs="仿宋_GB2312" w:eastAsia="仿宋_GB2312"/>
                      <w:color w:val="000000"/>
                    </w:rPr>
                    <w:t xml:space="preserve"> 10. 应支持客户端预览记忆功能，包括当前预览的监控点和当前分屏状态。</w:t>
                  </w:r>
                  <w:r>
                    <w:br/>
                  </w:r>
                  <w:r>
                    <w:rPr>
                      <w:rFonts w:ascii="仿宋_GB2312" w:hAnsi="仿宋_GB2312" w:cs="仿宋_GB2312" w:eastAsia="仿宋_GB2312"/>
                      <w:color w:val="000000"/>
                    </w:rPr>
                    <w:t xml:space="preserve"> 11. 客户端应支持在1/2/3/4/6/8/9/10/13/14/</w:t>
                  </w:r>
                  <w:r>
                    <w:br/>
                  </w:r>
                  <w:r>
                    <w:rPr>
                      <w:rFonts w:ascii="仿宋_GB2312" w:hAnsi="仿宋_GB2312" w:cs="仿宋_GB2312" w:eastAsia="仿宋_GB2312"/>
                      <w:color w:val="000000"/>
                    </w:rPr>
                    <w:t xml:space="preserve"> 12. 16/17/24/25画面分隔模式下进行监控点轮巡预览，轮巡时间可设置，支持全屏显示。</w:t>
                  </w:r>
                  <w:r>
                    <w:br/>
                  </w:r>
                  <w:r>
                    <w:rPr>
                      <w:rFonts w:ascii="仿宋_GB2312" w:hAnsi="仿宋_GB2312" w:cs="仿宋_GB2312" w:eastAsia="仿宋_GB2312"/>
                      <w:color w:val="000000"/>
                    </w:rPr>
                    <w:t xml:space="preserve"> 13. 客户端预览画面支持亮度、对比度、色调、饱和度参数调节。</w:t>
                  </w:r>
                  <w:r>
                    <w:br/>
                  </w:r>
                  <w:r>
                    <w:rPr>
                      <w:rFonts w:ascii="仿宋_GB2312" w:hAnsi="仿宋_GB2312" w:cs="仿宋_GB2312" w:eastAsia="仿宋_GB2312"/>
                      <w:color w:val="000000"/>
                    </w:rPr>
                    <w:t xml:space="preserve"> 14. ▲应支持全景摄像机，实现360度的全景监控，可以对全景区域内的多个目标进行穿越警戒面、区域入侵、进入区域、离开区域行为的检测。（提供第三方机构出具的检测报告证明并加盖原厂家公章）</w:t>
                  </w:r>
                </w:p>
              </w:tc>
              <w:tc>
                <w:tcPr>
                  <w:tcW w:type="dxa" w:w="31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15</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环境监测</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 应支持接入动环主机，接收温湿度、噪音、风速、压力等传感器采集的数据，并以图形化方式展示；</w:t>
                  </w:r>
                  <w:r>
                    <w:br/>
                  </w:r>
                  <w:r>
                    <w:rPr>
                      <w:rFonts w:ascii="仿宋_GB2312" w:hAnsi="仿宋_GB2312" w:cs="仿宋_GB2312" w:eastAsia="仿宋_GB2312"/>
                      <w:color w:val="000000"/>
                    </w:rPr>
                    <w:t xml:space="preserve"> 2. 应支持对采集数据进行阈值设定，超过设定阈值将触发报警；</w:t>
                  </w:r>
                  <w:r>
                    <w:br/>
                  </w:r>
                  <w:r>
                    <w:rPr>
                      <w:rFonts w:ascii="仿宋_GB2312" w:hAnsi="仿宋_GB2312" w:cs="仿宋_GB2312" w:eastAsia="仿宋_GB2312"/>
                      <w:color w:val="000000"/>
                    </w:rPr>
                    <w:t xml:space="preserve"> 3. 应支持将动环数据叠加到视频画面中。</w:t>
                  </w:r>
                  <w:r>
                    <w:br/>
                  </w:r>
                  <w:r>
                    <w:rPr>
                      <w:rFonts w:ascii="仿宋_GB2312" w:hAnsi="仿宋_GB2312" w:cs="仿宋_GB2312" w:eastAsia="仿宋_GB2312"/>
                      <w:color w:val="000000"/>
                    </w:rPr>
                    <w:t xml:space="preserve"> 4.▲ 应支持无缝接入原有平台实现环境数据对接发布（提供无缝对接承诺函）</w:t>
                  </w:r>
                </w:p>
              </w:tc>
              <w:tc>
                <w:tcPr>
                  <w:tcW w:type="dxa" w:w="31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16</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停车场-车辆出入口放行管理</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项</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 应支持纯车牌，车主卡辅，纯卡片，卡主车辅四种识别模式；支持新能源车牌识别。</w:t>
                  </w:r>
                  <w:r>
                    <w:br/>
                  </w:r>
                  <w:r>
                    <w:rPr>
                      <w:rFonts w:ascii="仿宋_GB2312" w:hAnsi="仿宋_GB2312" w:cs="仿宋_GB2312" w:eastAsia="仿宋_GB2312"/>
                      <w:color w:val="000000"/>
                    </w:rPr>
                    <w:t xml:space="preserve"> 2. 应支持潮汐车道、摩托车车道、混行车道等多种车道模式。</w:t>
                  </w:r>
                  <w:r>
                    <w:br/>
                  </w:r>
                  <w:r>
                    <w:rPr>
                      <w:rFonts w:ascii="仿宋_GB2312" w:hAnsi="仿宋_GB2312" w:cs="仿宋_GB2312" w:eastAsia="仿宋_GB2312"/>
                      <w:color w:val="000000"/>
                    </w:rPr>
                    <w:t xml:space="preserve"> 3. 应支持自动放行、手动放行、车卡一致和单进单出等多种放行模式；支持车位满时固定车辆、临时车辆自动放行；支持零收费时的自动放行。</w:t>
                  </w:r>
                  <w:r>
                    <w:br/>
                  </w:r>
                  <w:r>
                    <w:rPr>
                      <w:rFonts w:ascii="仿宋_GB2312" w:hAnsi="仿宋_GB2312" w:cs="仿宋_GB2312" w:eastAsia="仿宋_GB2312"/>
                      <w:color w:val="000000"/>
                    </w:rPr>
                    <w:t xml:space="preserve"> 4. 应支持特殊车辆自动放行，支持特定节日车辆自动免费放行。</w:t>
                  </w:r>
                  <w:r>
                    <w:br/>
                  </w:r>
                  <w:r>
                    <w:rPr>
                      <w:rFonts w:ascii="仿宋_GB2312" w:hAnsi="仿宋_GB2312" w:cs="仿宋_GB2312" w:eastAsia="仿宋_GB2312"/>
                      <w:color w:val="000000"/>
                    </w:rPr>
                    <w:t xml:space="preserve"> 5. 应支持车辆群组管理，车辆群组收费规则和放行规则配置。</w:t>
                  </w:r>
                  <w:r>
                    <w:br/>
                  </w:r>
                  <w:r>
                    <w:rPr>
                      <w:rFonts w:ascii="仿宋_GB2312" w:hAnsi="仿宋_GB2312" w:cs="仿宋_GB2312" w:eastAsia="仿宋_GB2312"/>
                      <w:color w:val="000000"/>
                    </w:rPr>
                    <w:t xml:space="preserve"> 6. 应支持车辆进出可通过LED屏和语音播报两种方式来展示车辆信息，收费信息，停车时间等内容并且内容都可以自定义。</w:t>
                  </w:r>
                  <w:r>
                    <w:br/>
                  </w:r>
                  <w:r>
                    <w:rPr>
                      <w:rFonts w:ascii="仿宋_GB2312" w:hAnsi="仿宋_GB2312" w:cs="仿宋_GB2312" w:eastAsia="仿宋_GB2312"/>
                      <w:color w:val="000000"/>
                    </w:rPr>
                    <w:t xml:space="preserve"> 7. 应支持固定车到期提醒，提醒方式为LED屏展示提醒和语音提醒。</w:t>
                  </w:r>
                  <w:r>
                    <w:br/>
                  </w:r>
                  <w:r>
                    <w:rPr>
                      <w:rFonts w:ascii="仿宋_GB2312" w:hAnsi="仿宋_GB2312" w:cs="仿宋_GB2312" w:eastAsia="仿宋_GB2312"/>
                      <w:color w:val="000000"/>
                    </w:rPr>
                    <w:t xml:space="preserve"> 8. 应支持数据保存时间自定义设置。</w:t>
                  </w:r>
                  <w:r>
                    <w:br/>
                  </w:r>
                  <w:r>
                    <w:rPr>
                      <w:rFonts w:ascii="仿宋_GB2312" w:hAnsi="仿宋_GB2312" w:cs="仿宋_GB2312" w:eastAsia="仿宋_GB2312"/>
                      <w:color w:val="000000"/>
                    </w:rPr>
                    <w:t xml:space="preserve"> 9. 应支持嵌套停车场场景下的车辆进出和收费管理。</w:t>
                  </w:r>
                  <w:r>
                    <w:br/>
                  </w:r>
                  <w:r>
                    <w:rPr>
                      <w:rFonts w:ascii="仿宋_GB2312" w:hAnsi="仿宋_GB2312" w:cs="仿宋_GB2312" w:eastAsia="仿宋_GB2312"/>
                      <w:color w:val="000000"/>
                    </w:rPr>
                    <w:t xml:space="preserve"> 10. 应支持一户多车功能；支持客户端、LED屏、语音提示“一户多车”：支持一户多车车主查询。</w:t>
                  </w:r>
                </w:p>
              </w:tc>
              <w:tc>
                <w:tcPr>
                  <w:tcW w:type="dxa" w:w="31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17</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客流管理</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套</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 应支持按统计组查看实时客流数据，包括去重前进客量、去重前出客量、去重后进客量、去重后出客量。</w:t>
                  </w:r>
                  <w:r>
                    <w:br/>
                  </w:r>
                  <w:r>
                    <w:rPr>
                      <w:rFonts w:ascii="仿宋_GB2312" w:hAnsi="仿宋_GB2312" w:cs="仿宋_GB2312" w:eastAsia="仿宋_GB2312"/>
                      <w:color w:val="000000"/>
                    </w:rPr>
                    <w:t xml:space="preserve"> 2.▲应支持按监控点查看客流量统计数据，包括进客量、出客量、保有量、总览。（提供第三方机构出具的检测报告证明并加盖原厂家公章）</w:t>
                  </w:r>
                  <w:r>
                    <w:br/>
                  </w:r>
                  <w:r>
                    <w:rPr>
                      <w:rFonts w:ascii="仿宋_GB2312" w:hAnsi="仿宋_GB2312" w:cs="仿宋_GB2312" w:eastAsia="仿宋_GB2312"/>
                      <w:color w:val="000000"/>
                    </w:rPr>
                    <w:t xml:space="preserve"> 3. 应支持通过统计组选择设备。支持多个统计组聚合展示客流数据。客流统计可精确至1分钟。</w:t>
                  </w:r>
                </w:p>
              </w:tc>
              <w:tc>
                <w:tcPr>
                  <w:tcW w:type="dxa" w:w="315"/>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18</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接入网络交换机</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8</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1、可用千兆PoE电接口数量≥4，千兆光口数量≥1</w:t>
                  </w:r>
                  <w:r>
                    <w:br/>
                  </w:r>
                  <w:r>
                    <w:rPr>
                      <w:rFonts w:ascii="仿宋_GB2312" w:hAnsi="仿宋_GB2312" w:cs="仿宋_GB2312" w:eastAsia="仿宋_GB2312"/>
                      <w:color w:val="000000"/>
                    </w:rPr>
                    <w:t xml:space="preserve"> 2、交换容量≥10 Gbps、转发性能≥7.44 Mpps</w:t>
                  </w:r>
                  <w:r>
                    <w:br/>
                  </w:r>
                  <w:r>
                    <w:rPr>
                      <w:rFonts w:ascii="仿宋_GB2312" w:hAnsi="仿宋_GB2312" w:cs="仿宋_GB2312" w:eastAsia="仿宋_GB2312"/>
                      <w:color w:val="000000"/>
                    </w:rPr>
                    <w:t xml:space="preserve"> 3、提供CQC认证证书</w:t>
                  </w:r>
                  <w:r>
                    <w:br/>
                  </w:r>
                  <w:r>
                    <w:rPr>
                      <w:rFonts w:ascii="仿宋_GB2312" w:hAnsi="仿宋_GB2312" w:cs="仿宋_GB2312" w:eastAsia="仿宋_GB2312"/>
                      <w:color w:val="000000"/>
                    </w:rPr>
                    <w:t xml:space="preserve"> 4、需支持自适应802.3af/at供电标准，整机最大输出功率≥60 W</w:t>
                  </w:r>
                  <w:r>
                    <w:br/>
                  </w:r>
                  <w:r>
                    <w:rPr>
                      <w:rFonts w:ascii="仿宋_GB2312" w:hAnsi="仿宋_GB2312" w:cs="仿宋_GB2312" w:eastAsia="仿宋_GB2312"/>
                      <w:color w:val="000000"/>
                    </w:rPr>
                    <w:t xml:space="preserve"> 5、需支持6KV防浪涌（PoE口）</w:t>
                  </w:r>
                  <w:r>
                    <w:br/>
                  </w:r>
                  <w:r>
                    <w:rPr>
                      <w:rFonts w:ascii="仿宋_GB2312" w:hAnsi="仿宋_GB2312" w:cs="仿宋_GB2312" w:eastAsia="仿宋_GB2312"/>
                      <w:color w:val="000000"/>
                    </w:rPr>
                    <w:t xml:space="preserve"> 6、需支持IEEE 802.3、IEEE 802.3u、IEEE 802.3x、IEEE802.3ab、IEEE802.3z</w:t>
                  </w:r>
                </w:p>
              </w:tc>
              <w:tc>
                <w:tcPr>
                  <w:tcW w:type="dxa" w:w="31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对新建的设备进行接入，替换部分利旧原有线路</w:t>
                  </w: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19</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汇聚交换机</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台</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1、提供≥12个千兆电口，≥16个千兆光口</w:t>
                  </w:r>
                  <w:r>
                    <w:br/>
                  </w:r>
                  <w:r>
                    <w:rPr>
                      <w:rFonts w:ascii="仿宋_GB2312" w:hAnsi="仿宋_GB2312" w:cs="仿宋_GB2312" w:eastAsia="仿宋_GB2312"/>
                      <w:color w:val="000000"/>
                    </w:rPr>
                    <w:t xml:space="preserve"> 2、需支持策略路由、RIP、OSPF、BGP、IS-IS等三层路由协议</w:t>
                  </w:r>
                  <w:r>
                    <w:br/>
                  </w:r>
                  <w:r>
                    <w:rPr>
                      <w:rFonts w:ascii="仿宋_GB2312" w:hAnsi="仿宋_GB2312" w:cs="仿宋_GB2312" w:eastAsia="仿宋_GB2312"/>
                      <w:color w:val="000000"/>
                    </w:rPr>
                    <w:t xml:space="preserve"> 3、需支持DHCP Server、DHCP Relay、DHCP Snooping</w:t>
                  </w:r>
                  <w:r>
                    <w:br/>
                  </w:r>
                  <w:r>
                    <w:rPr>
                      <w:rFonts w:ascii="仿宋_GB2312" w:hAnsi="仿宋_GB2312" w:cs="仿宋_GB2312" w:eastAsia="仿宋_GB2312"/>
                      <w:color w:val="000000"/>
                    </w:rPr>
                    <w:t xml:space="preserve"> 4、需支持SP、WRR、SP+WRR等队列调度方式</w:t>
                  </w:r>
                  <w:r>
                    <w:br/>
                  </w:r>
                  <w:r>
                    <w:rPr>
                      <w:rFonts w:ascii="仿宋_GB2312" w:hAnsi="仿宋_GB2312" w:cs="仿宋_GB2312" w:eastAsia="仿宋_GB2312"/>
                      <w:color w:val="000000"/>
                    </w:rPr>
                    <w:t xml:space="preserve"> 5、需支持IEEE 802.1x认证、Radius、Tacacs+认证</w:t>
                  </w:r>
                  <w:r>
                    <w:br/>
                  </w:r>
                  <w:r>
                    <w:rPr>
                      <w:rFonts w:ascii="仿宋_GB2312" w:hAnsi="仿宋_GB2312" w:cs="仿宋_GB2312" w:eastAsia="仿宋_GB2312"/>
                      <w:color w:val="000000"/>
                    </w:rPr>
                    <w:t xml:space="preserve"> 6、需支持10 kV端口防雷，在恶劣的工作环境中也能极大地降低雷击对设备的损坏率</w:t>
                  </w:r>
                </w:p>
              </w:tc>
              <w:tc>
                <w:tcPr>
                  <w:tcW w:type="dxa" w:w="31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20</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监控立杆</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根</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24</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新建20台相机以及4台球机进行立杆，共计24根，约3-5m</w:t>
                  </w:r>
                </w:p>
              </w:tc>
              <w:tc>
                <w:tcPr>
                  <w:tcW w:type="dxa" w:w="31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21</w:t>
                  </w:r>
                </w:p>
              </w:tc>
              <w:tc>
                <w:tcPr>
                  <w:tcW w:type="dxa" w:w="224"/>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机房搬迁及机房改造</w:t>
                  </w:r>
                </w:p>
              </w:tc>
              <w:tc>
                <w:tcPr>
                  <w:tcW w:type="dxa" w:w="16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项</w:t>
                  </w:r>
                </w:p>
              </w:tc>
              <w:tc>
                <w:tcPr>
                  <w:tcW w:type="dxa" w:w="1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color w:val="000000"/>
                    </w:rPr>
                    <w:t>1、机房30㎡装修改造升级，全套监控设备及广播系统设备整体挪移；所有线材整理。</w:t>
                  </w:r>
                  <w:r>
                    <w:br/>
                  </w:r>
                  <w:r>
                    <w:rPr>
                      <w:rFonts w:ascii="仿宋_GB2312" w:hAnsi="仿宋_GB2312" w:cs="仿宋_GB2312" w:eastAsia="仿宋_GB2312"/>
                      <w:color w:val="000000"/>
                    </w:rPr>
                    <w:t xml:space="preserve"> 2、现场全部拼接屏挪移及线材整理。</w:t>
                  </w:r>
                  <w:r>
                    <w:br/>
                  </w:r>
                  <w:r>
                    <w:rPr>
                      <w:rFonts w:ascii="仿宋_GB2312" w:hAnsi="仿宋_GB2312" w:cs="仿宋_GB2312" w:eastAsia="仿宋_GB2312"/>
                      <w:color w:val="000000"/>
                    </w:rPr>
                    <w:t xml:space="preserve"> 3、环境监测、停车场-车辆出入口放行管理、人脸门禁机整改。</w:t>
                  </w:r>
                </w:p>
              </w:tc>
              <w:tc>
                <w:tcPr>
                  <w:tcW w:type="dxa" w:w="31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r>
              <w:tc>
                <w:tcPr>
                  <w:tcW w:type="dxa" w:w="8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22</w:t>
                  </w:r>
                </w:p>
              </w:tc>
              <w:tc>
                <w:tcPr>
                  <w:tcW w:type="dxa" w:w="224"/>
                  <w:gridSpan w:val="2"/>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线材</w:t>
                  </w:r>
                </w:p>
              </w:tc>
              <w:tc>
                <w:tcPr>
                  <w:tcW w:type="dxa" w:w="168"/>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项</w:t>
                  </w:r>
                </w:p>
              </w:tc>
              <w:tc>
                <w:tcPr>
                  <w:tcW w:type="dxa" w:w="125"/>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color w:val="000000"/>
                    </w:rPr>
                    <w:t>1</w:t>
                  </w:r>
                </w:p>
              </w:tc>
              <w:tc>
                <w:tcPr>
                  <w:tcW w:type="dxa" w:w="1632"/>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color w:val="000000"/>
                    </w:rPr>
                    <w:t>监控、广播、环境监测：DHM高清线、RVV2.5电源线、CAT6网线。</w:t>
                  </w:r>
                </w:p>
              </w:tc>
              <w:tc>
                <w:tcPr>
                  <w:tcW w:type="dxa" w:w="31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签订合同付至总价款30%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竣工验收后付款至80%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审计决算后付款至97%</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质保期两年后支付剩余3%</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项目整体符合国家安防标准，系统正常稳定运行。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项目整体质保两年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（一）按《中华人民共和国政府采购法》、《中华人民共和国民法典》中的相关条款执行。 （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 1、乙方赔偿甲方解除合同的全部损失（包括但不限于重新采购产生的费用、合同未履行导致设备不能按规划交付使用可能产生的租赁费用及其它由此造成的甲方对第三方的违约损失）； 合同争议解决的方式 本合同在履行过程中发生的争议，由甲、乙双方当事人协商解决，协商不成的依法向甲方所在地人民法院起诉。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采购结果发布后3个工作日内向代理机构提交纸质版响应文件以便于存档，响应文件正本1份，副本2份(可以使用签章文件直接打印)，电子版文件1份(以U盘为载体，PDF格式)，纸质响应文件均须A4纸打印，分别各自装订成册并编制目录和页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 其他材料.docx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供应商资格证明文件.docx 其他材料.docx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供应商资格证明文件.docx 其他材料.docx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分项报价表.docx 投标函 残疾人福利性单位声明函 产品来源渠道.docx 标的清单 投标文件封面 供应商资格证明文件.docx 其他材料.docx 产品技术参数表.docx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分项报价表.docx 投标函 残疾人福利性单位声明函 产品来源渠道.docx 标的清单 供应商资格证明文件.docx 其他材料.docx 投标文件封面 产品技术参数表.docx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按磋商文件要求报价，不得提交选择性报价，报价符合竞争性磋商文件的要求</w:t>
            </w:r>
          </w:p>
        </w:tc>
        <w:tc>
          <w:tcPr>
            <w:tcW w:type="dxa" w:w="1661"/>
          </w:tcPr>
          <w:p>
            <w:pPr>
              <w:pStyle w:val="null3"/>
            </w:pPr>
            <w:r>
              <w:rPr>
                <w:rFonts w:ascii="仿宋_GB2312" w:hAnsi="仿宋_GB2312" w:cs="仿宋_GB2312" w:eastAsia="仿宋_GB2312"/>
              </w:rPr>
              <w:t>开标一览表 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提供2023年1月1日至文件递交截止时间，已完成的类似产品合同业绩(以合同签订时间为准)，1份业绩得2.5分，业绩满分5分(业绩以合同或中标通知书加盖公章为准)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参数分核心参数（★项）、重要参数（▲项）、一般参数，完全满足磋商文件要求得29.5分。核心参数（★项）（1项）有1项负偏离按无效响应处理；重要参数（▲项）（11项）有1项负偏离扣0.5分，扣完为止。一般参数（120项）有1项负偏离扣0.2分，扣完为止。 说明：核心参数（★项）、重要参数（▲项）供应商须按要求提供相关技术指标证明材料予以佐证，若不提供，按负偏离处理。</w:t>
            </w:r>
          </w:p>
        </w:tc>
        <w:tc>
          <w:tcPr>
            <w:tcW w:type="dxa" w:w="831"/>
          </w:tcPr>
          <w:p>
            <w:pPr>
              <w:pStyle w:val="null3"/>
              <w:jc w:val="right"/>
            </w:pPr>
            <w:r>
              <w:rPr>
                <w:rFonts w:ascii="仿宋_GB2312" w:hAnsi="仿宋_GB2312" w:cs="仿宋_GB2312" w:eastAsia="仿宋_GB2312"/>
              </w:rPr>
              <w:t>29.5000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其他材料.docx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提供所投全部产品的合法来源渠道证明文件（包括但不限于产品制造商授权、销售协议、代理协议等其中任意一种证明文件），得2分。提供证明文件扫描件或复印件，并加盖投标人公章，不提供不得分。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产品来源渠道.docx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提供针对本项目的供货实施方案，包括但不限于①人员配置②组织分工③运输方案④进度安排⑤应急措施等，就其方案是否完整全面、合理科学及措施得当，能否保质保量完成项目实施进行计分。 二、赋分标准 1、完整性：方案内容完整全面，对上述各项内容均有描述，得5分；缺1项，扣1分。 2、针对性：针对性强，得4分；针对性一般，得2分；缺乏针对性，得0分。 3、可实施性：可实施性强，得3分；可实施性一般，得1.5分；缺乏可实施性，得0分。 此项不提供不得分。 三、评审标准： 1、针对性： （1）针对性强：方案能够完全切合本项目实际情况。 （2）针对性一般：方案中多数内容能够切合本项目实际情况，但存在至少一处不适用本项目实际的内容。 （3）缺乏针对性：方案描述不符合本项目采购情况，存在明显套用其他项目方案的内容。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针对本项目有详细、具体、可行的质量管理及保障方案，包括但不限于①进货检验管控②出库追溯管理、③售后质量跟踪④合规性核查等。 二、赋分标准 1、完整性：方案内容完整全面，对上述各项内容均有描述，得2分；缺1项，扣0.5分。 2、针对性：针对性强，得3分；针对性一般，得1.5分；缺乏针对性，得0分。 3、可实施性：可实施性强，得3分；可实施性一般，得1.5分；缺乏可实施性，得0分。 此项不提供不得分。 三、评审标准： 1、针对性： （1）针对性强：方案能够完全切合本项目实际情况。 （2）针对性一般：方案中多数内容能够切合本项目实际情况，但存在至少一处不适用本项目实际的内容。 （3）缺乏针对性：方案描述不符合本项目采购情况，存在明显套用其他项目方案的内容。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针对本项目提出具体的售后服务方案，方案内容包括但不限于:①售后服务保障体系②售后服务人员组织③紧急配送能力等。 二、赋分标准 1、完整性：方案内容完整全面，对上述各项内容均有描述，得1.5分；缺1项，扣0.5分。 2、针对性：针对性强，得3分；针对性一般，得1.5分；缺乏针对性，得0分。 3、可实施性：可实施性强，得3分；可实施性一般，得1.5分；缺乏可实施性，得0分。 此项不提供不得分。 三、评审标准： 1、针对性： （1）针对性强：方案能够完全切合本项目实际情况。 （2）针对性一般：方案中多数内容能够切合本项目实际情况，但存在至少一处不适用本项目实际的内容。 （3）缺乏针对性：方案描述不符合本项目采购情况，存在明显套用其他项目方案的内容。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针对本项目提出具体的培训方案，方案内容包括但不限于:①培训方式②培训内容③培训对象④培训时间等。 二、赋分标准 1、完整性：方案内容完整全面，对上述各项内容均有描述，得2分；缺1项，扣0.5分。 2、针对性：针对性强，得2分；针对性一般，得1分；缺乏针对性，得0分。 3、可实施性：可实施性强，得2分；可实施性一般，得1分；缺乏可实施性，得0分。 此项不提供不得分。 三、评审标准： 1、针对性： （1）针对性强：方案能够完全切合本项目实际情况。 （2）针对性一般：方案中多数内容能够切合本项目实际情况，但存在至少一处不适用本项目实际的内容。 （3）缺乏针对性：方案描述不符合本项目采购情况，存在明显套用其他项目方案的内容。 2、可实施性： （1）可实施性强：方案工作流程完善，实施步骤清晰，科学合理，可操作性强。 （2）可实施性一般：方案中存在至少一处表述模糊、难以执行或不够科学合理的内容。 （3）缺乏可实施性：方案内容空洞，工作流程不完善，实施标准、实施质量不利于采购需求的实现，存在逻辑漏洞、常识错误或合理性差。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报价为有效投标价。评标基准价：即满足招标文件要求且投标价格最低的投标报价为评标基准价。其他供应商的价格分统一按照下列公式计算。投标报价得分=(评标基准价／投标报价)×30(分值保留小数点后2位)注：供应商符合小型、微型企业或监狱企业、残疾人福利性单位条件的，按“投标总报价×10%”进行扣减，用扣除后的价格参与评审。详见政策性扣减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详见附件：产品来源渠道.docx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详见附件：其他材料.docx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详见附件：政府采购合同-货物（试行）.docx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