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版本号：DHY-2026-HZ007.1B220260407001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佛坪县“十五五”水安全保障规划编制项目(三次)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DHY-2026-HZ007.1B2</w:t>
      </w:r>
      <w:r>
        <w:br/>
      </w:r>
      <w:r>
        <w:br/>
      </w:r>
      <w:r>
        <w:br/>
      </w:r>
    </w:p>
    <w:p>
      <w:pPr>
        <w:pStyle w:val="null3"/>
        <w:jc w:val="center"/>
        <w:outlineLvl w:val="2"/>
      </w:pPr>
      <w:r>
        <w:rPr>
          <w:rFonts w:ascii="仿宋_GB2312" w:hAnsi="仿宋_GB2312" w:cs="仿宋_GB2312" w:eastAsia="仿宋_GB2312"/>
          <w:sz w:val="28"/>
          <w:b/>
        </w:rPr>
        <w:t>佛坪县水利局</w:t>
      </w:r>
    </w:p>
    <w:p>
      <w:pPr>
        <w:pStyle w:val="null3"/>
        <w:jc w:val="center"/>
        <w:outlineLvl w:val="2"/>
      </w:pPr>
      <w:r>
        <w:rPr>
          <w:rFonts w:ascii="仿宋_GB2312" w:hAnsi="仿宋_GB2312" w:cs="仿宋_GB2312" w:eastAsia="仿宋_GB2312"/>
          <w:sz w:val="28"/>
          <w:b/>
        </w:rPr>
        <w:t>陕西鼎慧源工程项目管理有限公司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陕西鼎慧源工程项目管理有限公司</w:t>
      </w:r>
      <w:r>
        <w:rPr>
          <w:rFonts w:ascii="仿宋_GB2312" w:hAnsi="仿宋_GB2312" w:cs="仿宋_GB2312" w:eastAsia="仿宋_GB2312"/>
        </w:rPr>
        <w:t>（以下简称“代理机构”）受</w:t>
      </w:r>
      <w:r>
        <w:rPr>
          <w:rFonts w:ascii="仿宋_GB2312" w:hAnsi="仿宋_GB2312" w:cs="仿宋_GB2312" w:eastAsia="仿宋_GB2312"/>
        </w:rPr>
        <w:t>佛坪县水利局</w:t>
      </w:r>
      <w:r>
        <w:rPr>
          <w:rFonts w:ascii="仿宋_GB2312" w:hAnsi="仿宋_GB2312" w:cs="仿宋_GB2312" w:eastAsia="仿宋_GB2312"/>
        </w:rPr>
        <w:t>委托，拟对</w:t>
      </w:r>
      <w:r>
        <w:rPr>
          <w:rFonts w:ascii="仿宋_GB2312" w:hAnsi="仿宋_GB2312" w:cs="仿宋_GB2312" w:eastAsia="仿宋_GB2312"/>
        </w:rPr>
        <w:t>佛坪县“十五五”水安全保障规划编制项目(三次)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DHY-2026-HZ007.1B2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佛坪县“十五五”水安全保障规划编制项目(三次)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全面总结佛坪县“十四五”水安全保障规划实施成效，系统分析“十五五”时期水安全保障面临的新形势、新挑战，科学确定规划目标、重点任务及重大项目，编制完成符合国家、省、市相关规范要求的《佛坪县“十五五”水安全保障规划》及相关专题报告，配合完成规划评审、报批等相关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采购包1（佛坪县十五五水安全保障规划编制项目）：属于专门面向中小企业采购。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2、授权代表身份证明：法定代表人授权书（附法定代表人身份证复印件）及被授权人身份证（法定代表人直接参加磋商的只需提供法定代表人身份证）；</w:t>
      </w:r>
    </w:p>
    <w:p>
      <w:pPr>
        <w:pStyle w:val="null3"/>
      </w:pPr>
      <w:r>
        <w:rPr>
          <w:rFonts w:ascii="仿宋_GB2312" w:hAnsi="仿宋_GB2312" w:cs="仿宋_GB2312" w:eastAsia="仿宋_GB2312"/>
        </w:rPr>
        <w:t>3、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供应商资质要求：具备建设行政主管部门颁发的工程设计资质（水利行业）乙级及以上资质或工程设计水利专业（水库枢纽或灌溉排涝）乙级及以上资质；供应商已通过全国投资项目在线审批监管平台备案并提供备案截图；</w:t>
      </w:r>
    </w:p>
    <w:p>
      <w:pPr>
        <w:pStyle w:val="null3"/>
      </w:pPr>
      <w:r>
        <w:rPr>
          <w:rFonts w:ascii="仿宋_GB2312" w:hAnsi="仿宋_GB2312" w:cs="仿宋_GB2312" w:eastAsia="仿宋_GB2312"/>
        </w:rPr>
        <w:t>5、项目负责人相关要求：具备水利水电相关专业中级及以上技术职称，并出具项目负责人在供应商单位本单位人员证明材料（提供近3个月内任意一个月的养老保险缴纳证明，退休返聘人员可以提供退休证及劳动合同复印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佛坪县水利局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新街25号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佛坪县水利局经办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15353373000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陕西鼎慧源工程项目管理有限公司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陕西省汉中市汉台区滨江印象西门五楼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0916-8881950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肖慧</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开户名称：陕西鼎慧源工程项目管理有限公司汉中分公司</w:t>
            </w:r>
          </w:p>
          <w:p>
            <w:pPr>
              <w:pStyle w:val="null3"/>
            </w:pPr>
            <w:r>
              <w:rPr>
                <w:rFonts w:ascii="仿宋_GB2312" w:hAnsi="仿宋_GB2312" w:cs="仿宋_GB2312" w:eastAsia="仿宋_GB2312"/>
              </w:rPr>
              <w:t>开户银行：中国工商银行股份有限公司汉中北团结街支行</w:t>
            </w:r>
          </w:p>
          <w:p>
            <w:pPr>
              <w:pStyle w:val="null3"/>
            </w:pPr>
            <w:r>
              <w:rPr>
                <w:rFonts w:ascii="仿宋_GB2312" w:hAnsi="仿宋_GB2312" w:cs="仿宋_GB2312" w:eastAsia="仿宋_GB2312"/>
              </w:rPr>
              <w:t>银行账号：2606 0503 0920 0271 036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代理服务费收费标准：采购代理服务费收费依据及支付依据：按照“国家计委关于印发《招标代 理服务费管理暂行办法的通知》（计价格【2002】1980号）”规定收费标准收取。以项目中标 价格为基数，按照合同标准收取。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佛坪县水利局</w:t>
      </w:r>
      <w:r>
        <w:rPr>
          <w:rFonts w:ascii="仿宋_GB2312" w:hAnsi="仿宋_GB2312" w:cs="仿宋_GB2312" w:eastAsia="仿宋_GB2312"/>
        </w:rPr>
        <w:t>和</w:t>
      </w:r>
      <w:r>
        <w:rPr>
          <w:rFonts w:ascii="仿宋_GB2312" w:hAnsi="仿宋_GB2312" w:cs="仿宋_GB2312" w:eastAsia="仿宋_GB2312"/>
        </w:rPr>
        <w:t>陕西鼎慧源工程项目管理有限公司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佛坪县水利局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陕西鼎慧源工程项目管理有限公司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佛坪县水利局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陕西鼎慧源工程项目管理有限公司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完成规划评审、报批等相关工作</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陕西鼎慧源工程项目管理有限公司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陕西鼎慧源工程项目管理有限公司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陕西鼎慧源工程项目管理有限公司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联系人：徐女士</w:t>
      </w:r>
    </w:p>
    <w:p>
      <w:pPr>
        <w:pStyle w:val="null3"/>
      </w:pPr>
      <w:r>
        <w:rPr>
          <w:rFonts w:ascii="仿宋_GB2312" w:hAnsi="仿宋_GB2312" w:cs="仿宋_GB2312" w:eastAsia="仿宋_GB2312"/>
        </w:rPr>
        <w:t>联系电话：0916-8881950</w:t>
      </w:r>
    </w:p>
    <w:p>
      <w:pPr>
        <w:pStyle w:val="null3"/>
      </w:pPr>
      <w:r>
        <w:rPr>
          <w:rFonts w:ascii="仿宋_GB2312" w:hAnsi="仿宋_GB2312" w:cs="仿宋_GB2312" w:eastAsia="仿宋_GB2312"/>
        </w:rPr>
        <w:t>地址：陕西省汉中市汉台区滨江印象西门五楼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服务内容：全面总结佛坪县“十四五”水安全保障规划实施成效，系统分析“十五五”时期水安全保障面临的新形势、新挑战，科学确定规划目标、重点任务及重大项目，编制完成符合国家、省、市相关规范要求的《佛坪县“十五五”水安全保障规划》及相关专题报告，配合完成规划评审、报批等相关工作。 2.核心定位：立足佛坪县南水北调中线工程和引汉济渭水源地核心功能，践行“节水优先、空间均衡、系统治理、两手发力”治水思路，构建“安全、生态、惠民、智慧”的现代化水利发展新格局，为全面建设人水和谐、生态宜居的幸福佛坪提供坚实水安全保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水安全保障规划编制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建筑业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标的名称：水安全保障规划编制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供应商已通过全国投资项目在线审批监管平台备案并提供备案截图</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以资格审查要求为准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1、服务时间：30日历天； 2、服务范围：编制完成符合国家、省、市相关规范要求的《佛坪县“十五五”水安全保障规划》及相关专题报告； 3、服务要求：配合完成规划评审、报批等相关工作； 4、服务标准：符合地方规范，通过专家评审与行政审批； 5、供应商的采购包响应报价高于最高限价的，其响应文件将按无效处理。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完成规划评审、报批等相关工作</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评审合格，批复文件下达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（1）甲乙双方应遵守有关法律、法规、规章的规定和本协议的约定，否则，将承担相应的法律责任。因违约造成经济损失的，由违约方承担。 （2）由于一方违约造成的损失，由违约方承担，另一方要求违约方继续履行合同时，违约方承担上述违约责任后仍应继续履行合同。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 购项目的磋商响应文件。2.成交供应商在采购结果发布后3个工作日内向代理机构提交纸质版响应文件以便于存档，响应文件 正本1份，副本2份(可以使用签章文件直接打印)，电子版文件1份(以U盘为载体，PDF格式)，纸质响应文件均须A4纸打印， 分别各自装订成册并编制目录和页码。线下递交响应文件地点：陕西鼎慧源工程项目管理有限公司(汉中市汉台区滨江印象西 门五楼。3.如磋商文件中融资相关内容与新政策要求有出入，按照最新要求执行。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采购标的所属行业为：其他未列明行业；根据《政府采购促进中小企业发展管理办法》（财库﹝2020﹞46号）第十一条相关规定。中小企业参加政府采购活动，应当出具有效的《中小企业声明函》，才可以通过资格审查并享受中小企业扶持政策（声明函附进磋商响应文件正副本内）。 注：供应商对所提交的《中小企业声明函》声明内容的真实性负责。如有虚假，将依法承担相应责任。</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法定代表人授权书（附法定代表人身份证复印件）及被授权人身份证（法定代表人直接参加磋商的只需提供法定代表人身份证）；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具备建设行政主管部门颁发的工程设计资质（水利行业）乙级及以上资质或工程设计水利专业（水库枢纽或灌溉排涝）乙级及以上资质；供应商已通过全国投资项目在线审批监管平台备案并提供备案截图；</w:t>
            </w:r>
          </w:p>
        </w:tc>
        <w:tc>
          <w:tcPr>
            <w:tcW w:type="dxa" w:w="1661"/>
          </w:tcPr>
          <w:p>
            <w:pPr>
              <w:pStyle w:val="null3"/>
            </w:pPr>
            <w:r>
              <w:rPr>
                <w:rFonts w:ascii="仿宋_GB2312" w:hAnsi="仿宋_GB2312" w:cs="仿宋_GB2312" w:eastAsia="仿宋_GB2312"/>
              </w:rPr>
              <w:t>技术要求偏离表.docx 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项目负责人相关要求</w:t>
            </w:r>
          </w:p>
        </w:tc>
        <w:tc>
          <w:tcPr>
            <w:tcW w:type="dxa" w:w="3322"/>
          </w:tcPr>
          <w:p>
            <w:pPr>
              <w:pStyle w:val="null3"/>
            </w:pPr>
            <w:r>
              <w:rPr>
                <w:rFonts w:ascii="仿宋_GB2312" w:hAnsi="仿宋_GB2312" w:cs="仿宋_GB2312" w:eastAsia="仿宋_GB2312"/>
              </w:rPr>
              <w:t>具备水利水电相关专业中级及以上技术职称，并出具项目负责人在供应商单位本单位人员证明材料（提供近3个月内任意一个月的养老保险缴纳证明，退休返聘人员可以提供退休证及劳动合同复印件）。</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供应商业绩证明</w:t>
            </w:r>
          </w:p>
        </w:tc>
        <w:tc>
          <w:tcPr>
            <w:tcW w:type="dxa" w:w="2492"/>
          </w:tcPr>
          <w:p>
            <w:pPr>
              <w:pStyle w:val="null3"/>
            </w:pPr>
            <w:r>
              <w:rPr>
                <w:rFonts w:ascii="仿宋_GB2312" w:hAnsi="仿宋_GB2312" w:cs="仿宋_GB2312" w:eastAsia="仿宋_GB2312"/>
              </w:rPr>
              <w:t>提供自 2022 年1月1日至今供应商承担过类似项目的业绩证明材料，每提供1份，得4分，最多得 12分。 评审依据：类似业绩证明材料以合同或中标通知书为准，并加盖供应商公章。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供应商相关证明材料及服务方案.docx</w:t>
            </w:r>
          </w:p>
        </w:tc>
      </w:tr>
      <w:tr>
        <w:tc>
          <w:tcPr>
            <w:tcW w:type="dxa" w:w="831"/>
            <w:vMerge/>
          </w:tcPr>
          <w:p/>
        </w:tc>
        <w:tc>
          <w:tcPr>
            <w:tcW w:type="dxa" w:w="1661"/>
          </w:tcPr>
          <w:p>
            <w:pPr>
              <w:pStyle w:val="null3"/>
            </w:pPr>
            <w:r>
              <w:rPr>
                <w:rFonts w:ascii="仿宋_GB2312" w:hAnsi="仿宋_GB2312" w:cs="仿宋_GB2312" w:eastAsia="仿宋_GB2312"/>
              </w:rPr>
              <w:t>项目拟派负责人</w:t>
            </w:r>
          </w:p>
        </w:tc>
        <w:tc>
          <w:tcPr>
            <w:tcW w:type="dxa" w:w="2492"/>
          </w:tcPr>
          <w:p>
            <w:pPr>
              <w:pStyle w:val="null3"/>
            </w:pPr>
            <w:r>
              <w:rPr>
                <w:rFonts w:ascii="仿宋_GB2312" w:hAnsi="仿宋_GB2312" w:cs="仿宋_GB2312" w:eastAsia="仿宋_GB2312"/>
              </w:rPr>
              <w:t>1、学历：拟派项目负责人具备本科（含）以上学历的得 6 分，专科学历的得 3 分，其他不得分。 评审依据：提供拟派项目负责人最高学历学历证复印件或扫描件。 2、职称拟派项目负责人具备高级职称的得 6分，中级职称的得 3 分， 其他不得分。 评审依据：提供拟派项目负责人职称复印件或扫描件。</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供应商相关证明材料及服务方案.docx</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根据供应商针对本项目提供的总体服务方案，从服务好采购人角度出发对项目的整体统筹规划。 总体服务方案针对上述内容有详细的说明，内容完整合理可行，与项目实际需求完全适配，完全满足采购人需求的得 7.1-10 分； 总体服务方案内容包含上述内容，有明确的制定方案，但描述简略且 缺少关键点及重要内容的得 3.1-7分； 总体服务方案内容有缺漏，内容阐述缺乏主次，与本次服务要求适配 度差的得 0-3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供应商相关证明材料及服务方案.docx</w:t>
            </w:r>
          </w:p>
        </w:tc>
      </w:tr>
      <w:tr>
        <w:tc>
          <w:tcPr>
            <w:tcW w:type="dxa" w:w="831"/>
            <w:vMerge/>
          </w:tcPr>
          <w:p/>
        </w:tc>
        <w:tc>
          <w:tcPr>
            <w:tcW w:type="dxa" w:w="1661"/>
          </w:tcPr>
          <w:p>
            <w:pPr>
              <w:pStyle w:val="null3"/>
            </w:pPr>
            <w:r>
              <w:rPr>
                <w:rFonts w:ascii="仿宋_GB2312" w:hAnsi="仿宋_GB2312" w:cs="仿宋_GB2312" w:eastAsia="仿宋_GB2312"/>
              </w:rPr>
              <w:t>工作流程</w:t>
            </w:r>
          </w:p>
        </w:tc>
        <w:tc>
          <w:tcPr>
            <w:tcW w:type="dxa" w:w="2492"/>
          </w:tcPr>
          <w:p>
            <w:pPr>
              <w:pStyle w:val="null3"/>
            </w:pPr>
            <w:r>
              <w:rPr>
                <w:rFonts w:ascii="仿宋_GB2312" w:hAnsi="仿宋_GB2312" w:cs="仿宋_GB2312" w:eastAsia="仿宋_GB2312"/>
              </w:rPr>
              <w:t>根据供应商针对本项目提供的工作流程方案（前期准备、报告编制、 报告审核、修改与最终上报。）进行评审。 工作流程方案针对上述内容有详细的说明，内容完整合理可行，与项 目实际需求完全适配，完全满足采购人需求的得 7.1-10分； 工作流程方案内容包含上述内容，有明确的制定方案，但描述简略且 缺少关键点及重要内容的得 3.1-7分； 工作流程方案内容有缺漏，内容阐述缺乏主次，与本次服务要求适配 度差的得 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供应商相关证明材料及服务方案.docx</w:t>
            </w:r>
          </w:p>
        </w:tc>
      </w:tr>
      <w:tr>
        <w:tc>
          <w:tcPr>
            <w:tcW w:type="dxa" w:w="831"/>
            <w:vMerge/>
          </w:tcPr>
          <w:p/>
        </w:tc>
        <w:tc>
          <w:tcPr>
            <w:tcW w:type="dxa" w:w="1661"/>
          </w:tcPr>
          <w:p>
            <w:pPr>
              <w:pStyle w:val="null3"/>
            </w:pPr>
            <w:r>
              <w:rPr>
                <w:rFonts w:ascii="仿宋_GB2312" w:hAnsi="仿宋_GB2312" w:cs="仿宋_GB2312" w:eastAsia="仿宋_GB2312"/>
              </w:rPr>
              <w:t>质量保证措施方案</w:t>
            </w:r>
          </w:p>
        </w:tc>
        <w:tc>
          <w:tcPr>
            <w:tcW w:type="dxa" w:w="2492"/>
          </w:tcPr>
          <w:p>
            <w:pPr>
              <w:pStyle w:val="null3"/>
            </w:pPr>
            <w:r>
              <w:rPr>
                <w:rFonts w:ascii="仿宋_GB2312" w:hAnsi="仿宋_GB2312" w:cs="仿宋_GB2312" w:eastAsia="仿宋_GB2312"/>
              </w:rPr>
              <w:t>根据供应商针针对本项目提供的质量保证措施方案（质量规划、目标 建设、质量保障措施、未达到质量标准的改进措施）进行评审： 质量保证措施有详细的说明，内容完整合理可行，与项目实际需求完 全适配，完全满足采购人需求的得 7.1-10 分； 质量保证措施有明确的制定方案，但描述简略且缺少关键点及重要内 容的得 3.1-7分； 质量保证措施内容有缺漏，内容阐述缺乏主次，与本次服务要求适配 度差的得 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供应商相关证明材料及服务方案.docx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根据供应商针对本项目提供相关信息制定完整可行的保密措施，具备 完善的内部保密制度（制度建设、保密措施）进行评审。 保密措施方案针对上述内容有详细的说明，内容完整合理可行，与项 目实际需求完全适配，完全满足采购人需求的得 4.1-5 分； 保密措施方案内容包含上述内容，有明确的制定方案，但描述简略且 缺少关键点及重要内容的得 2.1-4 分； 保密措施方案内容有缺漏，内容阐述缺乏主次，与本次服务要求适配 度差的得 0-2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供应商相关证明材料及服务方案.docx</w:t>
            </w:r>
          </w:p>
        </w:tc>
      </w:tr>
      <w:tr>
        <w:tc>
          <w:tcPr>
            <w:tcW w:type="dxa" w:w="831"/>
            <w:vMerge/>
          </w:tcPr>
          <w:p/>
        </w:tc>
        <w:tc>
          <w:tcPr>
            <w:tcW w:type="dxa" w:w="1661"/>
          </w:tcPr>
          <w:p>
            <w:pPr>
              <w:pStyle w:val="null3"/>
            </w:pPr>
            <w:r>
              <w:rPr>
                <w:rFonts w:ascii="仿宋_GB2312" w:hAnsi="仿宋_GB2312" w:cs="仿宋_GB2312" w:eastAsia="仿宋_GB2312"/>
              </w:rPr>
              <w:t>进度保证措施方案</w:t>
            </w:r>
          </w:p>
        </w:tc>
        <w:tc>
          <w:tcPr>
            <w:tcW w:type="dxa" w:w="2492"/>
          </w:tcPr>
          <w:p>
            <w:pPr>
              <w:pStyle w:val="null3"/>
            </w:pPr>
            <w:r>
              <w:rPr>
                <w:rFonts w:ascii="仿宋_GB2312" w:hAnsi="仿宋_GB2312" w:cs="仿宋_GB2312" w:eastAsia="仿宋_GB2312"/>
              </w:rPr>
              <w:t>根据供应商针对本项目提供的进度保证措施方案（编制进度安排及保障措施的应急措施）进行评审：进度保证措施有详细的说明，内容完整合理可行，与项目实际需求完全适配，完全满足采购人需求的得 4.1-5 分； 进度保证措施有明确的制定方案，但描述简略且缺少关键点及重要内容的得 2.1-4 分；进度保证措施内容有缺漏，内容阐述缺乏主次，与本次服务要求适配度差的得 0-2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供应商相关证明材料及服务方案.docx</w:t>
            </w:r>
          </w:p>
        </w:tc>
      </w:tr>
      <w:tr>
        <w:tc>
          <w:tcPr>
            <w:tcW w:type="dxa" w:w="831"/>
            <w:vMerge/>
          </w:tcPr>
          <w:p/>
        </w:tc>
        <w:tc>
          <w:tcPr>
            <w:tcW w:type="dxa" w:w="1661"/>
          </w:tcPr>
          <w:p>
            <w:pPr>
              <w:pStyle w:val="null3"/>
            </w:pPr>
            <w:r>
              <w:rPr>
                <w:rFonts w:ascii="仿宋_GB2312" w:hAnsi="仿宋_GB2312" w:cs="仿宋_GB2312" w:eastAsia="仿宋_GB2312"/>
              </w:rPr>
              <w:t>成果文件交付</w:t>
            </w:r>
          </w:p>
        </w:tc>
        <w:tc>
          <w:tcPr>
            <w:tcW w:type="dxa" w:w="2492"/>
          </w:tcPr>
          <w:p>
            <w:pPr>
              <w:pStyle w:val="null3"/>
            </w:pPr>
            <w:r>
              <w:rPr>
                <w:rFonts w:ascii="仿宋_GB2312" w:hAnsi="仿宋_GB2312" w:cs="仿宋_GB2312" w:eastAsia="仿宋_GB2312"/>
              </w:rPr>
              <w:t>供应商提供针对本项目的成果交付资料应真实、有效，符合采购人要 求。若未达到采购人标准，提供具体的改进措施： 成果文件交付方案有详细的说明，内容完整合理可行，与项目实际需 求完全适配，完全满足采购人需求的得 7.1-10 分； 成果文件交付方案有明确的制定方案，但描述简略且缺少关键点及重 要内容的得 3.1-7分； 成果文件交付方案内容有缺漏，内容阐述缺乏主次，与本次服务要求 适配度差的得 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供应商相关证明材料及服务方案.docx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1.供应商承诺完成成果文件编制完成后协助采购人完成相关行政审 批单位审核获得相关批复文件，提供此承诺得 3 分。 2.供应商承诺服务成果的相关资料知识产权归采购人所有，提供此承诺得 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供应商相关证明材料及服务方案.docx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满足磋商文件要求且投标价格最低的投标报价为评标基准价，其价格分为满分。其他投标供应商的价格分统一按照下列公式计算：投标报价得分=（评标基准价/投标报价）×20%×100。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详见附件：技术要求偏离表.docx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详见附件：供应商相关证明材料及服务方案.docx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