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版本号：FMY-ZBDL-2025-10120251225001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汉台区塬上片区地下排水管网建设改造(一期)项目初步设计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FMY-ZBDL-2025-101</w:t>
      </w:r>
      <w:r>
        <w:br/>
      </w:r>
      <w:r>
        <w:br/>
      </w:r>
      <w:r>
        <w:br/>
      </w:r>
    </w:p>
    <w:p>
      <w:pPr>
        <w:pStyle w:val="null3"/>
        <w:jc w:val="center"/>
        <w:outlineLvl w:val="2"/>
      </w:pPr>
      <w:r>
        <w:rPr>
          <w:rFonts w:ascii="仿宋_GB2312" w:hAnsi="仿宋_GB2312" w:cs="仿宋_GB2312" w:eastAsia="仿宋_GB2312"/>
          <w:sz w:val="28"/>
          <w:b/>
        </w:rPr>
        <w:t>汉中经济技术开发区建设管理局</w:t>
      </w:r>
    </w:p>
    <w:p>
      <w:pPr>
        <w:pStyle w:val="null3"/>
        <w:jc w:val="center"/>
        <w:outlineLvl w:val="2"/>
      </w:pPr>
      <w:r>
        <w:rPr>
          <w:rFonts w:ascii="仿宋_GB2312" w:hAnsi="仿宋_GB2312" w:cs="仿宋_GB2312" w:eastAsia="仿宋_GB2312"/>
          <w:sz w:val="28"/>
          <w:b/>
        </w:rPr>
        <w:t>陕西方铭壹工程项目管理有限公司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陕西方铭壹工程项目管理有限公司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汉中经济技术开发区建设管理局</w:t>
      </w:r>
      <w:r>
        <w:rPr>
          <w:rFonts w:ascii="仿宋_GB2312" w:hAnsi="仿宋_GB2312" w:cs="仿宋_GB2312" w:eastAsia="仿宋_GB2312"/>
        </w:rPr>
        <w:t>委托，拟对</w:t>
      </w:r>
      <w:r>
        <w:rPr>
          <w:rFonts w:ascii="仿宋_GB2312" w:hAnsi="仿宋_GB2312" w:cs="仿宋_GB2312" w:eastAsia="仿宋_GB2312"/>
        </w:rPr>
        <w:t>汉台区塬上片区地下排水管网建设改造(一期)项目初步设计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FMY-ZBDL-2025-101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汉台区塬上片区地下排水管网建设改造(一期)项目初步设计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台区塬上片区地下排水管网建设改造项目(一期)，本次改造对高新二路至高新三路、科技三路至科技四路、高新五路、科技一路管网进行完善，拆除原有管道后，改建DN300-DN800雨水管网4.962km，管材选用HDPE双壁波纹管，改建雨水检查井188座,雨水算子172个。改建DN400污水管网2.240km，管材选用HDPE双壁波纹管，改建污水检查井95座。本次采购内容为汉台区塬上片区地下排水管网建设改造项目(一期)初步设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采购包1（汉台区塬上片区地下排水管网建设改造(一期)项目初步设计）：属于专门面向中小企业采购。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或授权代表：法定代表人（主要负责人）委托代理人参加投标时，应提供法定代表人（主要负责人）委托授权书和授权代表本单位证明（开标前六个月任意一个月的个人养老保险缴纳证明）；法定代表人（主要负责人）亲自参加投标时，应提供法定代表人（主要负责人）身份证明书;</w:t>
      </w:r>
    </w:p>
    <w:p>
      <w:pPr>
        <w:pStyle w:val="null3"/>
      </w:pPr>
      <w:r>
        <w:rPr>
          <w:rFonts w:ascii="仿宋_GB2312" w:hAnsi="仿宋_GB2312" w:cs="仿宋_GB2312" w:eastAsia="仿宋_GB2312"/>
        </w:rPr>
        <w:t>3、企业资质：供应商须具有建设行政主管部门核发的工程设计综合甲级资质或市政行业工程设计乙级及以上资质或市政行业（燃气、轨道交通除外）工程设计乙级及以上资质或市政行业（排水工程）工程设计乙级及以上资质;</w:t>
      </w:r>
    </w:p>
    <w:p>
      <w:pPr>
        <w:pStyle w:val="null3"/>
      </w:pPr>
      <w:r>
        <w:rPr>
          <w:rFonts w:ascii="仿宋_GB2312" w:hAnsi="仿宋_GB2312" w:cs="仿宋_GB2312" w:eastAsia="仿宋_GB2312"/>
        </w:rPr>
        <w:t>4、项目负责人：拟派项目设计负责人须具备国家一级注册建筑师执业资格，在本单位注册（提供开标前六个月任意一个月个人养老保险缴纳证明）;</w:t>
      </w:r>
    </w:p>
    <w:p>
      <w:pPr>
        <w:pStyle w:val="null3"/>
      </w:pPr>
      <w:r>
        <w:rPr>
          <w:rFonts w:ascii="仿宋_GB2312" w:hAnsi="仿宋_GB2312" w:cs="仿宋_GB2312" w:eastAsia="仿宋_GB2312"/>
        </w:rPr>
        <w:t>5、信用记录：供应商未列入在信用中国网站"失信被执行人"、"重大税收违法案件当事人名单"中(www.creditchina.gov.cn),也未列入中国政府采购网"政府采购严重违法失信行为记录名单"中(www.ccgp.gov.cn);</w:t>
      </w:r>
    </w:p>
    <w:p>
      <w:pPr>
        <w:pStyle w:val="null3"/>
      </w:pPr>
      <w:r>
        <w:rPr>
          <w:rFonts w:ascii="仿宋_GB2312" w:hAnsi="仿宋_GB2312" w:cs="仿宋_GB2312" w:eastAsia="仿宋_GB2312"/>
        </w:rPr>
        <w:t>6、控股管理关系：单位负责人为同一人或者存在直接控股、管理关系的不同供应商，不得参加同一合同包下的政府采购活动;</w:t>
      </w:r>
    </w:p>
    <w:p>
      <w:pPr>
        <w:pStyle w:val="null3"/>
      </w:pPr>
      <w:r>
        <w:rPr>
          <w:rFonts w:ascii="仿宋_GB2312" w:hAnsi="仿宋_GB2312" w:cs="仿宋_GB2312" w:eastAsia="仿宋_GB2312"/>
        </w:rPr>
        <w:t>7、是否接受联合磋商：本项目不接受联合体磋商。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汉中经济技术开发区建设管理局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汉中市汉台区天汉大道北段1号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汉中经济技术开发区建设管理局经办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0916-2861636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陕西方铭壹工程项目管理有限公司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陕西省西安市新城区长乐中路金花新都汇A座701室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杨海蜂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19371441421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汉中经济技术开发区财政局政府采购管理科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0916-2861802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由成交供应商支付，参考《国家计委关于印发〈招标代理服务费管理暂行办法〉的通知》（计价格【2002】1980号）、《国家发展和改革委员会办公厅关于招标代理服务收费有关问题的通知》（发改办价格〔2003〕857号）规定计取，定额收取伍仟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汉中经济技术开发区建设管理局</w:t>
      </w:r>
      <w:r>
        <w:rPr>
          <w:rFonts w:ascii="仿宋_GB2312" w:hAnsi="仿宋_GB2312" w:cs="仿宋_GB2312" w:eastAsia="仿宋_GB2312"/>
        </w:rPr>
        <w:t>和</w:t>
      </w:r>
      <w:r>
        <w:rPr>
          <w:rFonts w:ascii="仿宋_GB2312" w:hAnsi="仿宋_GB2312" w:cs="仿宋_GB2312" w:eastAsia="仿宋_GB2312"/>
        </w:rPr>
        <w:t>陕西方铭壹工程项目管理有限公司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汉中经济技术开发区建设管理局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陕西方铭壹工程项目管理有限公司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汉中经济技术开发区建设管理局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陕西方铭壹工程项目管理有限公司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陕西方铭壹工程项目管理有限公司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联系人：杨海蜂</w:t>
      </w:r>
    </w:p>
    <w:p>
      <w:pPr>
        <w:pStyle w:val="null3"/>
      </w:pPr>
      <w:r>
        <w:rPr>
          <w:rFonts w:ascii="仿宋_GB2312" w:hAnsi="仿宋_GB2312" w:cs="仿宋_GB2312" w:eastAsia="仿宋_GB2312"/>
        </w:rPr>
        <w:t>联系电话：19371441421</w:t>
      </w:r>
    </w:p>
    <w:p>
      <w:pPr>
        <w:pStyle w:val="null3"/>
      </w:pPr>
      <w:r>
        <w:rPr>
          <w:rFonts w:ascii="仿宋_GB2312" w:hAnsi="仿宋_GB2312" w:cs="仿宋_GB2312" w:eastAsia="仿宋_GB2312"/>
        </w:rPr>
        <w:t>地址：陕西省西安市新城区长乐中路金花新都汇A座701室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汉台区塬上片区地下排水管网建设改造项目(一期)，本次改造对高新二路至高新三路、科技三路至科技四路、高新五路、科技一路管网进行完善，拆除原有管道后，改建DN300-DN800雨水管网4.962km，管材选用HDPE双壁波纹管，改建雨水检查井188座,雨水算子172个。改建DN400污水管网2.240km，管材选用HDPE双壁波纹管，改建污水检查井95座。本次采购内容为汉台区塬上片区地下排水管网建设改造项目(一期)初步设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233,400.00</w:t>
      </w:r>
    </w:p>
    <w:p>
      <w:pPr>
        <w:pStyle w:val="null3"/>
      </w:pPr>
      <w:r>
        <w:rPr>
          <w:rFonts w:ascii="仿宋_GB2312" w:hAnsi="仿宋_GB2312" w:cs="仿宋_GB2312" w:eastAsia="仿宋_GB2312"/>
        </w:rPr>
        <w:t>采购包最高限价（元）: 233,400.00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汉台区塬上片区地下排水管网建设改造(一期)项目初步设计。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233,400.00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标的名称：汉台区塬上片区地下排水管网建设改造(一期)项目初步设计。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汉台区塬上片区地下排水管网建设改造项目(一期)，本次改造对高新二路至高新三路、科技三路至科技四路、高新五路、科技一路管网进行完善，拆除原有管道后，改建DN300-DN800雨水管网4.962km，管材选用HDPE双壁波纹管，改建雨水检查井188座,雨水算子172个。改建DN400污水管网2.240km，管材选用HDPE双壁波纹管，改建污水检查井95座。</w:t>
            </w:r>
          </w:p>
          <w:p>
            <w:pPr>
              <w:pStyle w:val="null3"/>
            </w:pPr>
            <w:r>
              <w:rPr>
                <w:rFonts w:ascii="仿宋_GB2312" w:hAnsi="仿宋_GB2312" w:cs="仿宋_GB2312" w:eastAsia="仿宋_GB2312"/>
              </w:rPr>
              <w:t>二、项目要求</w:t>
            </w:r>
          </w:p>
          <w:p>
            <w:pPr>
              <w:pStyle w:val="null3"/>
            </w:pPr>
            <w:r>
              <w:rPr>
                <w:rFonts w:ascii="仿宋_GB2312" w:hAnsi="仿宋_GB2312" w:cs="仿宋_GB2312" w:eastAsia="仿宋_GB2312"/>
              </w:rPr>
              <w:t>2.1本次服务主要内容包括：本次采购内容为汉台区塬上片区地下排水管网建设改造项目(一期)初步设计；所有成果文件必须符合国家相关规范、标准及采购人要求。</w:t>
            </w:r>
          </w:p>
          <w:p>
            <w:pPr>
              <w:pStyle w:val="null3"/>
            </w:pPr>
            <w:r>
              <w:rPr>
                <w:rFonts w:ascii="仿宋_GB2312" w:hAnsi="仿宋_GB2312" w:cs="仿宋_GB2312" w:eastAsia="仿宋_GB2312"/>
              </w:rPr>
              <w:t>2.2设计要求：</w:t>
            </w:r>
          </w:p>
          <w:p>
            <w:pPr>
              <w:pStyle w:val="null3"/>
              <w:numPr>
                <w:ilvl w:val="0"/>
                <w:numId w:val="1"/>
              </w:numPr>
            </w:pPr>
            <w:r>
              <w:rPr>
                <w:rFonts w:ascii="仿宋_GB2312" w:hAnsi="仿宋_GB2312" w:cs="仿宋_GB2312" w:eastAsia="仿宋_GB2312"/>
              </w:rPr>
              <w:t>初步设计技术经济合理性，明确设计方案与布局，控制项目成本与投资。</w:t>
            </w:r>
          </w:p>
          <w:p>
            <w:pPr>
              <w:pStyle w:val="null3"/>
              <w:numPr>
                <w:ilvl w:val="0"/>
                <w:numId w:val="1"/>
              </w:numPr>
            </w:pPr>
            <w:r>
              <w:rPr>
                <w:rFonts w:ascii="仿宋_GB2312" w:hAnsi="仿宋_GB2312" w:cs="仿宋_GB2312" w:eastAsia="仿宋_GB2312"/>
              </w:rPr>
              <w:t>完成前期方案设计，按采购人的需求进行初步设计。</w:t>
            </w:r>
          </w:p>
          <w:p>
            <w:pPr>
              <w:pStyle w:val="null3"/>
              <w:numPr>
                <w:ilvl w:val="0"/>
                <w:numId w:val="1"/>
              </w:numPr>
            </w:pPr>
            <w:r>
              <w:rPr>
                <w:rFonts w:ascii="仿宋_GB2312" w:hAnsi="仿宋_GB2312" w:cs="仿宋_GB2312" w:eastAsia="仿宋_GB2312"/>
              </w:rPr>
              <w:t>对采购人的审核修改意见进行修改、完善，保证其设计意图的最终实现。</w:t>
            </w:r>
          </w:p>
          <w:p>
            <w:pPr>
              <w:pStyle w:val="null3"/>
              <w:numPr>
                <w:ilvl w:val="0"/>
                <w:numId w:val="1"/>
              </w:numPr>
            </w:pPr>
            <w:r>
              <w:rPr>
                <w:rFonts w:ascii="仿宋_GB2312" w:hAnsi="仿宋_GB2312" w:cs="仿宋_GB2312" w:eastAsia="仿宋_GB2312"/>
              </w:rPr>
              <w:t>根据项目建设进度要求及时提供各阶段报审图纸，协助采购人进行报审工作，根据审查结果进行修改调整，直至审查通过，并最终向采购人提交正式的初步设计文件及批复。</w:t>
            </w:r>
          </w:p>
          <w:p>
            <w:pPr>
              <w:pStyle w:val="null3"/>
              <w:numPr>
                <w:ilvl w:val="0"/>
                <w:numId w:val="1"/>
              </w:numPr>
            </w:pPr>
            <w:r>
              <w:rPr>
                <w:rFonts w:ascii="仿宋_GB2312" w:hAnsi="仿宋_GB2312" w:cs="仿宋_GB2312" w:eastAsia="仿宋_GB2312"/>
              </w:rPr>
              <w:t>根据采购人要求，及时参加与设计有关的专题会，现场解决技术问题。</w:t>
            </w:r>
          </w:p>
          <w:p>
            <w:pPr>
              <w:pStyle w:val="null3"/>
              <w:numPr>
                <w:ilvl w:val="0"/>
                <w:numId w:val="1"/>
              </w:numPr>
            </w:pPr>
            <w:r>
              <w:rPr>
                <w:rFonts w:ascii="仿宋_GB2312" w:hAnsi="仿宋_GB2312" w:cs="仿宋_GB2312" w:eastAsia="仿宋_GB2312"/>
              </w:rPr>
              <w:t>提交的设计文件应符合现行规程、规范等要求，并应通过相关部门的审查。</w:t>
            </w:r>
          </w:p>
          <w:p>
            <w:pPr>
              <w:pStyle w:val="null3"/>
            </w:pPr>
            <w:r>
              <w:rPr>
                <w:rFonts w:ascii="仿宋_GB2312" w:hAnsi="仿宋_GB2312" w:cs="仿宋_GB2312" w:eastAsia="仿宋_GB2312"/>
              </w:rPr>
              <w:t>2.3服务工期：自合同签订之日起10天内完成。</w:t>
            </w:r>
          </w:p>
          <w:p>
            <w:pPr>
              <w:pStyle w:val="null3"/>
            </w:pPr>
            <w:r>
              <w:rPr>
                <w:rFonts w:ascii="仿宋_GB2312" w:hAnsi="仿宋_GB2312" w:cs="仿宋_GB2312" w:eastAsia="仿宋_GB2312"/>
              </w:rPr>
              <w:t>2.4质量要求：合格</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供应商在磋商报价时，该项目响应总价不得超过项目最高限价，若响应总报价高于最高限价的，其响应文件将按无效处理。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项目所有的服务内容完成后，由采购人根据项目磋商文件、响应文件、项目合同进行验收，检查合同内容完成情况。</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合同签订后，初步设计编制完成，评审通过后7日内支付</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以签订的合同为准。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 2、为顺利推进政府采购电子化交易平台应用工作，供应商需要在线提交所有通过电子化交易平台实施的政府采购项目的响应文件，同时，成交供应商领取成交通知书时，应线下提交纸质版响应文件，正本壹份、副本贰套、电子版壹套（U盘）至代理机构。 线上电子响应文件与纸质响应文件一致;若正本和副本不符，以正本为准。 3、落实政府采购政策需满足的资格要求：依据《中华人民共和国政府采购法》和《中华人民共和国政府采购法实施条例》的有关规定，落实政府采购“优先购买节能环保产品、扶持小微企业、监狱企业、福利企业”等相关政策。1）、《政府采购促进中小企业发展管理办法》（财库〔2020〕46号）、《陕西省财政厅关于进一步加大政府采购支持中小企业力度的通知》（陕财办采〔2022〕5号）、《陕西省财政厅关于落实政府采购支持中小企业政策有关事项的通知》（陕财办采〔2022〕10号）、《财政部关于进一步加大政府采购支持中小企业力度》的通知（财库〔2022〕19号）；2）、《财政部司法部关于政府采购支持监狱企业发展有关问题的通知》（财库〔2014〕68号）；3）、《国务院办公厅关于建立政府强制采购节能产品制度的通知》（国办发〔2007〕51号）；4）、《三部门联合发布关于促进残疾人就业政府采购政策的通知》（财库〔2017〕141号）；5）、《财政部发展改革委生态环境部市场监管总局关于调整优化节能产品、环境标志产品政府采购执行机制的通知》（财库〔2019〕9号）；6）、关于印发环境标志产品政府采购品目清单的通知（财库〔2019〕18号）；7）、《关于印发节能产品政府采购品目清单的通知》（财库〔2019〕19号）；8）、《财政部、农业农村部、国家乡村振兴局关于运用政府采购政策支持乡村产业振兴的通知》（财库〔2021〕19号）；9）、《陕西省中小企业政府采购信用融资办法》（陕财办采〔2018〕23号）、陕西省财政厅、中国人民银行西安分行关于深入推进政府采购信用融资业务的通知（陕财办采〔2023〕5号）；10）、《关于政府采购支持绿色建材促进建筑品质提升试点工作的通知》（财库〔2020〕31号）；11）、融资平台：根据《陕西省财政厅关于加快推进我省中小企业政府采购信用融资工作的通知》陕财办采〔2020〕15号文件精神，有融资需求的供应商可根据自身情况，在陕西省政府采购信用融资平台（含各市分平台）自主选择金融机构及其融资产品，凭政府采购中标（成交）通知书或政府采购合同向金融机构提出融资申请；12）、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供应商需在项目电子化交易系统中按要求填写《投标函》、《汉中市政府采购供应商资格承诺函》完成承诺并进行电子签章。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和授权代表本单位证明（开标前六个月任意一个月的个人养老保险缴纳证明）；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供应商须具有建设行政主管部门核发的工程设计综合甲级资质或市政行业工程设计乙级及以上资质或市政行业（燃气、轨道交通除外）工程设计乙级及以上资质或市政行业（排水工程）工程设计乙级及以上资质;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拟派项目设计负责人须具备国家一级注册建筑师执业资格，在本单位注册（提供开标前六个月任意一个月个人养老保险缴纳证明）;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供应商未列入在信用中国网站"失信被执行人"、"重大税收违法案件当事人名单"中(www.creditchina.gov.cn),也未列入中国政府采购网"政府采购严重违法失信行为记录名单"中(www.ccgp.gov.cn);</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单位负责人为同一人或者存在直接控股、管理关系的不同供应商，不得参加同一合同包下的政府采购活动;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政府采购供应商拒绝政府采购领域商业贿赂承诺书.docx 商务要求偏离表.docx 中小企业声明函 残疾人福利性单位声明函 服务方案 标的清单 报价表 采购需求偏离表.docx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竞争性磋商响应报价</w:t>
            </w:r>
          </w:p>
        </w:tc>
        <w:tc>
          <w:tcPr>
            <w:tcW w:type="dxa" w:w="3322"/>
          </w:tcPr>
          <w:p>
            <w:pPr>
              <w:pStyle w:val="null3"/>
            </w:pPr>
            <w:r>
              <w:rPr>
                <w:rFonts w:ascii="仿宋_GB2312" w:hAnsi="仿宋_GB2312" w:cs="仿宋_GB2312" w:eastAsia="仿宋_GB2312"/>
              </w:rPr>
              <w:t>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自磋商之日起90个日历日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符合要求</w:t>
            </w:r>
          </w:p>
        </w:tc>
        <w:tc>
          <w:tcPr>
            <w:tcW w:type="dxa" w:w="1661"/>
          </w:tcPr>
          <w:p>
            <w:pPr>
              <w:pStyle w:val="null3"/>
            </w:pPr>
            <w:r>
              <w:rPr>
                <w:rFonts w:ascii="仿宋_GB2312" w:hAnsi="仿宋_GB2312" w:cs="仿宋_GB2312" w:eastAsia="仿宋_GB2312"/>
              </w:rPr>
              <w:t>响应文件封面 政府采购供应商拒绝政府采购领域商业贿赂承诺书.docx 商务要求偏离表.docx 中小企业声明函 残疾人福利性单位声明函 服务方案 标的清单 报价表 采购需求偏离表.docx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项目理解及针对本项目的任务分析</w:t>
            </w:r>
          </w:p>
        </w:tc>
        <w:tc>
          <w:tcPr>
            <w:tcW w:type="dxa" w:w="2492"/>
          </w:tcPr>
          <w:p>
            <w:pPr>
              <w:pStyle w:val="null3"/>
            </w:pPr>
            <w:r>
              <w:rPr>
                <w:rFonts w:ascii="仿宋_GB2312" w:hAnsi="仿宋_GB2312" w:cs="仿宋_GB2312" w:eastAsia="仿宋_GB2312"/>
              </w:rPr>
              <w:t>评审内容：①供应商对项目的理解②供应商针对本采购的任务分析 以上内容内容全面、准确、有针对性且符合本项目实际需求得12分，每缺一项扣6分，若上述内容存在瑕疵，每出现1项瑕疵扣1.5分，扣完为止。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总体设计思路及方案</w:t>
            </w:r>
          </w:p>
        </w:tc>
        <w:tc>
          <w:tcPr>
            <w:tcW w:type="dxa" w:w="2492"/>
          </w:tcPr>
          <w:p>
            <w:pPr>
              <w:pStyle w:val="null3"/>
            </w:pPr>
            <w:r>
              <w:rPr>
                <w:rFonts w:ascii="仿宋_GB2312" w:hAnsi="仿宋_GB2312" w:cs="仿宋_GB2312" w:eastAsia="仿宋_GB2312"/>
              </w:rPr>
              <w:t>评审内容：①供应商描述总体设计思路②设计方案： 以上内容内容全面合理、可实施性强、有针对性且符合本项目实际需求得16分，每缺一项扣8分，若上述内容存在瑕疵，每出现1项瑕疵扣2分，扣完为止。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人员配备措施</w:t>
            </w:r>
          </w:p>
        </w:tc>
        <w:tc>
          <w:tcPr>
            <w:tcW w:type="dxa" w:w="2492"/>
          </w:tcPr>
          <w:p>
            <w:pPr>
              <w:pStyle w:val="null3"/>
            </w:pPr>
            <w:r>
              <w:rPr>
                <w:rFonts w:ascii="仿宋_GB2312" w:hAnsi="仿宋_GB2312" w:cs="仿宋_GB2312" w:eastAsia="仿宋_GB2312"/>
              </w:rPr>
              <w:t>评审内容 供应商提供本项目人员配备措施包括①人员组织架构②岗位设置 以上内容内容全面、设计合理、可实施性强且符合本项目实际需求得12分，每缺一项扣6分，若上述内容存在瑕疵，每出现1项瑕疵扣1.5分，扣完为止。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评审内容①进度计划②保障措施 以上内容内容全面合理、可实施性强且符合本项目实际需求得8分，每缺一项扣4分，若上述内容存在瑕疵，每出现1项瑕疵扣1分，扣完为止。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评审内容：质量保障措施 以上内容内容全面合理、可实施性强且符合本项目实际需求得8分，缺项扣8分，若上述内容存在瑕疵，每出现1项瑕疵扣2分，扣完为止。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重难点应对方案</w:t>
            </w:r>
          </w:p>
        </w:tc>
        <w:tc>
          <w:tcPr>
            <w:tcW w:type="dxa" w:w="2492"/>
          </w:tcPr>
          <w:p>
            <w:pPr>
              <w:pStyle w:val="null3"/>
            </w:pPr>
            <w:r>
              <w:rPr>
                <w:rFonts w:ascii="仿宋_GB2312" w:hAnsi="仿宋_GB2312" w:cs="仿宋_GB2312" w:eastAsia="仿宋_GB2312"/>
              </w:rPr>
              <w:t>评审内容：供应商提供针对本项目的设计工作重点、难点分析及解决措施。 以上内容内容全面完整、可实施性强、针对性强且符合本项目实际需求得8分，缺项扣8分，若上述内容存在瑕疵，每出现1项瑕疵扣2分，扣完为止。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设计阶段工程造价控制措施</w:t>
            </w:r>
          </w:p>
        </w:tc>
        <w:tc>
          <w:tcPr>
            <w:tcW w:type="dxa" w:w="2492"/>
          </w:tcPr>
          <w:p>
            <w:pPr>
              <w:pStyle w:val="null3"/>
            </w:pPr>
            <w:r>
              <w:rPr>
                <w:rFonts w:ascii="仿宋_GB2312" w:hAnsi="仿宋_GB2312" w:cs="仿宋_GB2312" w:eastAsia="仿宋_GB2312"/>
              </w:rPr>
              <w:t>评审内容：为更好的服务于本项目，供应商提出适用本项目设计阶段工程造价控制措施，①对本项目服务工作中的常见问题进行梳理；②针对问题提供的的造价控制措施。 以上内容内容全面、可实施性强、针对性强且符合本项目实际需求得16分，每缺一项扣8分，若上述内容存在瑕疵，每出现1项瑕疵扣2分，扣完为止。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评审内容：供应商提供针对本项目的服务承诺。 以上内容内容完整、可实施性强、针对性强且符合本项目实际需求得6分，缺项扣6分，若上述内容存在瑕疵，每出现1项瑕疵扣1.5分，扣完为止。 注：“瑕疵”指内容明显错误，或内容不完整或缺少关键点，或不适用本项目特性、套用其他项目内容或内容不能满足本项目实际需求等情形。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供应商提供类似项目（市政公用工程）设计业绩，1个得2分，最高4分。 注：需提供合同首页、内容页和双方盖章页。以合同为准，内容不清晰，或者资料不全的，不得分。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经资格审查、符合性审查合格的磋商响应文件，其磋商报价为有效磋商报价，满足磋商文件要求且磋商价格最低的投标报价为评标基准价，其价格分为满分。 价格分按照下列公式计算。 磋商报价得分=（评标基准价/磋商报价）×10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详见附件：采购需求偏离表.docx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