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版本号：FMY-ZBDL-2025-10020251225001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汉中经开区汉川机床厂家属院老旧小区改造内配套基础设施项目初步设计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FMY-ZBDL-2025-100</w:t>
      </w:r>
      <w:r>
        <w:br/>
      </w:r>
      <w:r>
        <w:br/>
      </w:r>
      <w:r>
        <w:br/>
      </w:r>
    </w:p>
    <w:p>
      <w:pPr>
        <w:pStyle w:val="null3"/>
        <w:jc w:val="center"/>
        <w:outlineLvl w:val="2"/>
      </w:pPr>
      <w:r>
        <w:rPr>
          <w:rFonts w:ascii="仿宋_GB2312" w:hAnsi="仿宋_GB2312" w:cs="仿宋_GB2312" w:eastAsia="仿宋_GB2312"/>
          <w:sz w:val="28"/>
          <w:b/>
        </w:rPr>
        <w:t>汉中经济技术开发区建设管理局</w:t>
      </w:r>
    </w:p>
    <w:p>
      <w:pPr>
        <w:pStyle w:val="null3"/>
        <w:jc w:val="center"/>
        <w:outlineLvl w:val="2"/>
      </w:pPr>
      <w:r>
        <w:rPr>
          <w:rFonts w:ascii="仿宋_GB2312" w:hAnsi="仿宋_GB2312" w:cs="仿宋_GB2312" w:eastAsia="仿宋_GB2312"/>
          <w:sz w:val="28"/>
          <w:b/>
        </w:rPr>
        <w:t>陕西方铭壹工程项目管理有限公司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陕西方铭壹工程项目管理有限公司</w:t>
      </w:r>
      <w:r>
        <w:rPr>
          <w:rFonts w:ascii="仿宋_GB2312" w:hAnsi="仿宋_GB2312" w:cs="仿宋_GB2312" w:eastAsia="仿宋_GB2312"/>
        </w:rPr>
        <w:t>（以下简称“代理机构”）受</w:t>
      </w:r>
      <w:r>
        <w:rPr>
          <w:rFonts w:ascii="仿宋_GB2312" w:hAnsi="仿宋_GB2312" w:cs="仿宋_GB2312" w:eastAsia="仿宋_GB2312"/>
        </w:rPr>
        <w:t>汉中经济技术开发区建设管理局</w:t>
      </w:r>
      <w:r>
        <w:rPr>
          <w:rFonts w:ascii="仿宋_GB2312" w:hAnsi="仿宋_GB2312" w:cs="仿宋_GB2312" w:eastAsia="仿宋_GB2312"/>
        </w:rPr>
        <w:t>委托，拟对</w:t>
      </w:r>
      <w:r>
        <w:rPr>
          <w:rFonts w:ascii="仿宋_GB2312" w:hAnsi="仿宋_GB2312" w:cs="仿宋_GB2312" w:eastAsia="仿宋_GB2312"/>
        </w:rPr>
        <w:t>汉中经开区汉川机床厂家属院老旧小区改造内配套基础设施项目初步设计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FMY-ZBDL-2025-100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汉中经开区汉川机床厂家属院老旧小区改造内配套基础设施项目初步设计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汉中经开区汉川机床厂家属院老旧小区改造内配套基础设施项目，本次改造根据现场居民调研以及小区实际情况，建设内容主要为汉川机床厂家属院老旧小区1100户居民小区内配套基础设施改造;包括室外场地硬化，绿化修复治理，物业、柴房等附属建筑屋面防水改造、墙面粉饰，围墙粉饰，大门及智能门禁系统改造，给水系统改造，雨污分流改造，路灯、弱电改造等。本次采购内容为汉中经开区汉川机床厂家属院老旧小区改造内配套基础设施项目初步设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采购包1（汉中经开区汉川机床厂家属院老旧小区改造内配套基础设施项目初步设计）：属于专门面向中小企业采购。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1、主体资格证明文件：具有独立承担民事责任能力的法人、其他组织或自然人：提供合法有效的统一社会信用代码营业执照（事业单位提供事业单位法人证书，自然人应提供身份证）；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法定代表人或授权代表：法定代表人（主要负责人）委托代理人参加投标时，应提供法定代表人（主要负责人）委托授权书和授权代表本单位证明（开标前六个月任意一个月的个人养老保险缴纳证明）；法定代表人（主要负责人）亲自参加投标时，应提供法定代表人（主要负责人）身份证明书；</w:t>
      </w:r>
    </w:p>
    <w:p>
      <w:pPr>
        <w:pStyle w:val="null3"/>
      </w:pPr>
      <w:r>
        <w:rPr>
          <w:rFonts w:ascii="仿宋_GB2312" w:hAnsi="仿宋_GB2312" w:cs="仿宋_GB2312" w:eastAsia="仿宋_GB2312"/>
        </w:rPr>
        <w:t>3、企业资质：供应商须具有建设行政主管部门核发的工程设计综合甲级资质或建筑行业设计乙级及以上资质或建筑行业（建筑工程）设计乙级及以上资质；</w:t>
      </w:r>
    </w:p>
    <w:p>
      <w:pPr>
        <w:pStyle w:val="null3"/>
      </w:pPr>
      <w:r>
        <w:rPr>
          <w:rFonts w:ascii="仿宋_GB2312" w:hAnsi="仿宋_GB2312" w:cs="仿宋_GB2312" w:eastAsia="仿宋_GB2312"/>
        </w:rPr>
        <w:t>4、项目负责人：拟派项目设计负责人须具备国家一级注册建筑师执业资格，在本单位注册（提供开标前六个月任意一个月个人养老保险缴纳证明）；</w:t>
      </w:r>
    </w:p>
    <w:p>
      <w:pPr>
        <w:pStyle w:val="null3"/>
      </w:pPr>
      <w:r>
        <w:rPr>
          <w:rFonts w:ascii="仿宋_GB2312" w:hAnsi="仿宋_GB2312" w:cs="仿宋_GB2312" w:eastAsia="仿宋_GB2312"/>
        </w:rPr>
        <w:t>5、信用记录：供应商未列入在信用中国网站“失信被执行人”、“重大税收违法案件当事人名单”中(www.creditchina.gov.cn),也未列入中国政府采购网“政府采购严重违法失信行为记录名单”中(www.ccgp.gov.cn)；</w:t>
      </w:r>
    </w:p>
    <w:p>
      <w:pPr>
        <w:pStyle w:val="null3"/>
      </w:pPr>
      <w:r>
        <w:rPr>
          <w:rFonts w:ascii="仿宋_GB2312" w:hAnsi="仿宋_GB2312" w:cs="仿宋_GB2312" w:eastAsia="仿宋_GB2312"/>
        </w:rPr>
        <w:t>6、控股管理关系：单位负责人为同一人或者存在直接控股、管理关系的不同供应商，不得参加同一合同包下的政府采购活动；</w:t>
      </w:r>
    </w:p>
    <w:p>
      <w:pPr>
        <w:pStyle w:val="null3"/>
      </w:pPr>
      <w:r>
        <w:rPr>
          <w:rFonts w:ascii="仿宋_GB2312" w:hAnsi="仿宋_GB2312" w:cs="仿宋_GB2312" w:eastAsia="仿宋_GB2312"/>
        </w:rPr>
        <w:t>7、是否接受联合磋商：本项目不接受联合体磋商。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汉中经济技术开发区建设管理局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汉中市汉台区天汉大道北段1号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汉中经济技术开发区建设管理局经办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0916-2861636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陕西方铭壹工程项目管理有限公司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陕西省西安市新城区长乐中路金花新都汇A座701室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杨海蜂</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19371441421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汉中经济技术开发区财政局政府采购管理科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0916-2861802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采购包1：364,100.00元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招标代理服务费管理暂行办法〉的通知》（计价格【2002】1980号）、《国家发展和改革委员会办公厅关于招标代理服务收费有关问题的通知》（发改办价格〔2003〕857号）规定计取，不足陆仟元按陆仟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汉中经济技术开发区建设管理局</w:t>
      </w:r>
      <w:r>
        <w:rPr>
          <w:rFonts w:ascii="仿宋_GB2312" w:hAnsi="仿宋_GB2312" w:cs="仿宋_GB2312" w:eastAsia="仿宋_GB2312"/>
        </w:rPr>
        <w:t>和</w:t>
      </w:r>
      <w:r>
        <w:rPr>
          <w:rFonts w:ascii="仿宋_GB2312" w:hAnsi="仿宋_GB2312" w:cs="仿宋_GB2312" w:eastAsia="仿宋_GB2312"/>
        </w:rPr>
        <w:t>陕西方铭壹工程项目管理有限公司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汉中经济技术开发区建设管理局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陕西方铭壹工程项目管理有限公司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汉中经济技术开发区建设管理局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陕西方铭壹工程项目管理有限公司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陕西方铭壹工程项目管理有限公司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陕西方铭壹工程项目管理有限公司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陕西方铭壹工程项目管理有限公司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联系人：杨海蜂</w:t>
      </w:r>
    </w:p>
    <w:p>
      <w:pPr>
        <w:pStyle w:val="null3"/>
      </w:pPr>
      <w:r>
        <w:rPr>
          <w:rFonts w:ascii="仿宋_GB2312" w:hAnsi="仿宋_GB2312" w:cs="仿宋_GB2312" w:eastAsia="仿宋_GB2312"/>
        </w:rPr>
        <w:t>联系电话：19371441421</w:t>
      </w:r>
    </w:p>
    <w:p>
      <w:pPr>
        <w:pStyle w:val="null3"/>
      </w:pPr>
      <w:r>
        <w:rPr>
          <w:rFonts w:ascii="仿宋_GB2312" w:hAnsi="仿宋_GB2312" w:cs="仿宋_GB2312" w:eastAsia="仿宋_GB2312"/>
        </w:rPr>
        <w:t>地址：陕西省西安市新城区长乐中路金花新都汇A座701室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汉中经开区汉川机床厂家属院老旧小区改造内配套基础设施项目，本次改造根据现场居民调研以及小区实际情况，建设内容主要为汉川机床厂家属院老旧小区1100户居民小区内配套基础设施改造;包括室外场地硬化，绿化修复治理，物业、柴房等附属建筑屋面防水改造、墙面粉饰，围墙粉饰，大门及智能门禁系统改造，给水系统改造，雨污分流改造，路灯、弱电改造等。本次采购内容为汉中经开区汉川机床厂家属院老旧小区改造内配套基础设施项目初步设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364,100.00</w:t>
      </w:r>
    </w:p>
    <w:p>
      <w:pPr>
        <w:pStyle w:val="null3"/>
      </w:pPr>
      <w:r>
        <w:rPr>
          <w:rFonts w:ascii="仿宋_GB2312" w:hAnsi="仿宋_GB2312" w:cs="仿宋_GB2312" w:eastAsia="仿宋_GB2312"/>
        </w:rPr>
        <w:t>采购包最高限价（元）: 364,100.00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汉中经开区汉川机床厂家属院老旧小区改造内配套基础设施项目初步设计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364,100.00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标的名称：汉中经开区汉川机床厂家属院老旧小区改造内配套基础设施项目初步设计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一、项目概况</w:t>
            </w:r>
          </w:p>
          <w:p>
            <w:pPr>
              <w:pStyle w:val="null3"/>
              <w:ind w:firstLine="420"/>
              <w:jc w:val="both"/>
            </w:pPr>
            <w:r>
              <w:rPr>
                <w:rFonts w:ascii="仿宋_GB2312" w:hAnsi="仿宋_GB2312" w:cs="仿宋_GB2312" w:eastAsia="仿宋_GB2312"/>
              </w:rPr>
              <w:t>汉中经开区汉川机床厂家属院老旧小区改造内配套基础设施项目</w:t>
            </w:r>
            <w:r>
              <w:rPr>
                <w:rFonts w:ascii="仿宋_GB2312" w:hAnsi="仿宋_GB2312" w:cs="仿宋_GB2312" w:eastAsia="仿宋_GB2312"/>
              </w:rPr>
              <w:t>，本次改造根据现场居民调研以及小区实际情况，建设内容主要为汉川机床厂家属院老旧小区</w:t>
            </w:r>
            <w:r>
              <w:rPr>
                <w:rFonts w:ascii="仿宋_GB2312" w:hAnsi="仿宋_GB2312" w:cs="仿宋_GB2312" w:eastAsia="仿宋_GB2312"/>
              </w:rPr>
              <w:t>1100</w:t>
            </w:r>
            <w:r>
              <w:rPr>
                <w:rFonts w:ascii="仿宋_GB2312" w:hAnsi="仿宋_GB2312" w:cs="仿宋_GB2312" w:eastAsia="仿宋_GB2312"/>
              </w:rPr>
              <w:t>户居民小区内配套基础设施改造</w:t>
            </w:r>
            <w:r>
              <w:rPr>
                <w:rFonts w:ascii="仿宋_GB2312" w:hAnsi="仿宋_GB2312" w:cs="仿宋_GB2312" w:eastAsia="仿宋_GB2312"/>
              </w:rPr>
              <w:t>;</w:t>
            </w:r>
            <w:r>
              <w:rPr>
                <w:rFonts w:ascii="仿宋_GB2312" w:hAnsi="仿宋_GB2312" w:cs="仿宋_GB2312" w:eastAsia="仿宋_GB2312"/>
              </w:rPr>
              <w:t>包括室外场地硬化，绿化修复治理，物业、柴房等附属建筑屋面防水改造、墙面粉饰，围墙粉饰，大门及智能门禁系统改造，给水系统改造，雨污分流改造，路灯、弱电改造等。改造规模如下</w:t>
            </w:r>
            <w:r>
              <w:rPr>
                <w:rFonts w:ascii="仿宋_GB2312" w:hAnsi="仿宋_GB2312" w:cs="仿宋_GB2312" w:eastAsia="仿宋_GB2312"/>
              </w:rPr>
              <w:t>:</w:t>
            </w:r>
          </w:p>
          <w:p>
            <w:pPr>
              <w:pStyle w:val="null3"/>
              <w:ind w:firstLine="420"/>
              <w:jc w:val="both"/>
            </w:pPr>
            <w:r>
              <w:rPr>
                <w:rFonts w:ascii="仿宋_GB2312" w:hAnsi="仿宋_GB2312" w:cs="仿宋_GB2312" w:eastAsia="仿宋_GB2312"/>
              </w:rPr>
              <w:t>室外土建工程改造:共计沥青混凝土道路硬化改造约10600平方米，透水砖场地硬化3950平方米，新建非机动车棚400平方米，并安装充电设施，小区绿化整治约6730平方米，柴房改造面积约6500平方米，物业及活动用房1500平方米，新建围墙600米，小区更换大门2套，并安装智能门禁系统。</w:t>
            </w:r>
          </w:p>
          <w:p>
            <w:pPr>
              <w:pStyle w:val="null3"/>
            </w:pPr>
            <w:r>
              <w:rPr>
                <w:rFonts w:ascii="仿宋_GB2312" w:hAnsi="仿宋_GB2312" w:cs="仿宋_GB2312" w:eastAsia="仿宋_GB2312"/>
              </w:rPr>
              <w:t>室外给排水改造:共计建设给水室外敷设DN150PE给水管1240米，楼前DN75支管1500米，建设消防栓4座，闸阀井15座;建设雨水管网DN300-DN400长度6760米，建设室外污水管网DN300-DN400长度4710米，雨污水管网采用HDPE塑料管建设化粪池2座;</w:t>
            </w:r>
          </w:p>
          <w:p>
            <w:pPr>
              <w:pStyle w:val="null3"/>
            </w:pPr>
            <w:r>
              <w:rPr>
                <w:rFonts w:ascii="仿宋_GB2312" w:hAnsi="仿宋_GB2312" w:cs="仿宋_GB2312" w:eastAsia="仿宋_GB2312"/>
              </w:rPr>
              <w:t>室外电气改造:共计安装建设室外路灯80盏，安装室外监控1套、摄像头 35 个。</w:t>
            </w:r>
          </w:p>
          <w:p>
            <w:pPr>
              <w:pStyle w:val="null3"/>
              <w:jc w:val="both"/>
            </w:pPr>
            <w:r>
              <w:rPr>
                <w:rFonts w:ascii="仿宋_GB2312" w:hAnsi="仿宋_GB2312" w:cs="仿宋_GB2312" w:eastAsia="仿宋_GB2312"/>
                <w:sz w:val="24"/>
                <w:b/>
              </w:rPr>
              <w:t>二、项目要求</w:t>
            </w:r>
          </w:p>
          <w:p>
            <w:pPr>
              <w:pStyle w:val="null3"/>
              <w:jc w:val="both"/>
            </w:pPr>
            <w:r>
              <w:rPr>
                <w:rFonts w:ascii="仿宋_GB2312" w:hAnsi="仿宋_GB2312" w:cs="仿宋_GB2312" w:eastAsia="仿宋_GB2312"/>
              </w:rPr>
              <w:t xml:space="preserve">  2.1本次服务主要内容包括：本次采购内容为汉中经开区汉川机床厂家属院老旧小区改造内配套基础设施项目初步设计；所有成果文件必须符合国家相关规范、标准及采购人要求。</w:t>
            </w:r>
          </w:p>
          <w:p>
            <w:pPr>
              <w:pStyle w:val="null3"/>
              <w:jc w:val="both"/>
            </w:pPr>
            <w:r>
              <w:rPr>
                <w:rFonts w:ascii="仿宋_GB2312" w:hAnsi="仿宋_GB2312" w:cs="仿宋_GB2312" w:eastAsia="仿宋_GB2312"/>
              </w:rPr>
              <w:t xml:space="preserve">  2.2设计要求：</w:t>
            </w:r>
          </w:p>
          <w:p>
            <w:pPr>
              <w:pStyle w:val="null3"/>
              <w:jc w:val="both"/>
            </w:pPr>
            <w:r>
              <w:rPr>
                <w:rFonts w:ascii="仿宋_GB2312" w:hAnsi="仿宋_GB2312" w:cs="仿宋_GB2312" w:eastAsia="仿宋_GB2312"/>
              </w:rPr>
              <w:t xml:space="preserve">  （1）初步设计技术经济合理性，明确设计方案与布局，控制项目成本与投资。</w:t>
            </w:r>
          </w:p>
          <w:p>
            <w:pPr>
              <w:pStyle w:val="null3"/>
              <w:jc w:val="both"/>
            </w:pPr>
            <w:r>
              <w:rPr>
                <w:rFonts w:ascii="仿宋_GB2312" w:hAnsi="仿宋_GB2312" w:cs="仿宋_GB2312" w:eastAsia="仿宋_GB2312"/>
              </w:rPr>
              <w:t xml:space="preserve">  （2）完成前期方案设计，按采购人的需求进行初步设计。</w:t>
            </w:r>
          </w:p>
          <w:p>
            <w:pPr>
              <w:pStyle w:val="null3"/>
            </w:pPr>
            <w:r>
              <w:rPr>
                <w:rFonts w:ascii="仿宋_GB2312" w:hAnsi="仿宋_GB2312" w:cs="仿宋_GB2312" w:eastAsia="仿宋_GB2312"/>
              </w:rPr>
              <w:t xml:space="preserve">  （3）对采购人的审核修改意见进行修改、完善，保证其设计意图的最终实现。</w:t>
            </w:r>
          </w:p>
          <w:p>
            <w:pPr>
              <w:pStyle w:val="null3"/>
            </w:pPr>
            <w:r>
              <w:rPr>
                <w:rFonts w:ascii="仿宋_GB2312" w:hAnsi="仿宋_GB2312" w:cs="仿宋_GB2312" w:eastAsia="仿宋_GB2312"/>
              </w:rPr>
              <w:t xml:space="preserve">  （4）根据项目建设进度要求及时提供各阶段报审图纸，协助采购人进行报审工作，根据审查结果进行修改调整，直至审查通过，并最终向采购人提交正式的初步设计文件及批复。</w:t>
            </w:r>
          </w:p>
          <w:p>
            <w:pPr>
              <w:pStyle w:val="null3"/>
            </w:pPr>
            <w:r>
              <w:rPr>
                <w:rFonts w:ascii="仿宋_GB2312" w:hAnsi="仿宋_GB2312" w:cs="仿宋_GB2312" w:eastAsia="仿宋_GB2312"/>
              </w:rPr>
              <w:t xml:space="preserve">  （5）根据采购人要求，及时参加与设计有关的专题会，现场解决技术问题。</w:t>
            </w:r>
          </w:p>
          <w:p>
            <w:pPr>
              <w:pStyle w:val="null3"/>
            </w:pPr>
            <w:r>
              <w:rPr>
                <w:rFonts w:ascii="仿宋_GB2312" w:hAnsi="仿宋_GB2312" w:cs="仿宋_GB2312" w:eastAsia="仿宋_GB2312"/>
              </w:rPr>
              <w:t xml:space="preserve">  （6）提交的设计文件应符合现行规程、规范等要求，并应通过相关部门的审查。</w:t>
            </w:r>
          </w:p>
          <w:p>
            <w:pPr>
              <w:pStyle w:val="null3"/>
            </w:pPr>
            <w:r>
              <w:rPr>
                <w:rFonts w:ascii="仿宋_GB2312" w:hAnsi="仿宋_GB2312" w:cs="仿宋_GB2312" w:eastAsia="仿宋_GB2312"/>
              </w:rPr>
              <w:t xml:space="preserve">  2.3服务工期：自合同签订之日起10天内完成。</w:t>
            </w:r>
          </w:p>
          <w:p>
            <w:pPr>
              <w:pStyle w:val="null3"/>
            </w:pPr>
            <w:r>
              <w:rPr>
                <w:rFonts w:ascii="仿宋_GB2312" w:hAnsi="仿宋_GB2312" w:cs="仿宋_GB2312" w:eastAsia="仿宋_GB2312"/>
              </w:rPr>
              <w:t xml:space="preserve">  2.4质量要求：合格</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提供针对本项目的详细人员配备情况。要求拟派项目成员相关专业人员搭配合理、职能健全，岗位分工明确、职责清晰，包括人员配备情况及水平、人员安排、专业配置、从业经历、参与工作经验等方面，均应满足本项目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提供具有履行本合同所必需的设备。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供应商在磋商报价时，该项目响应总价不得超过项目最高限价，若响应总报价高于最高限价的，其响应文件将按无效处理。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自合同签订之日起10天内完成。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项目所有的服务内容完成后，由采购人根据项目磋商文件、响应文件、项目合同进行验收，检查合同内容完成情况。</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合同签订后，初步设计编制完成，评审通过后7日内支付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以签订的合同为准。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各供应商应根据“陕西省财政厅陕财办采函〔2023〕14号文”《陕西省财政厅关于省级预算单位全面推行政府采购项目电子化交易的通知》“陕西省财政厅陕财办采〔2022〕9号文”《政府采购项目电子化交易规则》等文件的要求，做好人员配备、设施设备、系统操作的相应准备，熟悉并正确实施相关操作流程，承担由于操作或其他因素造成的不利后果。 2、为顺利推进政府采购电子化交易平台应用工作，供应商需要在线提交所有通过电子化交易平台实施的政府采购项目的响应文件，同时，成交供应商领取成交通知书时，应线下提交纸质版响应文件，正本壹份、副本贰套、电子版壹套（U盘）至代理机构。 线上电子响应文件与纸质响应文件一致;若正本和副本不符，以正本为准。 3、落实政府采购政策需满足的资格要求：依据《中华人民共和国政府采购法》和《中华人民共和国政府采购法实施条例》的有关规定，落实政府采购“优先购买节能环保产品、扶持小微企业、监狱企业、福利企业”等相关政策。1）、《政府采购促进中小企业发展管理办法》（财库〔2020〕46号）、《陕西省财政厅关于进一步加大政府采购支持中小企业力度的通知》（陕财办采〔2022〕5号）、《陕西省财政厅关于落实政府采购支持中小企业政策有关事项的通知》（陕财办采〔2022〕10号）、《财政部关于进一步加大政府采购支持中小企业力度》的通知（财库〔2022〕19号）；2）、《财政部司法部关于政府采购支持监狱企业发展有关问题的通知》（财库〔2014〕68号）；3）、《国务院办公厅关于建立政府强制采购节能产品制度的通知》（国办发〔2007〕51号）；4）、《三部门联合发布关于促进残疾人就业政府采购政策的通知》（财库〔2017〕141号）；5）、《财政部发展改革委生态环境部市场监管总局关于调整优化节能产品、环境标志产品政府采购执行机制的通知》（财库〔2019〕9号）；6）、关于印发环境标志产品政府采购品目清单的通知（财库〔2019〕18号）；7）、《关于印发节能产品政府采购品目清单的通知》（财库〔2019〕19号）；8）、《财政部、农业农村部、国家乡村振兴局关于运用政府采购政策支持乡村产业振兴的通知》（财库〔2021〕19号）；9）、《陕西省中小企业政府采购信用融资办法》（陕财办采〔2018〕23号）、陕西省财政厅、中国人民银行西安分行关于深入推进政府采购信用融资业务的通知（陕财办采〔2023〕5号）；10）、《关于政府采购支持绿色建材促进建筑品质提升试点工作的通知》（财库〔2020〕31号）；11）、融资平台：根据《陕西省财政厅关于加快推进我省中小企业政府采购信用融资工作的通知》陕财办采〔2020〕15号文件精神，有融资需求的供应商可根据自身情况，在陕西省政府采购信用融资平台（含各市分平台）自主选择金融机构及其融资产品，凭政府采购中标（成交）通知书或政府采购合同向金融机构提出融资申请；12）、其他需要落实的政府采购政策。</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供应商需在项目电子化交易系统中按要求填写《投标函》、《汉中市政府采购供应商资格承诺函》完成承诺并进行电子签章。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供应商需在项目电子化交易系统中按要求填写《投标函》、《汉中市政府采购供应商资格承诺函》完成承诺并进行电子签章。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法定代表人或授权代表</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委托授权书和授权代表本单位证明（开标前六个月任意一个月的个人养老保险缴纳证明）；法定代表人（主要负责人）亲自参加投标时，应提供法定代表人（主要负责人）身份证明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供应商须具有建设行政主管部门核发的工程设计综合甲级资质或建筑行业设计乙级及以上资质或建筑行业（建筑工程）设计乙级及以上资质；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拟派项目设计负责人须具备国家一级注册建筑师执业资格，在本单位注册（提供开标前六个月任意一个月个人养老保险缴纳证明）；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供应商未列入在信用中国网站“失信被执行人”、“重大税收违法案件当事人名单”中(www.creditchina.gov.cn),也未列入中国政府采购网“政府采购严重违法失信行为记录名单”中(www.ccgp.gov.cn)；</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单位负责人为同一人或者存在直接控股、管理关系的不同供应商，不得参加同一合同包下的政府采购活动；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是否接受联合磋商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政府采购供应商拒绝政府采购领域商业贿赂承诺书.docx 商务要求偏离表.docx 中小企业声明函 残疾人福利性单位声明函 服务方案 标的清单 报价表 采购需求偏离表.docx 响应函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竞争性磋商响应报价</w:t>
            </w:r>
          </w:p>
        </w:tc>
        <w:tc>
          <w:tcPr>
            <w:tcW w:type="dxa" w:w="3322"/>
          </w:tcPr>
          <w:p>
            <w:pPr>
              <w:pStyle w:val="null3"/>
            </w:pPr>
            <w:r>
              <w:rPr>
                <w:rFonts w:ascii="仿宋_GB2312" w:hAnsi="仿宋_GB2312" w:cs="仿宋_GB2312" w:eastAsia="仿宋_GB2312"/>
              </w:rPr>
              <w:t>未超过最高限价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自磋商之日起90个日历日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符合要求</w:t>
            </w:r>
          </w:p>
        </w:tc>
        <w:tc>
          <w:tcPr>
            <w:tcW w:type="dxa" w:w="1661"/>
          </w:tcPr>
          <w:p>
            <w:pPr>
              <w:pStyle w:val="null3"/>
            </w:pPr>
            <w:r>
              <w:rPr>
                <w:rFonts w:ascii="仿宋_GB2312" w:hAnsi="仿宋_GB2312" w:cs="仿宋_GB2312" w:eastAsia="仿宋_GB2312"/>
              </w:rPr>
              <w:t>响应文件封面 政府采购供应商拒绝政府采购领域商业贿赂承诺书.docx 商务要求偏离表.docx 中小企业声明函 残疾人福利性单位声明函 服务方案 标的清单 报价表 采购需求偏离表.docx 响应函 资格证明文件.docx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项目理解及针对本项目的任务分析</w:t>
            </w:r>
          </w:p>
        </w:tc>
        <w:tc>
          <w:tcPr>
            <w:tcW w:type="dxa" w:w="2492"/>
          </w:tcPr>
          <w:p>
            <w:pPr>
              <w:pStyle w:val="null3"/>
            </w:pPr>
            <w:r>
              <w:rPr>
                <w:rFonts w:ascii="仿宋_GB2312" w:hAnsi="仿宋_GB2312" w:cs="仿宋_GB2312" w:eastAsia="仿宋_GB2312"/>
              </w:rPr>
              <w:t>评审内容：①供应商对项目的理解②供应商针对本采购的任务分析 以上内容内容全面、准确、有针对性且符合本项目实际需求得12分，每缺一项扣6分，若上述内容存在瑕疵，每出现1项瑕疵扣1.5分，扣完为止。 注：“瑕疵”指内容明显错误，或内容不完整或缺少关键点，或不适用本项目特性、套用其他项目内容或内容不能满足本项目实际需求等情形。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总体设计思路及方案</w:t>
            </w:r>
          </w:p>
        </w:tc>
        <w:tc>
          <w:tcPr>
            <w:tcW w:type="dxa" w:w="2492"/>
          </w:tcPr>
          <w:p>
            <w:pPr>
              <w:pStyle w:val="null3"/>
            </w:pPr>
            <w:r>
              <w:rPr>
                <w:rFonts w:ascii="仿宋_GB2312" w:hAnsi="仿宋_GB2312" w:cs="仿宋_GB2312" w:eastAsia="仿宋_GB2312"/>
              </w:rPr>
              <w:t>评审内容：①供应商描述总体设计思路②设计方案 以上内容内容全面合理、可实施性强、有针对性且符合本项目实际需求得16分，每缺一项扣8分，若上述内容存在瑕疵，每出现1项瑕疵扣2分，扣完为止。 注：“瑕疵”指内容明显错误，或内容不完整或缺少关键点，或不适用本项目特性、套用其他项目内容或内容不能满足本项目实际需求等情形。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人员配备措施</w:t>
            </w:r>
          </w:p>
        </w:tc>
        <w:tc>
          <w:tcPr>
            <w:tcW w:type="dxa" w:w="2492"/>
          </w:tcPr>
          <w:p>
            <w:pPr>
              <w:pStyle w:val="null3"/>
            </w:pPr>
            <w:r>
              <w:rPr>
                <w:rFonts w:ascii="仿宋_GB2312" w:hAnsi="仿宋_GB2312" w:cs="仿宋_GB2312" w:eastAsia="仿宋_GB2312"/>
              </w:rPr>
              <w:t>评审内容：供应商提供本项目人员配备措施包括①人员组织架构②岗位设置 以上内容内容全面、设计合理、可实施性强且符合本项目实际需求得12分，每缺一项扣6分，若上述内容存在瑕疵，每出现1项瑕疵扣1.5分，扣完为止。 注：“瑕疵”指内容明显错误，或内容不完整或缺少关键点，或不适用本项目特性、套用其他项目内容或内容不能满足本项目实际需求等情形。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进度计划及保障措施</w:t>
            </w:r>
          </w:p>
        </w:tc>
        <w:tc>
          <w:tcPr>
            <w:tcW w:type="dxa" w:w="2492"/>
          </w:tcPr>
          <w:p>
            <w:pPr>
              <w:pStyle w:val="null3"/>
            </w:pPr>
            <w:r>
              <w:rPr>
                <w:rFonts w:ascii="仿宋_GB2312" w:hAnsi="仿宋_GB2312" w:cs="仿宋_GB2312" w:eastAsia="仿宋_GB2312"/>
              </w:rPr>
              <w:t>评审内容：①进度计划②保障措施 以上内容内容全面合理、可实施性强且符合本项目实际需求得8分，每缺一项扣4分，若上述内容存在瑕疵，每出现1项瑕疵扣1分，扣完为止。 注：“瑕疵”指内容明显错误，或内容不完整或缺少关键点，或不适用本项目特性、套用其他项目内容或内容不能满足本项目实际需求等情形。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评审内容：质量保障措施 以上内容内容全面合理、可实施性强且符合本项目实际需求得8分，缺项扣8分，若上述内容存在瑕疵，每出现1项瑕疵扣2分，扣完为止。 注：“瑕疵”指内容明显错误，或内容不完整或缺少关键点，或不适用本项目特性、套用其他项目内容或内容不能满足本项目实际需求等情形。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重难点应对方案</w:t>
            </w:r>
          </w:p>
        </w:tc>
        <w:tc>
          <w:tcPr>
            <w:tcW w:type="dxa" w:w="2492"/>
          </w:tcPr>
          <w:p>
            <w:pPr>
              <w:pStyle w:val="null3"/>
            </w:pPr>
            <w:r>
              <w:rPr>
                <w:rFonts w:ascii="仿宋_GB2312" w:hAnsi="仿宋_GB2312" w:cs="仿宋_GB2312" w:eastAsia="仿宋_GB2312"/>
              </w:rPr>
              <w:t>评审内容：供应商提供针对本项目的设计工作重点、难点分析及解决措施。 以上内容内容全面完整、可实施性强、针对性强且符合本项目实际需求得8分，缺项扣8分，若上述内容存在瑕疵，每出现1项瑕疵扣2分，扣完为止。 注：“瑕疵”指内容明显错误，或内容不完整或缺少关键点，或不适用本项目特性、套用其他项目内容或内容不能满足本项目实际需求等情形。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设计阶段工程造价控制措施</w:t>
            </w:r>
          </w:p>
        </w:tc>
        <w:tc>
          <w:tcPr>
            <w:tcW w:type="dxa" w:w="2492"/>
          </w:tcPr>
          <w:p>
            <w:pPr>
              <w:pStyle w:val="null3"/>
            </w:pPr>
            <w:r>
              <w:rPr>
                <w:rFonts w:ascii="仿宋_GB2312" w:hAnsi="仿宋_GB2312" w:cs="仿宋_GB2312" w:eastAsia="仿宋_GB2312"/>
              </w:rPr>
              <w:t>评审内容：为更好的服务于本项目，供应商提出适用本项目设计阶段工程造价控制措施，①对本项目服务工作中的常见问题进行梳理；②针对问题提供的的造价控制措施。 以上内容内容全面、可实施性强、针对性强且符合本项目实际需求得16分，每缺一项扣8分，若上述内容存在瑕疵，每出现1项瑕疵扣2分，扣完为止。 注：“瑕疵”指内容明显错误，或内容不完整或缺少关键点，或不适用本项目特性、套用其他项目内容或内容不能满足本项目实际需求等情形。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评审内容：供应商提供针对本项目的服务承诺。 以上内容内容完整、可实施性强、针对性强且符合本项目实际需求得6分，缺项扣6分，若上述内容存在瑕疵，每出现1项瑕疵扣1.5分，扣完为止。 注：“瑕疵”指内容明显错误，或内容不完整或缺少关键点，或不适用本项目特性、套用其他项目内容或内容不能满足本项目实际需求等情形。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供应商提供类似项目（建筑工程）设计业绩，1个得2分，最高4分。 注：需提供合同首页、内容页和双方盖章页。以合同为准，内容不清晰，或者资料不全的，不得分。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 经资格审查、符合性审查合格的磋商响应文件，其磋商报价为有效磋商报价，满足磋商文件要求且磋商价格最低的投标报价为评标基准价，其价格分为满分。 价格分按照下列公式计算。 磋商报价得分=（评标基准价/磋商报价）×10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详见附件：采购需求偏离表.docx</w:t>
      </w:r>
    </w:p>
    <w:p>
      <w:pPr>
        <w:pStyle w:val="null3"/>
        <w:ind w:firstLine="960"/>
      </w:pPr>
      <w:r>
        <w:rPr>
          <w:rFonts w:ascii="仿宋_GB2312" w:hAnsi="仿宋_GB2312" w:cs="仿宋_GB2312" w:eastAsia="仿宋_GB2312"/>
        </w:rPr>
        <w:t>详见附件：商务要求偏离表.docx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