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版本号：SXBMSTHZ-JK-00920251229001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汉台区铺镇贺坎片区排水管网建设改造项目初步设计采购项目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SXBMSTHZ-JK-009</w:t>
      </w:r>
      <w:r>
        <w:br/>
      </w:r>
      <w:r>
        <w:br/>
      </w:r>
      <w:r>
        <w:br/>
      </w:r>
    </w:p>
    <w:p>
      <w:pPr>
        <w:pStyle w:val="null3"/>
        <w:jc w:val="center"/>
        <w:outlineLvl w:val="2"/>
      </w:pPr>
      <w:r>
        <w:rPr>
          <w:rFonts w:ascii="仿宋_GB2312" w:hAnsi="仿宋_GB2312" w:cs="仿宋_GB2312" w:eastAsia="仿宋_GB2312"/>
          <w:sz w:val="28"/>
          <w:b/>
        </w:rPr>
        <w:t>汉中经济技术开发区建设管理局</w:t>
      </w:r>
    </w:p>
    <w:p>
      <w:pPr>
        <w:pStyle w:val="null3"/>
        <w:jc w:val="center"/>
        <w:outlineLvl w:val="2"/>
      </w:pPr>
      <w:r>
        <w:rPr>
          <w:rFonts w:ascii="仿宋_GB2312" w:hAnsi="仿宋_GB2312" w:cs="仿宋_GB2312" w:eastAsia="仿宋_GB2312"/>
          <w:sz w:val="28"/>
          <w:b/>
        </w:rPr>
        <w:t>陕西百美圣泰项目管理有限公司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陕西百美圣泰项目管理有限公司</w:t>
      </w:r>
      <w:r>
        <w:rPr>
          <w:rFonts w:ascii="仿宋_GB2312" w:hAnsi="仿宋_GB2312" w:cs="仿宋_GB2312" w:eastAsia="仿宋_GB2312"/>
        </w:rPr>
        <w:t>（以下简称“代理机构”）受</w:t>
      </w:r>
      <w:r>
        <w:rPr>
          <w:rFonts w:ascii="仿宋_GB2312" w:hAnsi="仿宋_GB2312" w:cs="仿宋_GB2312" w:eastAsia="仿宋_GB2312"/>
        </w:rPr>
        <w:t>汉中经济技术开发区建设管理局</w:t>
      </w:r>
      <w:r>
        <w:rPr>
          <w:rFonts w:ascii="仿宋_GB2312" w:hAnsi="仿宋_GB2312" w:cs="仿宋_GB2312" w:eastAsia="仿宋_GB2312"/>
        </w:rPr>
        <w:t>委托，拟对</w:t>
      </w:r>
      <w:r>
        <w:rPr>
          <w:rFonts w:ascii="仿宋_GB2312" w:hAnsi="仿宋_GB2312" w:cs="仿宋_GB2312" w:eastAsia="仿宋_GB2312"/>
        </w:rPr>
        <w:t>汉台区铺镇贺坎片区排水管网建设改造项目初步设计采购项目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SXBMSTHZ-JK-009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汉台区铺镇贺坎片区排水管网建设改造项目初步设计采购项目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本项目拟对汉台区铺镇贺坎片区排水管网建设改造进行初步设计，内含雨水排水工程及其他工程，具体内容详见采购文件。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采购包1（汉台区铺镇贺坎片区排水管网建设改造项目初步设计）：属于专门面向中小企业采购。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证明书及授权书：法定代表人（负责人）委托授权书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p>
      <w:pPr>
        <w:pStyle w:val="null3"/>
      </w:pPr>
      <w:r>
        <w:rPr>
          <w:rFonts w:ascii="仿宋_GB2312" w:hAnsi="仿宋_GB2312" w:cs="仿宋_GB2312" w:eastAsia="仿宋_GB2312"/>
        </w:rPr>
        <w:t>3、供应商资质要求：供应商须具备建设行政主管部门颁发的市政行业(排水工程)专业设计乙级及以上资质或市政行业工程设计乙级及以上资质或工程设计综合资质甲级资质；</w:t>
      </w:r>
    </w:p>
    <w:p>
      <w:pPr>
        <w:pStyle w:val="null3"/>
      </w:pPr>
      <w:r>
        <w:rPr>
          <w:rFonts w:ascii="仿宋_GB2312" w:hAnsi="仿宋_GB2312" w:cs="仿宋_GB2312" w:eastAsia="仿宋_GB2312"/>
        </w:rPr>
        <w:t>4、供应商拟派项目设计负责人：拟派设计项目负责人须具备注册公用设备（给水排水专业）工程师资格或给水排水专业中级及以上职称或二级注册建筑师及以上资格；</w:t>
      </w:r>
    </w:p>
    <w:p>
      <w:pPr>
        <w:pStyle w:val="null3"/>
      </w:pPr>
      <w:r>
        <w:rPr>
          <w:rFonts w:ascii="仿宋_GB2312" w:hAnsi="仿宋_GB2312" w:cs="仿宋_GB2312" w:eastAsia="仿宋_GB2312"/>
        </w:rPr>
        <w:t>5、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6、是否面向中、小企业：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7、控股关系：单位负责人为同一人或者存在直接控股、管理关系的不同供应商，不得参加同一合同项下的磋商活动；</w:t>
      </w:r>
    </w:p>
    <w:p>
      <w:pPr>
        <w:pStyle w:val="null3"/>
      </w:pPr>
      <w:r>
        <w:rPr>
          <w:rFonts w:ascii="仿宋_GB2312" w:hAnsi="仿宋_GB2312" w:cs="仿宋_GB2312" w:eastAsia="仿宋_GB2312"/>
        </w:rPr>
        <w:t>8、其他要求：本项目不接受联合体投标，供应商需提供非联合体书面声明。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汉中经济技术开发区建设管理局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汉中市汉台区天汉大道北段1号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0916-2861636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陕西百美圣泰项目管理有限公司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陕西省汉中市汉台区汉中路街道办事处南关社区竹园华府天玺中心办公楼1613号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0916-8887587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汉中经济技术开发区财政局政府采购管理科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0916-2861802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采购包1：297,200.00元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开户名称：陕西百美圣泰项目管理有限公司</w:t>
            </w:r>
          </w:p>
          <w:p>
            <w:pPr>
              <w:pStyle w:val="null3"/>
            </w:pPr>
            <w:r>
              <w:rPr>
                <w:rFonts w:ascii="仿宋_GB2312" w:hAnsi="仿宋_GB2312" w:cs="仿宋_GB2312" w:eastAsia="仿宋_GB2312"/>
              </w:rPr>
              <w:t>开户银行：中国工商银行股份有限公司汉中汉江路支行</w:t>
            </w:r>
          </w:p>
          <w:p>
            <w:pPr>
              <w:pStyle w:val="null3"/>
            </w:pPr>
            <w:r>
              <w:rPr>
                <w:rFonts w:ascii="仿宋_GB2312" w:hAnsi="仿宋_GB2312" w:cs="仿宋_GB2312" w:eastAsia="仿宋_GB2312"/>
              </w:rPr>
              <w:t>银行账号：2606 0221 0920 0057 213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中标服务费，交费金额参照国家计委颁布的《招标代理服务收费管理暂行办法》（计价格[2002]1980号）及发改办价格[2003]857号文件的规定标准收取。 2、本项目代理服务费按服务计取。3.补充：采用银行转账递交投标保证金时，须通过投标人开户银行基本户转入指定账户，投标保证金转账凭证需扫描至响应文件中，请供应商备注清楚项目全称或简称或SXBMSTHZ-JK-009投标保证金；采用银行保函形式提交投标保证金的，需将银行保函扫描件附投标文件内，原件开标现场查验，其中所需费用投标人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汉中经济技术开发区建设管理局</w:t>
      </w:r>
      <w:r>
        <w:rPr>
          <w:rFonts w:ascii="仿宋_GB2312" w:hAnsi="仿宋_GB2312" w:cs="仿宋_GB2312" w:eastAsia="仿宋_GB2312"/>
        </w:rPr>
        <w:t>和</w:t>
      </w:r>
      <w:r>
        <w:rPr>
          <w:rFonts w:ascii="仿宋_GB2312" w:hAnsi="仿宋_GB2312" w:cs="仿宋_GB2312" w:eastAsia="仿宋_GB2312"/>
        </w:rPr>
        <w:t>陕西百美圣泰项目管理有限公司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汉中经济技术开发区建设管理局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陕西百美圣泰项目管理有限公司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汉中经济技术开发区建设管理局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陕西百美圣泰项目管理有限公司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陕西百美圣泰项目管理有限公司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陕西百美圣泰项目管理有限公司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陕西百美圣泰项目管理有限公司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联系电话：0916-8887587</w:t>
      </w:r>
    </w:p>
    <w:p>
      <w:pPr>
        <w:pStyle w:val="null3"/>
      </w:pPr>
      <w:r>
        <w:rPr>
          <w:rFonts w:ascii="仿宋_GB2312" w:hAnsi="仿宋_GB2312" w:cs="仿宋_GB2312" w:eastAsia="仿宋_GB2312"/>
        </w:rPr>
        <w:t>地址：陕西省汉中市汉台区陕西省汉中市汉台区汉中路街道办事处南关社区竹园华府天玺中心办公楼1613号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本项目拟对汉台区铺镇贺坎片区排水管网建设改造进行初步设计，内含雨水排水工程及其他工程，具体内容详见采购文件。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297,200.00</w:t>
      </w:r>
    </w:p>
    <w:p>
      <w:pPr>
        <w:pStyle w:val="null3"/>
      </w:pPr>
      <w:r>
        <w:rPr>
          <w:rFonts w:ascii="仿宋_GB2312" w:hAnsi="仿宋_GB2312" w:cs="仿宋_GB2312" w:eastAsia="仿宋_GB2312"/>
        </w:rPr>
        <w:t>采购包最高限价（元）: 297,200.00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汉台区铺镇贺坎片区排水管网建设改造项目初步设计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标的名称：汉台区铺镇贺坎片区排水管网建设改造项目初步设计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一、服务规模及范围：雨水排水工程:敷设DN400-DN1200雨水主管网5150米，建设钢筋混凝土雨水检查井136座，预制混凝土雨水口228座，主管管材选用HDPE 钢塑复合缠绕管，同时建设DN300钢筋混凝土雨水口连接管1882米，更换破损井盖12个。污水排水工程:本次敷设DN400-DN800污水主干管1657米，建设钢筋混凝土污水检查井55座，主管管材选用HDPE钢塑复合缠绕管。其他工程:恢复片区管网改造建设破除道路22930平方米。</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1、设计理念先进；</w:t>
            </w:r>
          </w:p>
          <w:p>
            <w:pPr>
              <w:pStyle w:val="null3"/>
            </w:pPr>
            <w:r>
              <w:rPr>
                <w:rFonts w:ascii="仿宋_GB2312" w:hAnsi="仿宋_GB2312" w:cs="仿宋_GB2312" w:eastAsia="仿宋_GB2312"/>
              </w:rPr>
              <w:t>2、设计方案应充分与现场实际情况相符合，方案科学、合理；</w:t>
            </w:r>
          </w:p>
          <w:p>
            <w:pPr>
              <w:pStyle w:val="null3"/>
            </w:pPr>
            <w:r>
              <w:rPr>
                <w:rFonts w:ascii="仿宋_GB2312" w:hAnsi="仿宋_GB2312" w:cs="仿宋_GB2312" w:eastAsia="仿宋_GB2312"/>
              </w:rPr>
              <w:t>3、各阶段服务成果应满足国家及地方现行规范规定及采购人要求。</w:t>
            </w:r>
          </w:p>
          <w:p>
            <w:pPr>
              <w:pStyle w:val="null3"/>
            </w:pPr>
            <w:r>
              <w:rPr>
                <w:rFonts w:ascii="仿宋_GB2312" w:hAnsi="仿宋_GB2312" w:cs="仿宋_GB2312" w:eastAsia="仿宋_GB2312"/>
              </w:rPr>
              <w:t>4、适用规范标准</w:t>
            </w:r>
          </w:p>
          <w:p>
            <w:pPr>
              <w:pStyle w:val="null3"/>
            </w:pPr>
            <w:r>
              <w:rPr>
                <w:rFonts w:ascii="仿宋_GB2312" w:hAnsi="仿宋_GB2312" w:cs="仿宋_GB2312" w:eastAsia="仿宋_GB2312"/>
              </w:rPr>
              <w:t>4.1设计过程和成果必须符合国家有关工程建设标准强制性条文和现行的标准、规范、规程、定额、办法、示例以及招标项目所在地关于设计方面的文件、规定。</w:t>
            </w:r>
          </w:p>
          <w:p>
            <w:pPr>
              <w:pStyle w:val="null3"/>
            </w:pPr>
            <w:r>
              <w:rPr>
                <w:rFonts w:ascii="仿宋_GB2312" w:hAnsi="仿宋_GB2312" w:cs="仿宋_GB2312" w:eastAsia="仿宋_GB2312"/>
              </w:rPr>
              <w:t>4.2供应商在设计工作中使用标准、规范以外的技术标准、规范时，应征得采购人的同意。</w:t>
            </w:r>
          </w:p>
          <w:p>
            <w:pPr>
              <w:pStyle w:val="null3"/>
            </w:pPr>
            <w:r>
              <w:rPr>
                <w:rFonts w:ascii="仿宋_GB2312" w:hAnsi="仿宋_GB2312" w:cs="仿宋_GB2312" w:eastAsia="仿宋_GB2312"/>
              </w:rPr>
              <w:t>4.3设计过程中，如果国家或有关部门颁布了新的技术标准或规范，则投标供应商应采用新的标准或规范进行设计。</w:t>
            </w:r>
          </w:p>
          <w:p>
            <w:pPr>
              <w:pStyle w:val="null3"/>
            </w:pPr>
            <w:r>
              <w:rPr>
                <w:rFonts w:ascii="仿宋_GB2312" w:hAnsi="仿宋_GB2312" w:cs="仿宋_GB2312" w:eastAsia="仿宋_GB2312"/>
              </w:rPr>
              <w:t>4.4供应商在设计工作中必须使用中华人民共和国《工程建设标准强制性条文》。</w:t>
            </w:r>
          </w:p>
          <w:p>
            <w:pPr>
              <w:pStyle w:val="null3"/>
            </w:pPr>
            <w:r>
              <w:rPr>
                <w:rFonts w:ascii="仿宋_GB2312" w:hAnsi="仿宋_GB2312" w:cs="仿宋_GB2312" w:eastAsia="仿宋_GB2312"/>
              </w:rPr>
              <w:t>三、成果交付要求</w:t>
            </w:r>
          </w:p>
          <w:p>
            <w:pPr>
              <w:pStyle w:val="null3"/>
            </w:pPr>
            <w:r>
              <w:rPr>
                <w:rFonts w:ascii="仿宋_GB2312" w:hAnsi="仿宋_GB2312" w:cs="仿宋_GB2312" w:eastAsia="仿宋_GB2312"/>
              </w:rPr>
              <w:t>1、设计服务：供应商必须自行完成本项目所需的设计服务，严禁转包、分包，拟派设计负责人应在服务周期内保持稳定。</w:t>
            </w:r>
          </w:p>
          <w:p>
            <w:pPr>
              <w:pStyle w:val="null3"/>
            </w:pPr>
            <w:r>
              <w:rPr>
                <w:rFonts w:ascii="仿宋_GB2312" w:hAnsi="仿宋_GB2312" w:cs="仿宋_GB2312" w:eastAsia="仿宋_GB2312"/>
              </w:rPr>
              <w:t>2、总体规划设计方案：设计单位必须清楚了解设计范围及采购方功能定位、进度及造价控制等方面的相关要求；设计单位在概念设计阶段需对设计理念、构思、表现手法特点进行阐述；对空间功能、人流组织、平面布局等提供分析图、效果图；设计单位就概念设计方案提供相应的设计估算。</w:t>
            </w:r>
          </w:p>
          <w:p>
            <w:pPr>
              <w:pStyle w:val="null3"/>
            </w:pPr>
            <w:r>
              <w:rPr>
                <w:rFonts w:ascii="仿宋_GB2312" w:hAnsi="仿宋_GB2312" w:cs="仿宋_GB2312" w:eastAsia="仿宋_GB2312"/>
              </w:rPr>
              <w:t>3、总体规划设计要求：本项目应以节约、经济适用、安全环保为设计原则。</w:t>
            </w:r>
          </w:p>
          <w:p>
            <w:pPr>
              <w:pStyle w:val="null3"/>
            </w:pPr>
            <w:r>
              <w:rPr>
                <w:rFonts w:ascii="仿宋_GB2312" w:hAnsi="仿宋_GB2312" w:cs="仿宋_GB2312" w:eastAsia="仿宋_GB2312"/>
              </w:rPr>
              <w:t>4、图纸设计比例和设计图幅必须符合正常需求的同时，更便于使用。</w:t>
            </w:r>
          </w:p>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1、违约责任</w:t>
            </w:r>
          </w:p>
          <w:p>
            <w:pPr>
              <w:pStyle w:val="null3"/>
            </w:pPr>
            <w:r>
              <w:rPr>
                <w:rFonts w:ascii="仿宋_GB2312" w:hAnsi="仿宋_GB2312" w:cs="仿宋_GB2312" w:eastAsia="仿宋_GB2312"/>
              </w:rPr>
              <w:t>1、依据《中华人民共和国民法典》、《中华人民共和国政府采购法》的相关条款和本合同约定的相关条款执行。</w:t>
            </w:r>
          </w:p>
          <w:p>
            <w:pPr>
              <w:pStyle w:val="null3"/>
            </w:pPr>
            <w:r>
              <w:rPr>
                <w:rFonts w:ascii="仿宋_GB2312" w:hAnsi="仿宋_GB2312" w:cs="仿宋_GB2312" w:eastAsia="仿宋_GB2312"/>
              </w:rPr>
              <w:t>2、成交人未按合同要求履行，不符合采购技术要求，成交人必须无条件更换人员或设备，提高技术，完善质量，否则，采购人有权终止合同，并对成交人的违约行为进行追究并依法向成交人进行经济索赔。</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满足项目人员配备要求；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根据项目实际情况提供实施设备；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质量：符合国家、行业要求，达到合格标准；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乙方提交成果文件并经甲方确认无误（具体以资金到达、采购合同为准）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供应商在缴纳保证金时应注明项目名称，缴纳凭证扫描件需附在磋商响应文件中。2、因本项目为不见面开标，供应商无需在开标现场提交纸质响应文件，待采购结果发布后3个工作日内由中标供应商向代理机构提交纸质版响应文件以便于存档，响应文件包括:正本一份、副本二份，电子版U盘二份 (含响应文件全部内容)。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负责人）委托授权书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供应商须具备建设行政主管部门颁发的市政行业(排水工程)专业设计乙级及以上资质或市政行业工程设计乙级及以上资质或工程设计综合资质甲级资质；</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供应商拟派项目设计负责人</w:t>
            </w:r>
          </w:p>
        </w:tc>
        <w:tc>
          <w:tcPr>
            <w:tcW w:type="dxa" w:w="3322"/>
          </w:tcPr>
          <w:p>
            <w:pPr>
              <w:pStyle w:val="null3"/>
            </w:pPr>
            <w:r>
              <w:rPr>
                <w:rFonts w:ascii="仿宋_GB2312" w:hAnsi="仿宋_GB2312" w:cs="仿宋_GB2312" w:eastAsia="仿宋_GB2312"/>
              </w:rPr>
              <w:t>拟派设计项目负责人须具备注册公用设备（给水排水专业）工程师资格或给水排水专业中级及以上职称或二级注册建筑师及以上资格；</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单位负责人为同一人或者存在直接控股、管理关系的不同供应商，不得参加同一合同项下的磋商活动；</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保证金格式.docx 报价表 项目服务实施方案.docx 响应文件封面 供应商应提交的相关资格证明材料.docx 残疾人福利性单位声明函 标的清单 响应函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响应文件是否按磋商文件要求签署、盖章</w:t>
            </w:r>
          </w:p>
        </w:tc>
        <w:tc>
          <w:tcPr>
            <w:tcW w:type="dxa" w:w="1661"/>
          </w:tcPr>
          <w:p>
            <w:pPr>
              <w:pStyle w:val="null3"/>
            </w:pPr>
            <w:r>
              <w:rPr>
                <w:rFonts w:ascii="仿宋_GB2312" w:hAnsi="仿宋_GB2312" w:cs="仿宋_GB2312" w:eastAsia="仿宋_GB2312"/>
              </w:rPr>
              <w:t>服务内容及服务邀请应答表 中小企业声明函 商务应答表 保证金格式.docx 报价表 项目服务实施方案.docx 响应文件封面 供应商应提交的相关资格证明材料.docx 残疾人福利性单位声明函 标的清单 响应函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响应文件报价有效及唯一性</w:t>
            </w:r>
          </w:p>
        </w:tc>
        <w:tc>
          <w:tcPr>
            <w:tcW w:type="dxa" w:w="3322"/>
          </w:tcPr>
          <w:p>
            <w:pPr>
              <w:pStyle w:val="null3"/>
            </w:pPr>
            <w:r>
              <w:rPr>
                <w:rFonts w:ascii="仿宋_GB2312" w:hAnsi="仿宋_GB2312" w:cs="仿宋_GB2312" w:eastAsia="仿宋_GB2312"/>
              </w:rPr>
              <w:t>响应文件报价唯一，且没有高于项目预算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磋商保证金提交的金额、形式符合磋商文件要求</w:t>
            </w:r>
          </w:p>
        </w:tc>
        <w:tc>
          <w:tcPr>
            <w:tcW w:type="dxa" w:w="1661"/>
          </w:tcPr>
          <w:p>
            <w:pPr>
              <w:pStyle w:val="null3"/>
            </w:pPr>
            <w:r>
              <w:rPr>
                <w:rFonts w:ascii="仿宋_GB2312" w:hAnsi="仿宋_GB2312" w:cs="仿宋_GB2312" w:eastAsia="仿宋_GB2312"/>
              </w:rPr>
              <w:t>供应商应提交的相关资格证明材料.docx 保证金格式.docx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服务内容及服务邀请应答表 商务应答表 标的清单 报价表 响应函 项目服务实施方案.docx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供应商提供自2022年12月1日至本项目响应文件递交截止时间前的类似业绩证明材料，每提供1项得2.5分，最多得5分。未提供的不得分。 评审依据：提供合同的复印件或扫描件加盖公章，时间以合同签订时间为准。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类似业绩.docx</w:t>
            </w:r>
          </w:p>
        </w:tc>
      </w:tr>
      <w:tr>
        <w:tc>
          <w:tcPr>
            <w:tcW w:type="dxa" w:w="831"/>
            <w:vMerge/>
          </w:tcPr>
          <w:p/>
        </w:tc>
        <w:tc>
          <w:tcPr>
            <w:tcW w:type="dxa" w:w="1661"/>
          </w:tcPr>
          <w:p>
            <w:pPr>
              <w:pStyle w:val="null3"/>
            </w:pPr>
            <w:r>
              <w:rPr>
                <w:rFonts w:ascii="仿宋_GB2312" w:hAnsi="仿宋_GB2312" w:cs="仿宋_GB2312" w:eastAsia="仿宋_GB2312"/>
              </w:rPr>
              <w:t>拟派项目设计负责人职称</w:t>
            </w:r>
          </w:p>
        </w:tc>
        <w:tc>
          <w:tcPr>
            <w:tcW w:type="dxa" w:w="2492"/>
          </w:tcPr>
          <w:p>
            <w:pPr>
              <w:pStyle w:val="null3"/>
            </w:pPr>
            <w:r>
              <w:rPr>
                <w:rFonts w:ascii="仿宋_GB2312" w:hAnsi="仿宋_GB2312" w:cs="仿宋_GB2312" w:eastAsia="仿宋_GB2312"/>
              </w:rPr>
              <w:t>拟派项目设计负责人具备高级职称的得5分；中级职称得3分；其余情况不得分。（职称专业需为市政工程、给排水等相关专业） 评审依据：评审时以供应商提供的加盖供应商公章的拟派项目设计负责人最高职称证书的扫描件或复印件为准，提供多个职称证明材料的，以最高职称材料为准，未提供的不得分。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拟派项目设计负责人工作年限</w:t>
            </w:r>
          </w:p>
        </w:tc>
        <w:tc>
          <w:tcPr>
            <w:tcW w:type="dxa" w:w="2492"/>
          </w:tcPr>
          <w:p>
            <w:pPr>
              <w:pStyle w:val="null3"/>
            </w:pPr>
            <w:r>
              <w:rPr>
                <w:rFonts w:ascii="仿宋_GB2312" w:hAnsi="仿宋_GB2312" w:cs="仿宋_GB2312" w:eastAsia="仿宋_GB2312"/>
              </w:rPr>
              <w:t>拟派项目设计负责人具有3年及以上工作经历的得3分；2年及以上，但在3年以下的得2分；1年及以上，但在2年以下的得1分；1年以下的得0.5分。 评审依据：以供应商提供的加盖公章的拟派项目设计负责人相关证书的扫描件或复印件为准，时间计算为发证之日起至今，未提供的不得分（相关证件为注册公用设备（给水排水专业）工程师证书，给水排水专业职称证书，注册建筑师证书；如投标人同时提供多个证书，以发证时间最早的证书计算）。</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根据供应商提供的项目设计服务方案（包括但不限于①设计服务方案总体思路②各专项思路③工作计划及流程④技术路线及技术方法等）进行评审：</w:t>
            </w:r>
          </w:p>
        </w:tc>
        <w:tc>
          <w:tcPr>
            <w:tcW w:type="dxa" w:w="2492"/>
          </w:tcPr>
          <w:p>
            <w:pPr>
              <w:pStyle w:val="null3"/>
            </w:pPr>
            <w:r>
              <w:rPr>
                <w:rFonts w:ascii="仿宋_GB2312" w:hAnsi="仿宋_GB2312" w:cs="仿宋_GB2312" w:eastAsia="仿宋_GB2312"/>
              </w:rPr>
              <w:t>根据设计服务方案的完整性、内容表述清晰程度，各项内容的准确性、针对性及可操作性等角度考量，最高得12分；若上述内容存在缺陷，每出现一处缺陷扣1分，扣完为止。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根据供应商提供针对本项目质量保证措施（内容包括：①质量控制的程序②质量控制措施③质量保证体系等）进行评审：</w:t>
            </w:r>
          </w:p>
        </w:tc>
        <w:tc>
          <w:tcPr>
            <w:tcW w:type="dxa" w:w="2492"/>
          </w:tcPr>
          <w:p>
            <w:pPr>
              <w:pStyle w:val="null3"/>
            </w:pPr>
            <w:r>
              <w:rPr>
                <w:rFonts w:ascii="仿宋_GB2312" w:hAnsi="仿宋_GB2312" w:cs="仿宋_GB2312" w:eastAsia="仿宋_GB2312"/>
              </w:rPr>
              <w:t>根据质量保证措施各项内容的准确性、针对性及可操作性等角度考量，最高得9分；若上述内容存在缺陷，每出现一处缺陷扣1分，扣完为止。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根据供应商提供的拟投入本项目实施服务人员情况（内容包含但不限于①人员的结构②人员配置分工③人员信息④人员稳定性保障等）进行评审：</w:t>
            </w:r>
          </w:p>
        </w:tc>
        <w:tc>
          <w:tcPr>
            <w:tcW w:type="dxa" w:w="2492"/>
          </w:tcPr>
          <w:p>
            <w:pPr>
              <w:pStyle w:val="null3"/>
            </w:pPr>
            <w:r>
              <w:rPr>
                <w:rFonts w:ascii="仿宋_GB2312" w:hAnsi="仿宋_GB2312" w:cs="仿宋_GB2312" w:eastAsia="仿宋_GB2312"/>
              </w:rPr>
              <w:t>根据拟投入人员结构是否合理，岗位职责分配的明确程度，是否能够满足项目需求及安排合理等角度考量，最高得9分；若上述内容存在缺陷，每出现一处缺陷扣1分，扣完为止。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根据供应商提供针对本项目的实施进度安排保证措施（包含①总体计划安排②各专项任务的衔接③提供成果时间节点等进度计划④进度保证措施等）进行评审：</w:t>
            </w:r>
          </w:p>
        </w:tc>
        <w:tc>
          <w:tcPr>
            <w:tcW w:type="dxa" w:w="2492"/>
          </w:tcPr>
          <w:p>
            <w:pPr>
              <w:pStyle w:val="null3"/>
            </w:pPr>
            <w:r>
              <w:rPr>
                <w:rFonts w:ascii="仿宋_GB2312" w:hAnsi="仿宋_GB2312" w:cs="仿宋_GB2312" w:eastAsia="仿宋_GB2312"/>
              </w:rPr>
              <w:t>根据进度保证方案的完整性、内容表述清晰程度，各项内容的准确性、针对性及可操作性等角度考量，最高得9分；若上述内容存在缺陷，每出现一处缺陷扣1分，扣完为止。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根据供应商提供针对本项目需求提供项目重点难点分析（包括但不限于①工作的重点、难点的认识②对关键环节的分析③采取的针对性措施等）进行评审：</w:t>
            </w:r>
          </w:p>
        </w:tc>
        <w:tc>
          <w:tcPr>
            <w:tcW w:type="dxa" w:w="2492"/>
          </w:tcPr>
          <w:p>
            <w:pPr>
              <w:pStyle w:val="null3"/>
            </w:pPr>
            <w:r>
              <w:rPr>
                <w:rFonts w:ascii="仿宋_GB2312" w:hAnsi="仿宋_GB2312" w:cs="仿宋_GB2312" w:eastAsia="仿宋_GB2312"/>
              </w:rPr>
              <w:t>根据项目重点难点分析的合理性、内容表述清晰程度、针对性及全面性等角度考量，最高得9分；若上述内容存在缺陷，每出现一处缺陷扣1分，扣完为止。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根据供应商提供的突发环境事件应急预案（内容包含：①突发环境事件应急处理小组及人员分工；②突发环境事件防范；③可能突发的事件及处理；④突发事件应急措施）进行评审：</w:t>
            </w:r>
          </w:p>
        </w:tc>
        <w:tc>
          <w:tcPr>
            <w:tcW w:type="dxa" w:w="2492"/>
          </w:tcPr>
          <w:p>
            <w:pPr>
              <w:pStyle w:val="null3"/>
            </w:pPr>
            <w:r>
              <w:rPr>
                <w:rFonts w:ascii="仿宋_GB2312" w:hAnsi="仿宋_GB2312" w:cs="仿宋_GB2312" w:eastAsia="仿宋_GB2312"/>
              </w:rPr>
              <w:t>根据应急预案的完整性、内容表述清晰程度，各项内容的准确性、针对性及可操作性等角度考量，最高得8分；若上述内容存在缺陷，每出现一处缺陷扣1分，扣完为止。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根据供应商提供的后续服务响应情况（内容包含对①后期服务响应方案；②服务承诺；③对后续服务工作进度、人员；④后续服务技术支持；⑤服务措施；⑥提供增值服务）进行评审：</w:t>
            </w:r>
          </w:p>
        </w:tc>
        <w:tc>
          <w:tcPr>
            <w:tcW w:type="dxa" w:w="2492"/>
          </w:tcPr>
          <w:p>
            <w:pPr>
              <w:pStyle w:val="null3"/>
            </w:pPr>
            <w:r>
              <w:rPr>
                <w:rFonts w:ascii="仿宋_GB2312" w:hAnsi="仿宋_GB2312" w:cs="仿宋_GB2312" w:eastAsia="仿宋_GB2312"/>
              </w:rPr>
              <w:t>根据后续服务响应内容的完整性、内容表述清晰程度，各项内容的准确性、针对性及可操作性等角度考量，最高得9分；若上述内容存在缺陷，每出现一处缺陷扣1分，扣完为止。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根据供应商提供针对本项目的服务质量承诺（包含1.处理问题的响应时间承诺；2.协助采购人开展后续相关服务工作承诺；3.进度计划跟进承诺等）进行评审：</w:t>
            </w:r>
          </w:p>
        </w:tc>
        <w:tc>
          <w:tcPr>
            <w:tcW w:type="dxa" w:w="2492"/>
          </w:tcPr>
          <w:p>
            <w:pPr>
              <w:pStyle w:val="null3"/>
            </w:pPr>
            <w:r>
              <w:rPr>
                <w:rFonts w:ascii="仿宋_GB2312" w:hAnsi="仿宋_GB2312" w:cs="仿宋_GB2312" w:eastAsia="仿宋_GB2312"/>
              </w:rPr>
              <w:t>①提供承诺函得3分，格式自拟。②在提供承诺函的基础上，根据供应商提供的服务质量承诺内容是否全面完善、考虑周全、切实可行，是否完全满足采购人实际需求等角度考量，最高得4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根据供应商提供针对本项目的合理化建议进行评审：</w:t>
            </w:r>
          </w:p>
        </w:tc>
        <w:tc>
          <w:tcPr>
            <w:tcW w:type="dxa" w:w="2492"/>
          </w:tcPr>
          <w:p>
            <w:pPr>
              <w:pStyle w:val="null3"/>
            </w:pPr>
            <w:r>
              <w:rPr>
                <w:rFonts w:ascii="仿宋_GB2312" w:hAnsi="仿宋_GB2312" w:cs="仿宋_GB2312" w:eastAsia="仿宋_GB2312"/>
              </w:rPr>
              <w:t>根据合理化建议内容的完整性、清晰程度，各项内容的准确性、针对性及贴合性等角度考量，最高得5分；若上述内容存在缺陷，每出现一处缺陷扣1分，扣完为止。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项目服务实施方案.docx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磋商报价采用低价优先法计算，即满足竞争性磋商文件要求且最后磋商总报价最低的报价为评审基准价，其价格分为满分。其他供应商的价格分统一按照下列公式计算： 磋商报价得分=（评审基准价/最后磋商总报价）×10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详见附件：项目服务实施方案.docx</w:t>
      </w:r>
    </w:p>
    <w:p>
      <w:pPr>
        <w:pStyle w:val="null3"/>
        <w:ind w:firstLine="960"/>
      </w:pPr>
      <w:r>
        <w:rPr>
          <w:rFonts w:ascii="仿宋_GB2312" w:hAnsi="仿宋_GB2312" w:cs="仿宋_GB2312" w:eastAsia="仿宋_GB2312"/>
        </w:rPr>
        <w:t>详见附件：保证金格式.docx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