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版本号：FMY-ZBDL-2026-00620260319001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汉中经开区城市更新规划编制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FMY-ZBDL-2026-006</w:t>
      </w:r>
      <w:r>
        <w:br/>
      </w:r>
      <w:r>
        <w:br/>
      </w:r>
      <w:r>
        <w:br/>
      </w:r>
    </w:p>
    <w:p>
      <w:pPr>
        <w:pStyle w:val="null3"/>
        <w:jc w:val="center"/>
        <w:outlineLvl w:val="2"/>
      </w:pPr>
      <w:r>
        <w:rPr>
          <w:rFonts w:ascii="仿宋_GB2312" w:hAnsi="仿宋_GB2312" w:cs="仿宋_GB2312" w:eastAsia="仿宋_GB2312"/>
          <w:sz w:val="28"/>
          <w:b/>
        </w:rPr>
        <w:t>汉中经济技术开发区建设管理局</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汉中经济技术开发区建设管理局</w:t>
      </w:r>
      <w:r>
        <w:rPr>
          <w:rFonts w:ascii="仿宋_GB2312" w:hAnsi="仿宋_GB2312" w:cs="仿宋_GB2312" w:eastAsia="仿宋_GB2312"/>
        </w:rPr>
        <w:t>委托，拟对</w:t>
      </w:r>
      <w:r>
        <w:rPr>
          <w:rFonts w:ascii="仿宋_GB2312" w:hAnsi="仿宋_GB2312" w:cs="仿宋_GB2312" w:eastAsia="仿宋_GB2312"/>
        </w:rPr>
        <w:t>汉中经开区城市更新规划编制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FMY-ZBDL-2026-006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汉中经开区城市更新规划编制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推动汉中经开区实现功能完善、品质提升与可持续发展，本项目将依据《陕西省城市更新规划编制导则》，科学编制《汉中经开区城市更新专项规划（2026-2030年）》。专项规划将落实国家和省市城市体检规定，围绕生态宜居、健康舒适、风貌特色、多元包容等维度，对更新范围进行精准调研评估，确保规划与全市国民经济和社会发展规划深度衔接，明确更新目标、优化功能结构、完善规划布局、塑造特色风貌、补齐公共设施短板，为经开区的高质量更新提供坚实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采购包1（汉中经开区城市更新规划编制）：属于专门面向中小企业采购。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或授权代表：法定代表人（主要负责人）委托代理人参加投标时，应提供法定代表人（主要负责人）委托授权书和授权代表本单位证明（开标前六个月任意一个月的个人养老保险缴纳证明）；法定代表人（主要负责人）亲自参加投标时，应提供法定代表人（主要负责人）身份证明书。</w:t>
      </w:r>
    </w:p>
    <w:p>
      <w:pPr>
        <w:pStyle w:val="null3"/>
      </w:pPr>
      <w:r>
        <w:rPr>
          <w:rFonts w:ascii="仿宋_GB2312" w:hAnsi="仿宋_GB2312" w:cs="仿宋_GB2312" w:eastAsia="仿宋_GB2312"/>
        </w:rPr>
        <w:t>3、企业资质：供应商应具备行政主管部门颁发的城乡规划编制乙级及以上资质。</w:t>
      </w:r>
    </w:p>
    <w:p>
      <w:pPr>
        <w:pStyle w:val="null3"/>
      </w:pPr>
      <w:r>
        <w:rPr>
          <w:rFonts w:ascii="仿宋_GB2312" w:hAnsi="仿宋_GB2312" w:cs="仿宋_GB2312" w:eastAsia="仿宋_GB2312"/>
        </w:rPr>
        <w:t>4、项目负责人：拟派项目负责人具备注册城乡规划师资格，在本单位注册（提供开标前六个月任意一个月个人养老保险缴纳证明）。</w:t>
      </w:r>
    </w:p>
    <w:p>
      <w:pPr>
        <w:pStyle w:val="null3"/>
      </w:pPr>
      <w:r>
        <w:rPr>
          <w:rFonts w:ascii="仿宋_GB2312" w:hAnsi="仿宋_GB2312" w:cs="仿宋_GB2312" w:eastAsia="仿宋_GB2312"/>
        </w:rPr>
        <w:t>5、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7、本项目不接受联合体磋商：本项目不接受联合体磋商，供应商应提供《非联合体磋商声明》，视为独立磋商。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汉中经济技术开发区建设管理局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汉中市汉台区天汉大道北段1号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汉中经济技术开发区建设管理局经办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0916-2861636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陕西省西安市新城区长乐中路金花新都汇A座701室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杨海蜂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19371441421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汉中经济技术开发区财政局政府采购管理科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0916-2861802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计取，定额收取陆仟伍佰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汉中经济技术开发区建设管理局</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汉中经济技术开发区建设管理局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汉中经济技术开发区建设管理局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陕西方铭壹工程项目管理有限公司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按照《财政部关于进一步加强政府采购需求和履约验收管理的指导意见》(财库(2016)205号)的要求进行验收。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联系人：杨海蜂</w:t>
      </w:r>
    </w:p>
    <w:p>
      <w:pPr>
        <w:pStyle w:val="null3"/>
      </w:pPr>
      <w:r>
        <w:rPr>
          <w:rFonts w:ascii="仿宋_GB2312" w:hAnsi="仿宋_GB2312" w:cs="仿宋_GB2312" w:eastAsia="仿宋_GB2312"/>
        </w:rPr>
        <w:t>联系电话：19371441421</w:t>
      </w:r>
    </w:p>
    <w:p>
      <w:pPr>
        <w:pStyle w:val="null3"/>
      </w:pPr>
      <w:r>
        <w:rPr>
          <w:rFonts w:ascii="仿宋_GB2312" w:hAnsi="仿宋_GB2312" w:cs="仿宋_GB2312" w:eastAsia="仿宋_GB2312"/>
        </w:rPr>
        <w:t>地址：陕西省西安市新城区长乐中路金花新都汇A座701室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推动汉中经开区实现功能完善、品质提升与可持续发展，本项目将依据《陕西省城市更新规划编制导则》，科学编制《汉中经开区城市更新专项规划（2026-2030年）》。专项规划将落实国家和省市城市体检规定，围绕生态宜居、健康舒适、风貌特色、多元包容等维度，对更新范围进行精准调研评估，确保规划与全市国民经济和社会发展规划深度衔接，明确更新目标、优化功能结构、完善规划布局、塑造特色风貌、补齐公共设施短板，为经开区的高质量更新提供坚实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汉中经开区城市更新规划编制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标的名称：汉中经开区城市更新规划编制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一、进度计划</w:t>
            </w:r>
          </w:p>
          <w:p>
            <w:pPr>
              <w:pStyle w:val="null3"/>
              <w:ind w:firstLine="420"/>
              <w:jc w:val="both"/>
            </w:pPr>
            <w:r>
              <w:rPr>
                <w:rFonts w:ascii="仿宋_GB2312" w:hAnsi="仿宋_GB2312" w:cs="仿宋_GB2312" w:eastAsia="仿宋_GB2312"/>
                <w:sz w:val="21"/>
              </w:rPr>
              <w:t>第一阶段：资料收集和调研，重点进行规划编制基础资料收集梳理。</w:t>
            </w:r>
          </w:p>
          <w:p>
            <w:pPr>
              <w:pStyle w:val="null3"/>
              <w:ind w:firstLine="420"/>
              <w:jc w:val="both"/>
            </w:pPr>
            <w:r>
              <w:rPr>
                <w:rFonts w:ascii="仿宋_GB2312" w:hAnsi="仿宋_GB2312" w:cs="仿宋_GB2312" w:eastAsia="仿宋_GB2312"/>
                <w:sz w:val="21"/>
              </w:rPr>
              <w:t>第二阶段：形成城市更新</w:t>
            </w:r>
            <w:r>
              <w:rPr>
                <w:rFonts w:ascii="仿宋_GB2312" w:hAnsi="仿宋_GB2312" w:cs="仿宋_GB2312" w:eastAsia="仿宋_GB2312"/>
                <w:sz w:val="21"/>
              </w:rPr>
              <w:t>专项</w:t>
            </w:r>
            <w:r>
              <w:rPr>
                <w:rFonts w:ascii="仿宋_GB2312" w:hAnsi="仿宋_GB2312" w:cs="仿宋_GB2312" w:eastAsia="仿宋_GB2312"/>
                <w:sz w:val="21"/>
              </w:rPr>
              <w:t>规划初稿，划定更新片区，制定更新指引；对城市更新专项规划初稿进行意见征集、评审和修改完善。</w:t>
            </w:r>
          </w:p>
          <w:p>
            <w:pPr>
              <w:pStyle w:val="null3"/>
              <w:ind w:firstLine="420"/>
              <w:jc w:val="both"/>
            </w:pPr>
            <w:r>
              <w:rPr>
                <w:rFonts w:ascii="仿宋_GB2312" w:hAnsi="仿宋_GB2312" w:cs="仿宋_GB2312" w:eastAsia="仿宋_GB2312"/>
                <w:sz w:val="21"/>
              </w:rPr>
              <w:t>第三阶段：形成城市更新</w:t>
            </w:r>
            <w:r>
              <w:rPr>
                <w:rFonts w:ascii="仿宋_GB2312" w:hAnsi="仿宋_GB2312" w:cs="仿宋_GB2312" w:eastAsia="仿宋_GB2312"/>
                <w:sz w:val="21"/>
              </w:rPr>
              <w:t>专项</w:t>
            </w:r>
            <w:r>
              <w:rPr>
                <w:rFonts w:ascii="仿宋_GB2312" w:hAnsi="仿宋_GB2312" w:cs="仿宋_GB2312" w:eastAsia="仿宋_GB2312"/>
                <w:sz w:val="21"/>
              </w:rPr>
              <w:t>规划成果。</w:t>
            </w:r>
          </w:p>
          <w:p>
            <w:pPr>
              <w:pStyle w:val="null3"/>
              <w:jc w:val="both"/>
            </w:pPr>
            <w:r>
              <w:rPr>
                <w:rFonts w:ascii="仿宋_GB2312" w:hAnsi="仿宋_GB2312" w:cs="仿宋_GB2312" w:eastAsia="仿宋_GB2312"/>
                <w:sz w:val="21"/>
                <w:b/>
              </w:rPr>
              <w:t>二、服务要求</w:t>
            </w:r>
          </w:p>
          <w:p>
            <w:pPr>
              <w:pStyle w:val="null3"/>
              <w:ind w:firstLine="420"/>
              <w:jc w:val="both"/>
            </w:pPr>
            <w:r>
              <w:rPr>
                <w:rFonts w:ascii="仿宋_GB2312" w:hAnsi="仿宋_GB2312" w:cs="仿宋_GB2312" w:eastAsia="仿宋_GB2312"/>
                <w:sz w:val="21"/>
              </w:rPr>
              <w:t>按照国家和省、市关于城市体检的相关规定，围绕经开区城市更新范围内生态宜居健康舒适风貌特色、多元包容等方面的指标体系开展调研评估工作。编制经开区城市更新规划应当符合全市国民经济和社会发展规划，明确更新目标、功能结构、规划布局、风貌特色营造、公共设施完善等内容，实现城市功能完善、品质提升、可持续发展。</w:t>
            </w:r>
          </w:p>
          <w:p>
            <w:pPr>
              <w:pStyle w:val="null3"/>
              <w:jc w:val="both"/>
            </w:pPr>
            <w:r>
              <w:rPr>
                <w:rFonts w:ascii="仿宋_GB2312" w:hAnsi="仿宋_GB2312" w:cs="仿宋_GB2312" w:eastAsia="仿宋_GB2312"/>
                <w:sz w:val="21"/>
                <w:b/>
              </w:rPr>
              <w:t>三、服务期限</w:t>
            </w:r>
          </w:p>
          <w:p>
            <w:pPr>
              <w:pStyle w:val="null3"/>
              <w:ind w:firstLine="420"/>
              <w:jc w:val="both"/>
            </w:pPr>
            <w:r>
              <w:rPr>
                <w:rFonts w:ascii="仿宋_GB2312" w:hAnsi="仿宋_GB2312" w:cs="仿宋_GB2312" w:eastAsia="仿宋_GB2312"/>
                <w:sz w:val="21"/>
              </w:rPr>
              <w:t>自合同签订之日起</w:t>
            </w:r>
            <w:r>
              <w:rPr>
                <w:rFonts w:ascii="仿宋_GB2312" w:hAnsi="仿宋_GB2312" w:cs="仿宋_GB2312" w:eastAsia="仿宋_GB2312"/>
                <w:sz w:val="21"/>
                <w:u w:val="single"/>
              </w:rPr>
              <w:t>30</w:t>
            </w:r>
            <w:r>
              <w:rPr>
                <w:rFonts w:ascii="仿宋_GB2312" w:hAnsi="仿宋_GB2312" w:cs="仿宋_GB2312" w:eastAsia="仿宋_GB2312"/>
                <w:sz w:val="21"/>
              </w:rPr>
              <w:t>天内完成。</w:t>
            </w:r>
          </w:p>
          <w:p>
            <w:pPr>
              <w:pStyle w:val="null3"/>
              <w:jc w:val="left"/>
            </w:pPr>
            <w:r>
              <w:rPr>
                <w:rFonts w:ascii="仿宋_GB2312" w:hAnsi="仿宋_GB2312" w:cs="仿宋_GB2312" w:eastAsia="仿宋_GB2312"/>
                <w:sz w:val="21"/>
                <w:b/>
              </w:rPr>
              <w:t>四、技术规范</w:t>
            </w:r>
          </w:p>
          <w:p>
            <w:pPr>
              <w:pStyle w:val="null3"/>
              <w:ind w:firstLine="420"/>
              <w:jc w:val="left"/>
            </w:pPr>
            <w:r>
              <w:rPr>
                <w:rFonts w:ascii="仿宋_GB2312" w:hAnsi="仿宋_GB2312" w:cs="仿宋_GB2312" w:eastAsia="仿宋_GB2312"/>
                <w:sz w:val="21"/>
              </w:rPr>
              <w:t>《中华人民共和国城乡规划法》</w:t>
            </w:r>
            <w:r>
              <w:rPr>
                <w:rFonts w:ascii="仿宋_GB2312" w:hAnsi="仿宋_GB2312" w:cs="仿宋_GB2312" w:eastAsia="仿宋_GB2312"/>
                <w:sz w:val="21"/>
              </w:rPr>
              <w:t>(2019 年修订版)</w:t>
            </w:r>
          </w:p>
          <w:p>
            <w:pPr>
              <w:pStyle w:val="null3"/>
              <w:ind w:firstLine="420"/>
              <w:jc w:val="left"/>
            </w:pPr>
            <w:r>
              <w:rPr>
                <w:rFonts w:ascii="仿宋_GB2312" w:hAnsi="仿宋_GB2312" w:cs="仿宋_GB2312" w:eastAsia="仿宋_GB2312"/>
                <w:sz w:val="21"/>
              </w:rPr>
              <w:t>《中华人民共和国土地管理法》</w:t>
            </w:r>
            <w:r>
              <w:rPr>
                <w:rFonts w:ascii="仿宋_GB2312" w:hAnsi="仿宋_GB2312" w:cs="仿宋_GB2312" w:eastAsia="仿宋_GB2312"/>
                <w:sz w:val="21"/>
              </w:rPr>
              <w:t>(2019 年修正版)</w:t>
            </w:r>
          </w:p>
          <w:p>
            <w:pPr>
              <w:pStyle w:val="null3"/>
              <w:ind w:firstLine="420"/>
              <w:jc w:val="left"/>
            </w:pPr>
            <w:r>
              <w:rPr>
                <w:rFonts w:ascii="仿宋_GB2312" w:hAnsi="仿宋_GB2312" w:cs="仿宋_GB2312" w:eastAsia="仿宋_GB2312"/>
                <w:sz w:val="21"/>
              </w:rPr>
              <w:t>《中共中央国务院关于建立国土空间规划体系并监督实施的若干意见》</w:t>
            </w:r>
          </w:p>
          <w:p>
            <w:pPr>
              <w:pStyle w:val="null3"/>
              <w:ind w:firstLine="420"/>
              <w:jc w:val="left"/>
            </w:pPr>
            <w:r>
              <w:rPr>
                <w:rFonts w:ascii="仿宋_GB2312" w:hAnsi="仿宋_GB2312" w:cs="仿宋_GB2312" w:eastAsia="仿宋_GB2312"/>
                <w:sz w:val="21"/>
              </w:rPr>
              <w:t>《关于在城乡建设中加强历史文化保护传承的意见》</w:t>
            </w:r>
            <w:r>
              <w:rPr>
                <w:rFonts w:ascii="仿宋_GB2312" w:hAnsi="仿宋_GB2312" w:cs="仿宋_GB2312" w:eastAsia="仿宋_GB2312"/>
                <w:sz w:val="21"/>
              </w:rPr>
              <w:t>(厅字〔2021〕36 号)</w:t>
            </w:r>
          </w:p>
          <w:p>
            <w:pPr>
              <w:pStyle w:val="null3"/>
              <w:ind w:firstLine="420"/>
              <w:jc w:val="left"/>
            </w:pPr>
            <w:r>
              <w:rPr>
                <w:rFonts w:ascii="仿宋_GB2312" w:hAnsi="仿宋_GB2312" w:cs="仿宋_GB2312" w:eastAsia="仿宋_GB2312"/>
                <w:sz w:val="21"/>
              </w:rPr>
              <w:t>《住房和城乡建设部关于在实施城市更新行动中防止大拆大建问题的通知》</w:t>
            </w:r>
            <w:r>
              <w:rPr>
                <w:rFonts w:ascii="仿宋_GB2312" w:hAnsi="仿宋_GB2312" w:cs="仿宋_GB2312" w:eastAsia="仿宋_GB2312"/>
                <w:sz w:val="21"/>
              </w:rPr>
              <w:t>(建科〔2021〕63 号)</w:t>
            </w:r>
          </w:p>
          <w:p>
            <w:pPr>
              <w:pStyle w:val="null3"/>
              <w:ind w:firstLine="420"/>
              <w:jc w:val="left"/>
            </w:pPr>
            <w:r>
              <w:rPr>
                <w:rFonts w:ascii="仿宋_GB2312" w:hAnsi="仿宋_GB2312" w:cs="仿宋_GB2312" w:eastAsia="仿宋_GB2312"/>
                <w:sz w:val="21"/>
              </w:rPr>
              <w:t>《中共中央办公厅、国务院办公厅关于持续推进城市更新行动的意见》</w:t>
            </w:r>
          </w:p>
          <w:p>
            <w:pPr>
              <w:pStyle w:val="null3"/>
              <w:ind w:firstLine="420"/>
              <w:jc w:val="both"/>
            </w:pPr>
            <w:r>
              <w:rPr>
                <w:rFonts w:ascii="仿宋_GB2312" w:hAnsi="仿宋_GB2312" w:cs="仿宋_GB2312" w:eastAsia="仿宋_GB2312"/>
                <w:sz w:val="21"/>
              </w:rPr>
              <w:t>《陕西省城市更新规划编制导则》</w:t>
            </w:r>
          </w:p>
          <w:p>
            <w:pPr>
              <w:pStyle w:val="null3"/>
              <w:jc w:val="both"/>
            </w:pPr>
            <w:r>
              <w:rPr>
                <w:rFonts w:ascii="仿宋_GB2312" w:hAnsi="仿宋_GB2312" w:cs="仿宋_GB2312" w:eastAsia="仿宋_GB2312"/>
                <w:sz w:val="21"/>
                <w:b/>
              </w:rPr>
              <w:t>五、成果</w:t>
            </w:r>
          </w:p>
          <w:p>
            <w:pPr>
              <w:pStyle w:val="null3"/>
            </w:pPr>
            <w:r>
              <w:rPr>
                <w:rFonts w:ascii="仿宋_GB2312" w:hAnsi="仿宋_GB2312" w:cs="仿宋_GB2312" w:eastAsia="仿宋_GB2312"/>
                <w:sz w:val="21"/>
              </w:rPr>
              <w:t>规划文本、图纸、说明书等，</w:t>
            </w:r>
            <w:r>
              <w:rPr>
                <w:rFonts w:ascii="仿宋_GB2312" w:hAnsi="仿宋_GB2312" w:cs="仿宋_GB2312" w:eastAsia="仿宋_GB2312"/>
                <w:sz w:val="21"/>
              </w:rPr>
              <w:t>Word或PDF格式文件。（纸质版</w:t>
            </w:r>
            <w:r>
              <w:rPr>
                <w:rFonts w:ascii="仿宋_GB2312" w:hAnsi="仿宋_GB2312" w:cs="仿宋_GB2312" w:eastAsia="仿宋_GB2312"/>
                <w:sz w:val="21"/>
              </w:rPr>
              <w:t>12</w:t>
            </w:r>
            <w:r>
              <w:rPr>
                <w:rFonts w:ascii="仿宋_GB2312" w:hAnsi="仿宋_GB2312" w:cs="仿宋_GB2312" w:eastAsia="仿宋_GB2312"/>
                <w:sz w:val="21"/>
              </w:rPr>
              <w:t>套，电子版</w:t>
            </w:r>
            <w:r>
              <w:rPr>
                <w:rFonts w:ascii="仿宋_GB2312" w:hAnsi="仿宋_GB2312" w:cs="仿宋_GB2312" w:eastAsia="仿宋_GB2312"/>
                <w:sz w:val="21"/>
              </w:rPr>
              <w:t>2份刻录成DVD）</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供应商在磋商报价时，该项目响应总价不得超过项目最高限价，若响应总报价高于最高限价的，其响应文件将按无效处理。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项目所有的服务内容完成后，由采购人根据项目磋商文件、响应文件、项目合同进行验收，检查合同内容完成情况。</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项目服务完成提交成果</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通过专家评审后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履行中发生争议的，双方友好协商解决。若协商不成，任何一方均可向甲方所在地的人民法院提起诉讼。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3、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三部门联合发布关于促进残疾人就业政府采购政策的通知》（财库〔2017〕141号）；5）、《财政部发展改革委生态环境部市场监管总局关于调整优化节能产品、环境标志产品政府采购执行机制的通知》（财库〔2019〕9号）；6）、关于印发环境标志产品政府采购品目清单的通知（财库〔2019〕18号）；7）、《关于印发节能产品政府采购品目清单的通知》（财库〔2019〕19号）；8）、《财政部、农业农村部、国家乡村振兴局关于运用政府采购政策支持乡村产业振兴的通知》（财库〔2021〕19号）；9）、《陕西省中小企业政府采购信用融资办法》（陕财办采〔2018〕23号）、陕西省财政厅、中国人民银行西安分行关于深入推进政府采购信用融资业务的通知（陕财办采〔2023〕5号）；10）、《关于政府采购支持绿色建材促进建筑品质提升试点工作的通知》（财库〔2020〕31号）；11）、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供应商需在项目电子化交易系统中按要求填写《投标函》、《汉中市政府采购供应商资格承诺函》完成承诺并进行电子签章。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供应商需在项目电子化交易系统中按要求填写《投标函》、《汉中市政府采购供应商资格承诺函》完成承诺并进行电子签章。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和授权代表本单位证明（开标前六个月任意一个月的个人养老保险缴纳证明）；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供应商应具备行政主管部门颁发的城乡规划编制乙级及以上资质。</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拟派项目负责人具备注册城乡规划师资格，在本单位注册（提供开标前六个月任意一个月个人养老保险缴纳证明）。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本项目不接受联合体磋商，供应商应提供《非联合体磋商声明》，视为独立磋商。</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竞争性磋商响应报价</w:t>
            </w:r>
          </w:p>
        </w:tc>
        <w:tc>
          <w:tcPr>
            <w:tcW w:type="dxa" w:w="3322"/>
          </w:tcPr>
          <w:p>
            <w:pPr>
              <w:pStyle w:val="null3"/>
            </w:pPr>
            <w:r>
              <w:rPr>
                <w:rFonts w:ascii="仿宋_GB2312" w:hAnsi="仿宋_GB2312" w:cs="仿宋_GB2312" w:eastAsia="仿宋_GB2312"/>
              </w:rPr>
              <w:t>未超过最高限价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商务要求偏离表 资格证明文件 政府采购供应商拒绝政府采购领域商业贿赂承诺书 采购需求偏离表 中小企业声明函 残疾人福利性单位声明函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针对本项目提供的整体服务方案内容，包括但不限于：(1)服务思路(2)服务内容(3)服务方法(4)服务实施方案； 以上(1)-(4)项内容齐全且无缺陷的得16分，每有一项内容缺项的扣4分;每存在一项缺陷的扣1分，扣完为止。无此项描述的不得分。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针对本项目提供的对项目理解和熟悉程度内容，包括但不限于：（1）指导思想(2)规划定位（3）规划背景(4)规划大纲(5)重点、难点理解及分析; 以上(1)-(5)项内容齐全且无缺陷的得 20分，每有一项内容缺项的扣4 分;每存在一项缺陷的扣 1分，扣完为止。无此项描述的不得分。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针对本项目提供的质量保障措施内容，包括但不限于：(1)质量管理方案(2)质量管理机构及职责(3)质量保证措施(4)质量保障承诺; 以上(1)-(4)项内容齐全且无缺陷的得 16分，每有一项内容缺项的扣4分;每存在一项缺陷的扣 1分，扣完为止。无此项描述的不得分。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 (1)进度计划(2)工作部署(3)各阶段实施流程(4)进度保障措施； 以上(1)-(4)项内容齐全且无缺陷的得 12分，每有一项内容缺项的扣3分;每存在一项缺陷的扣 1分，扣完为止。无此项描述的不得分。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供应商结合自身技术优势，充分考虑用户的需求发展，提出创新、创优等合理化建议，内容科学可行，有针对性且内容丰富，符合项目实际需求得4分； 内容较为科学可行，有针对性，得2分； 内容简单笼统，针对性一般，得1分；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服务期及服务承诺</w:t>
            </w:r>
          </w:p>
        </w:tc>
        <w:tc>
          <w:tcPr>
            <w:tcW w:type="dxa" w:w="2492"/>
          </w:tcPr>
          <w:p>
            <w:pPr>
              <w:pStyle w:val="null3"/>
            </w:pPr>
            <w:r>
              <w:rPr>
                <w:rFonts w:ascii="仿宋_GB2312" w:hAnsi="仿宋_GB2312" w:cs="仿宋_GB2312" w:eastAsia="仿宋_GB2312"/>
              </w:rPr>
              <w:t>服务期保证、承诺全面，对本项目具有技术支持度及跟踪服务能力。 ①内容具体、完整、详细、全面、可行性强，得6分；②内容较为具体、能满足项目需求，得4分； ③内容欠缺、薄弱、仅能满足项目需求，得2分；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1、拟派项目负责人具有高级职称得3分。 2、除项目负责人拟派项目团队中每具有1名与本项目相关的高级职称或注册类证书的得3分，最高得9分。 注：提供人员职称证书或注册证书，未提供不得分。（提供复印件加盖公章）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供应商提供类似项目业绩，每提供一个得2分，满分4分。 注：需提供合同首页、内容页和双方盖章页。以合同为准，内容不清晰，或者资料不全的，不得分。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价格分采用低价优先法计算，即满足磋商文件要求且最后报价最低的供应商的价格为磋商基准价，其价格分为满分。其他供应商的价格分统一按照下列公式计算：磋商报价得分=10×（磋商基准价/最后磋商报价） 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详见附件：拟签订的政府采购合同文本-汉中经开区城市更新规划编制.docx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