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6501A3">
      <w:pPr>
        <w:autoSpaceDE w:val="0"/>
        <w:autoSpaceDN w:val="0"/>
        <w:spacing w:line="360" w:lineRule="auto"/>
        <w:jc w:val="center"/>
        <w:outlineLvl w:val="0"/>
        <w:rPr>
          <w:rFonts w:hint="eastAsia" w:ascii="仿宋" w:hAnsi="仿宋" w:eastAsia="仿宋" w:cs="仿宋"/>
          <w:b/>
          <w:szCs w:val="28"/>
          <w:lang w:eastAsia="zh-CN"/>
        </w:rPr>
      </w:pPr>
      <w:r>
        <w:rPr>
          <w:rFonts w:hint="eastAsia" w:ascii="仿宋" w:hAnsi="仿宋" w:eastAsia="仿宋" w:cs="仿宋"/>
          <w:b/>
          <w:szCs w:val="28"/>
        </w:rPr>
        <w:t>合同</w:t>
      </w:r>
      <w:r>
        <w:rPr>
          <w:rFonts w:hint="eastAsia" w:ascii="仿宋" w:hAnsi="仿宋" w:eastAsia="仿宋" w:cs="仿宋"/>
          <w:b/>
          <w:szCs w:val="28"/>
          <w:lang w:eastAsia="zh-CN"/>
        </w:rPr>
        <w:t>（</w:t>
      </w:r>
      <w:r>
        <w:rPr>
          <w:rFonts w:hint="eastAsia" w:ascii="仿宋" w:hAnsi="仿宋" w:eastAsia="仿宋" w:cs="仿宋"/>
          <w:b/>
          <w:szCs w:val="28"/>
          <w:lang w:val="en-US" w:eastAsia="zh-CN"/>
        </w:rPr>
        <w:t>仅供参考</w:t>
      </w:r>
      <w:r>
        <w:rPr>
          <w:rFonts w:hint="eastAsia" w:ascii="仿宋" w:hAnsi="仿宋" w:eastAsia="仿宋" w:cs="仿宋"/>
          <w:b/>
          <w:szCs w:val="28"/>
          <w:lang w:eastAsia="zh-CN"/>
        </w:rPr>
        <w:t>）</w:t>
      </w:r>
    </w:p>
    <w:p w14:paraId="5B4B98BE">
      <w:pPr>
        <w:spacing w:line="348"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rPr>
        <w:t>甲方（采购人）：</w:t>
      </w:r>
    </w:p>
    <w:p w14:paraId="1B4368F6">
      <w:pPr>
        <w:spacing w:line="348"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乙方（成交人）：</w:t>
      </w:r>
    </w:p>
    <w:p w14:paraId="2CAFE921">
      <w:pPr>
        <w:spacing w:line="348" w:lineRule="auto"/>
        <w:ind w:firstLine="480" w:firstLineChars="200"/>
        <w:rPr>
          <w:rFonts w:hint="eastAsia" w:ascii="仿宋" w:hAnsi="仿宋" w:eastAsia="仿宋" w:cs="仿宋"/>
        </w:rPr>
      </w:pPr>
      <w:r>
        <w:rPr>
          <w:rFonts w:hint="eastAsia" w:ascii="仿宋" w:hAnsi="仿宋" w:eastAsia="仿宋" w:cs="仿宋"/>
          <w:sz w:val="24"/>
          <w:szCs w:val="24"/>
          <w:lang w:eastAsia="zh-CN"/>
        </w:rPr>
        <w:t>依据《中华人民共和国民法典》、《中华人民共和国政府采购法》与项目行业有关的法律法规，以及</w:t>
      </w:r>
      <w:r>
        <w:rPr>
          <w:rFonts w:hint="eastAsia" w:ascii="仿宋" w:hAnsi="仿宋" w:eastAsia="仿宋" w:cs="仿宋"/>
          <w:sz w:val="24"/>
          <w:szCs w:val="24"/>
          <w:lang w:val="en-US" w:eastAsia="zh-CN"/>
        </w:rPr>
        <w:t>本</w:t>
      </w:r>
      <w:r>
        <w:rPr>
          <w:rFonts w:hint="eastAsia" w:ascii="仿宋" w:hAnsi="仿宋" w:eastAsia="仿宋" w:cs="仿宋"/>
          <w:sz w:val="24"/>
          <w:szCs w:val="24"/>
          <w:lang w:eastAsia="zh-CN"/>
        </w:rPr>
        <w:t>项目的竞争性磋商文件，乙方的磋商响应文件及成交通知书，甲、乙双方同意签订本合同。</w:t>
      </w:r>
    </w:p>
    <w:p w14:paraId="3C9F3A4E">
      <w:pPr>
        <w:spacing w:line="348"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第一条 服务期限</w:t>
      </w:r>
    </w:p>
    <w:p w14:paraId="1B4D994B">
      <w:pPr>
        <w:spacing w:line="348" w:lineRule="auto"/>
        <w:ind w:firstLine="480" w:firstLineChars="200"/>
        <w:rPr>
          <w:rFonts w:hint="eastAsia" w:ascii="仿宋" w:hAnsi="仿宋" w:eastAsia="仿宋" w:cs="仿宋"/>
          <w:sz w:val="24"/>
          <w:szCs w:val="24"/>
          <w:lang w:eastAsia="zh-CN"/>
        </w:rPr>
      </w:pPr>
      <w:bookmarkStart w:id="0" w:name="_Toc239568418"/>
      <w:bookmarkStart w:id="1" w:name="_Toc211854449"/>
      <w:bookmarkStart w:id="2" w:name="_Toc251768862"/>
      <w:bookmarkStart w:id="3" w:name="_Toc238984975"/>
      <w:bookmarkStart w:id="4" w:name="_Toc286993786"/>
      <w:bookmarkStart w:id="5" w:name="_Toc241833903"/>
      <w:bookmarkStart w:id="6" w:name="_Toc232492928"/>
      <w:bookmarkStart w:id="7" w:name="_Toc239233914"/>
      <w:bookmarkStart w:id="8" w:name="_Toc225654644"/>
      <w:bookmarkStart w:id="9" w:name="_Toc225244852"/>
      <w:bookmarkStart w:id="10" w:name="_Toc225670751"/>
      <w:bookmarkStart w:id="11" w:name="_Toc212019594"/>
      <w:bookmarkStart w:id="12" w:name="_Toc237145406"/>
      <w:bookmarkStart w:id="13" w:name="_Toc247334841"/>
      <w:bookmarkStart w:id="14" w:name="_Toc282696226"/>
      <w:bookmarkStart w:id="15" w:name="_Toc211911348"/>
      <w:bookmarkStart w:id="16" w:name="_Toc283019214"/>
      <w:bookmarkStart w:id="17" w:name="_Toc185395249"/>
      <w:r>
        <w:rPr>
          <w:rFonts w:hint="eastAsia" w:ascii="仿宋" w:hAnsi="仿宋" w:eastAsia="仿宋" w:cs="仿宋"/>
          <w:sz w:val="24"/>
          <w:szCs w:val="24"/>
          <w:lang w:eastAsia="zh-CN"/>
        </w:rPr>
        <w:t>运营服务自合同签订之日起至 2026年 8月 31 日</w:t>
      </w:r>
    </w:p>
    <w:p w14:paraId="463CCEEB">
      <w:pPr>
        <w:spacing w:line="348" w:lineRule="auto"/>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 xml:space="preserve"> </w:t>
      </w:r>
      <w:r>
        <w:rPr>
          <w:rFonts w:hint="eastAsia" w:ascii="仿宋" w:hAnsi="仿宋" w:eastAsia="仿宋" w:cs="仿宋"/>
          <w:b/>
          <w:sz w:val="24"/>
          <w:szCs w:val="24"/>
        </w:rPr>
        <w:t>第二条 服务内容与绩效目标</w:t>
      </w:r>
    </w:p>
    <w:p w14:paraId="2DE4DA62">
      <w:pPr>
        <w:spacing w:line="348"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第三条 服务费用、验收及支付方式</w:t>
      </w:r>
    </w:p>
    <w:p w14:paraId="00889F67">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1、本项目服务费（成交价）：大写：</w:t>
      </w:r>
      <w:r>
        <w:rPr>
          <w:rFonts w:hint="eastAsia" w:ascii="仿宋" w:hAnsi="仿宋" w:eastAsia="仿宋" w:cs="仿宋"/>
          <w:sz w:val="24"/>
          <w:szCs w:val="24"/>
          <w:u w:val="single"/>
        </w:rPr>
        <w:t xml:space="preserve">     </w:t>
      </w:r>
      <w:r>
        <w:rPr>
          <w:rFonts w:hint="eastAsia" w:ascii="仿宋" w:hAnsi="仿宋" w:eastAsia="仿宋" w:cs="仿宋"/>
          <w:sz w:val="24"/>
          <w:szCs w:val="24"/>
        </w:rPr>
        <w:t>（小写：</w:t>
      </w:r>
      <w:r>
        <w:rPr>
          <w:rFonts w:hint="eastAsia" w:ascii="仿宋" w:hAnsi="仿宋" w:eastAsia="仿宋" w:cs="仿宋"/>
          <w:sz w:val="24"/>
          <w:szCs w:val="24"/>
          <w:u w:val="single"/>
        </w:rPr>
        <w:t xml:space="preserve">   </w:t>
      </w:r>
      <w:r>
        <w:rPr>
          <w:rFonts w:hint="eastAsia" w:ascii="仿宋" w:hAnsi="仿宋" w:eastAsia="仿宋" w:cs="仿宋"/>
          <w:sz w:val="24"/>
          <w:szCs w:val="24"/>
        </w:rPr>
        <w:t>元）。</w:t>
      </w:r>
    </w:p>
    <w:p w14:paraId="488CE6C3">
      <w:pPr>
        <w:spacing w:line="360" w:lineRule="auto"/>
        <w:ind w:firstLine="480" w:firstLineChars="200"/>
        <w:rPr>
          <w:rFonts w:hint="eastAsia" w:ascii="仿宋" w:hAnsi="仿宋" w:eastAsia="仿宋" w:cs="仿宋"/>
          <w:sz w:val="24"/>
          <w:szCs w:val="22"/>
        </w:rPr>
      </w:pPr>
      <w:r>
        <w:rPr>
          <w:rFonts w:hint="eastAsia" w:ascii="仿宋" w:hAnsi="仿宋" w:eastAsia="仿宋" w:cs="仿宋"/>
          <w:sz w:val="24"/>
          <w:szCs w:val="22"/>
        </w:rPr>
        <w:t>2、验收：项目完成后由采购人负责组织验收，必要时请有关专家和国家法定机构，共同进行验收，验收合格须交接项目实施的全部资料。验收须以采购文件、合同、国家相应的标准、规范等为依据。</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56A904D9">
      <w:pPr>
        <w:snapToGrid w:val="0"/>
        <w:spacing w:line="360" w:lineRule="auto"/>
        <w:ind w:firstLine="240" w:firstLineChars="100"/>
        <w:rPr>
          <w:rFonts w:hint="eastAsia" w:ascii="仿宋" w:hAnsi="仿宋" w:eastAsia="仿宋" w:cs="仿宋"/>
          <w:sz w:val="24"/>
          <w:szCs w:val="24"/>
        </w:rPr>
      </w:pPr>
      <w:r>
        <w:rPr>
          <w:rFonts w:hint="eastAsia" w:ascii="仿宋" w:hAnsi="仿宋" w:eastAsia="仿宋" w:cs="仿宋"/>
          <w:sz w:val="24"/>
          <w:szCs w:val="22"/>
        </w:rPr>
        <w:t xml:space="preserve">  </w:t>
      </w:r>
      <w:r>
        <w:rPr>
          <w:rFonts w:hint="eastAsia" w:ascii="仿宋" w:hAnsi="仿宋" w:eastAsia="仿宋" w:cs="仿宋"/>
          <w:sz w:val="24"/>
          <w:szCs w:val="24"/>
        </w:rPr>
        <w:t>3、服务费支付方式：</w:t>
      </w:r>
      <w:bookmarkStart w:id="52" w:name="_GoBack"/>
      <w:bookmarkEnd w:id="52"/>
    </w:p>
    <w:p w14:paraId="52CE78F3">
      <w:pPr>
        <w:spacing w:line="348" w:lineRule="auto"/>
        <w:ind w:firstLine="480" w:firstLineChars="200"/>
        <w:rPr>
          <w:rFonts w:hint="eastAsia" w:ascii="仿宋" w:hAnsi="仿宋" w:eastAsia="仿宋" w:cs="仿宋"/>
          <w:b/>
          <w:sz w:val="24"/>
          <w:szCs w:val="24"/>
        </w:rPr>
      </w:pPr>
      <w:r>
        <w:rPr>
          <w:rFonts w:hint="eastAsia" w:ascii="仿宋" w:hAnsi="仿宋" w:eastAsia="仿宋" w:cs="仿宋"/>
          <w:sz w:val="24"/>
          <w:szCs w:val="24"/>
        </w:rPr>
        <w:t xml:space="preserve"> </w:t>
      </w:r>
      <w:r>
        <w:rPr>
          <w:rFonts w:hint="eastAsia" w:ascii="仿宋" w:hAnsi="仿宋" w:eastAsia="仿宋" w:cs="仿宋"/>
          <w:b/>
          <w:sz w:val="24"/>
          <w:szCs w:val="24"/>
        </w:rPr>
        <w:t>第四条 知识产权</w:t>
      </w:r>
    </w:p>
    <w:p w14:paraId="00176ED3">
      <w:pPr>
        <w:spacing w:line="348"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乙方应保证所提供的服务或其任何一部分均不会侵犯任何第三方的专利权、商标权或著作权。</w:t>
      </w:r>
    </w:p>
    <w:p w14:paraId="3C79E316">
      <w:pPr>
        <w:spacing w:line="348"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第五条 无产权瑕疵条款</w:t>
      </w:r>
    </w:p>
    <w:p w14:paraId="11860855">
      <w:pPr>
        <w:spacing w:line="348"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乙方保证所提供的服务的所有权完全属于乙方且无任何抵押、查封等产权瑕疵。如有产权瑕疵的，视为乙方违约。乙方应负担由此而产生的一切损失。</w:t>
      </w:r>
    </w:p>
    <w:p w14:paraId="7C812CF8">
      <w:pPr>
        <w:spacing w:line="348"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第六条 甲方的权利和义务</w:t>
      </w:r>
    </w:p>
    <w:p w14:paraId="2F3FBFF5">
      <w:pPr>
        <w:spacing w:line="348"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1、甲方有权对合同规定范围内乙方的服务行为进行监督和检查，拥有监管权。有权定期核对乙方提供服务所配备的人员数量。对甲方认为不合理的部分有权下达整改通知书，并要求乙方限期整改。</w:t>
      </w:r>
    </w:p>
    <w:p w14:paraId="47EAC352">
      <w:pPr>
        <w:spacing w:line="348"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2、甲方有权依据双方签订的考评办法对乙方提供的服务进行定期考评。</w:t>
      </w:r>
    </w:p>
    <w:p w14:paraId="704E6284">
      <w:pPr>
        <w:spacing w:line="348"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3、负责检查监督乙方管理工作的实施及制度的执行情况。</w:t>
      </w:r>
    </w:p>
    <w:p w14:paraId="282AC22C">
      <w:pPr>
        <w:spacing w:line="348"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4、根据本合同规定，按时向乙方支付应付服务费用。</w:t>
      </w:r>
    </w:p>
    <w:p w14:paraId="7898ACA0">
      <w:pPr>
        <w:spacing w:line="348" w:lineRule="auto"/>
        <w:ind w:firstLine="480" w:firstLineChars="200"/>
        <w:rPr>
          <w:rFonts w:hint="eastAsia" w:ascii="仿宋" w:hAnsi="仿宋" w:eastAsia="仿宋" w:cs="仿宋"/>
          <w:sz w:val="24"/>
          <w:szCs w:val="24"/>
        </w:rPr>
      </w:pPr>
      <w:r>
        <w:rPr>
          <w:rFonts w:hint="eastAsia" w:ascii="仿宋" w:hAnsi="仿宋" w:eastAsia="仿宋" w:cs="仿宋"/>
          <w:sz w:val="24"/>
          <w:szCs w:val="24"/>
        </w:rPr>
        <w:t>5、国家法律、法规所规定由甲方承担的其它责任。</w:t>
      </w:r>
    </w:p>
    <w:p w14:paraId="30DDE7BA">
      <w:pPr>
        <w:spacing w:line="348"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第七条 乙方的权利和义务</w:t>
      </w:r>
    </w:p>
    <w:p w14:paraId="51D70803">
      <w:pPr>
        <w:spacing w:line="348"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1、对本合同规定的委托服务范围内的项目享有管理权及服务义务。</w:t>
      </w:r>
    </w:p>
    <w:p w14:paraId="5989805D">
      <w:pPr>
        <w:spacing w:line="348"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2、根据本合同的规定向甲方收取相关服务费用，并有权在本项目管理范围内管理及合理使用。</w:t>
      </w:r>
    </w:p>
    <w:p w14:paraId="79031CD6">
      <w:pPr>
        <w:spacing w:line="348"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3、及时向甲方通告本项目服务范围内有关服务的重大事项，及时配合处理投诉。</w:t>
      </w:r>
    </w:p>
    <w:p w14:paraId="260D1147">
      <w:pPr>
        <w:spacing w:line="348"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4、接受项目行业管理部门及政府有关部门的指导，接受甲方的监督。</w:t>
      </w:r>
    </w:p>
    <w:p w14:paraId="07B8AB9D">
      <w:pPr>
        <w:spacing w:line="348" w:lineRule="auto"/>
        <w:ind w:firstLine="480" w:firstLineChars="200"/>
        <w:rPr>
          <w:rFonts w:hint="eastAsia" w:ascii="仿宋" w:hAnsi="仿宋" w:eastAsia="仿宋" w:cs="仿宋"/>
          <w:sz w:val="24"/>
          <w:szCs w:val="24"/>
        </w:rPr>
      </w:pPr>
      <w:r>
        <w:rPr>
          <w:rFonts w:hint="eastAsia" w:ascii="仿宋" w:hAnsi="仿宋" w:eastAsia="仿宋" w:cs="仿宋"/>
          <w:sz w:val="24"/>
          <w:szCs w:val="24"/>
        </w:rPr>
        <w:t>5、国家法律、法规所规定由乙方承担的其它责任。</w:t>
      </w:r>
    </w:p>
    <w:p w14:paraId="691E022C">
      <w:pPr>
        <w:spacing w:line="348"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第八条 违约责任</w:t>
      </w:r>
    </w:p>
    <w:p w14:paraId="089D6839">
      <w:pPr>
        <w:spacing w:line="348"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1、甲乙双方必须遵守本合同并执行合同中的各项规定，保证本合同的正常履行。</w:t>
      </w:r>
    </w:p>
    <w:p w14:paraId="209380B9">
      <w:pPr>
        <w:spacing w:line="348"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79B2FD66">
      <w:pPr>
        <w:spacing w:line="348"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第九条 不可抗力事件处理</w:t>
      </w:r>
    </w:p>
    <w:p w14:paraId="36BE72CE">
      <w:pPr>
        <w:spacing w:line="348"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1、在合同有效期内，任何一方因不可抗力事件导致不能履行合同，则合同履行期可延长，其延长期与不可抗力影响期相同。</w:t>
      </w:r>
    </w:p>
    <w:p w14:paraId="0826C06E">
      <w:pPr>
        <w:spacing w:line="348"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2、不可抗力事件发生后，应立即通知对方，并寄送有关权威机构出具的证明。</w:t>
      </w:r>
    </w:p>
    <w:p w14:paraId="446D12EA">
      <w:pPr>
        <w:spacing w:line="348"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3、不可抗力事件延续15天以上，双方应通过友好协商，确定是否继续履行合同。</w:t>
      </w:r>
    </w:p>
    <w:p w14:paraId="671F5CA0">
      <w:pPr>
        <w:spacing w:line="348" w:lineRule="auto"/>
        <w:ind w:firstLine="482" w:firstLineChars="200"/>
        <w:rPr>
          <w:rFonts w:hint="eastAsia" w:ascii="仿宋" w:hAnsi="仿宋" w:eastAsia="仿宋" w:cs="仿宋"/>
          <w:b/>
          <w:sz w:val="24"/>
          <w:szCs w:val="24"/>
        </w:rPr>
      </w:pPr>
      <w:bookmarkStart w:id="18" w:name="_Toc239233919"/>
      <w:bookmarkStart w:id="19" w:name="_Toc237145411"/>
      <w:bookmarkStart w:id="20" w:name="_Toc212019599"/>
      <w:bookmarkStart w:id="21" w:name="_Toc241833908"/>
      <w:bookmarkStart w:id="22" w:name="_Toc211911353"/>
      <w:bookmarkStart w:id="23" w:name="_Toc185395254"/>
      <w:bookmarkStart w:id="24" w:name="_Toc247334846"/>
      <w:bookmarkStart w:id="25" w:name="_Toc211854454"/>
      <w:bookmarkStart w:id="26" w:name="_Toc232492933"/>
      <w:bookmarkStart w:id="27" w:name="_Toc225670756"/>
      <w:bookmarkStart w:id="28" w:name="_Toc225654649"/>
      <w:bookmarkStart w:id="29" w:name="_Toc225244857"/>
      <w:bookmarkStart w:id="30" w:name="_Toc251768867"/>
      <w:bookmarkStart w:id="31" w:name="_Toc238984980"/>
      <w:bookmarkStart w:id="32" w:name="_Toc239568423"/>
      <w:bookmarkStart w:id="33" w:name="_Toc286993792"/>
      <w:r>
        <w:rPr>
          <w:rFonts w:hint="eastAsia" w:ascii="仿宋" w:hAnsi="仿宋" w:eastAsia="仿宋" w:cs="仿宋"/>
          <w:b/>
          <w:sz w:val="24"/>
          <w:szCs w:val="24"/>
        </w:rPr>
        <w:t>第十条 解决合同纠纷的方式</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5DA25888">
      <w:pPr>
        <w:spacing w:line="348" w:lineRule="auto"/>
        <w:ind w:firstLine="480" w:firstLineChars="200"/>
        <w:rPr>
          <w:rFonts w:hint="eastAsia" w:ascii="仿宋" w:hAnsi="仿宋" w:eastAsia="仿宋" w:cs="仿宋"/>
          <w:sz w:val="24"/>
          <w:szCs w:val="24"/>
        </w:rPr>
      </w:pPr>
      <w:bookmarkStart w:id="34" w:name="_Toc238984981"/>
      <w:bookmarkStart w:id="35" w:name="_Toc237145412"/>
      <w:bookmarkStart w:id="36" w:name="_Toc283019219"/>
      <w:bookmarkStart w:id="37" w:name="_Toc211854455"/>
      <w:bookmarkStart w:id="38" w:name="_Toc225654650"/>
      <w:bookmarkStart w:id="39" w:name="_Toc225244858"/>
      <w:bookmarkStart w:id="40" w:name="_Toc232492934"/>
      <w:bookmarkStart w:id="41" w:name="_Toc247334847"/>
      <w:bookmarkStart w:id="42" w:name="_Toc211911354"/>
      <w:bookmarkStart w:id="43" w:name="_Toc185395255"/>
      <w:bookmarkStart w:id="44" w:name="_Toc212019600"/>
      <w:bookmarkStart w:id="45" w:name="_Toc225670757"/>
      <w:bookmarkStart w:id="46" w:name="_Toc282696231"/>
      <w:bookmarkStart w:id="47" w:name="_Toc239568424"/>
      <w:bookmarkStart w:id="48" w:name="_Toc286993793"/>
      <w:bookmarkStart w:id="49" w:name="_Toc251768868"/>
      <w:bookmarkStart w:id="50" w:name="_Toc239233920"/>
      <w:bookmarkStart w:id="51" w:name="_Toc241833909"/>
      <w:r>
        <w:rPr>
          <w:rFonts w:hint="eastAsia" w:ascii="仿宋" w:hAnsi="仿宋" w:eastAsia="仿宋" w:cs="仿宋"/>
          <w:sz w:val="24"/>
          <w:szCs w:val="24"/>
        </w:rPr>
        <w:t>1、合同一经签订，不得随意变更、中止或终止。对确需变更、调整或者中止、终止合同的，应按规定履行相应的手续。</w:t>
      </w:r>
    </w:p>
    <w:p w14:paraId="302621C5">
      <w:pPr>
        <w:spacing w:line="348"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2、合同执行中发生争议的，甲、乙双方应协商解决，协商达不成一致时，可向兴平市人民法院提起诉讼。</w:t>
      </w:r>
    </w:p>
    <w:p w14:paraId="130CDEC6">
      <w:pPr>
        <w:spacing w:line="348" w:lineRule="auto"/>
        <w:ind w:firstLine="482" w:firstLineChars="200"/>
        <w:rPr>
          <w:rFonts w:hint="eastAsia" w:ascii="仿宋" w:hAnsi="仿宋" w:eastAsia="仿宋" w:cs="仿宋"/>
          <w:sz w:val="24"/>
          <w:szCs w:val="24"/>
        </w:rPr>
      </w:pPr>
      <w:r>
        <w:rPr>
          <w:rFonts w:hint="eastAsia" w:ascii="仿宋" w:hAnsi="仿宋" w:eastAsia="仿宋" w:cs="仿宋"/>
          <w:b/>
          <w:sz w:val="24"/>
          <w:szCs w:val="24"/>
        </w:rPr>
        <w:t>第十一条 合同</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hint="eastAsia" w:ascii="仿宋" w:hAnsi="仿宋" w:eastAsia="仿宋" w:cs="仿宋"/>
          <w:b/>
          <w:sz w:val="24"/>
          <w:szCs w:val="24"/>
        </w:rPr>
        <w:t>生效及其他</w:t>
      </w:r>
    </w:p>
    <w:p w14:paraId="1C4E1BDC">
      <w:pPr>
        <w:spacing w:line="348"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1、甲、乙双方做为合同执行的主体，有义务及时完全履行合同。</w:t>
      </w:r>
    </w:p>
    <w:p w14:paraId="15B0ECC9">
      <w:pPr>
        <w:spacing w:line="348"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2、合同未尽事宜，由甲、乙双方协商，协商方案作为本合同不可分割的组成部分，与本合同具有同等法律效力。</w:t>
      </w:r>
    </w:p>
    <w:p w14:paraId="6AFFDA8A">
      <w:pPr>
        <w:spacing w:line="348"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3、采购文件和乙方的响应文件以及合同附件均为合同不可分割的部分。</w:t>
      </w:r>
    </w:p>
    <w:p w14:paraId="0813A6B3">
      <w:pPr>
        <w:spacing w:line="348"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4、本合同一式七份，甲乙双方各执三份，具有同等法律效力；监督方执一份。</w:t>
      </w:r>
    </w:p>
    <w:p w14:paraId="233BCB80">
      <w:pPr>
        <w:ind w:firstLine="480" w:firstLineChars="200"/>
        <w:rPr>
          <w:rFonts w:hint="eastAsia" w:ascii="仿宋" w:hAnsi="仿宋" w:eastAsia="仿宋" w:cs="仿宋"/>
          <w:sz w:val="24"/>
          <w:szCs w:val="24"/>
        </w:rPr>
      </w:pPr>
      <w:r>
        <w:rPr>
          <w:rFonts w:hint="eastAsia" w:ascii="仿宋" w:hAnsi="仿宋" w:eastAsia="仿宋" w:cs="仿宋"/>
          <w:sz w:val="24"/>
          <w:szCs w:val="24"/>
        </w:rPr>
        <w:t>甲方（盖单位章）：               乙方（盖单位章）：</w:t>
      </w:r>
    </w:p>
    <w:p w14:paraId="3CDFB2A2">
      <w:pPr>
        <w:ind w:firstLine="480" w:firstLineChars="200"/>
        <w:rPr>
          <w:rFonts w:hint="eastAsia" w:ascii="仿宋" w:hAnsi="仿宋" w:eastAsia="仿宋" w:cs="仿宋"/>
          <w:sz w:val="24"/>
          <w:szCs w:val="24"/>
        </w:rPr>
      </w:pPr>
      <w:r>
        <w:rPr>
          <w:rFonts w:hint="eastAsia" w:ascii="仿宋" w:hAnsi="仿宋" w:eastAsia="仿宋" w:cs="仿宋"/>
          <w:sz w:val="24"/>
          <w:szCs w:val="24"/>
        </w:rPr>
        <w:t>法定代表人或                    法定代表人或</w:t>
      </w:r>
    </w:p>
    <w:p w14:paraId="15077B3C">
      <w:pPr>
        <w:ind w:firstLine="480" w:firstLineChars="200"/>
        <w:rPr>
          <w:rFonts w:hint="eastAsia" w:ascii="仿宋" w:hAnsi="仿宋" w:eastAsia="仿宋" w:cs="仿宋"/>
          <w:sz w:val="24"/>
          <w:szCs w:val="24"/>
        </w:rPr>
      </w:pPr>
      <w:r>
        <w:rPr>
          <w:rFonts w:hint="eastAsia" w:ascii="仿宋" w:hAnsi="仿宋" w:eastAsia="仿宋" w:cs="仿宋"/>
          <w:sz w:val="24"/>
          <w:szCs w:val="24"/>
        </w:rPr>
        <w:t>授权代理人签字：                授权代理人签字：</w:t>
      </w:r>
    </w:p>
    <w:p w14:paraId="56FCC392">
      <w:pPr>
        <w:ind w:firstLine="480" w:firstLineChars="200"/>
        <w:rPr>
          <w:rFonts w:hint="eastAsia" w:ascii="仿宋" w:hAnsi="仿宋" w:eastAsia="仿宋" w:cs="仿宋"/>
          <w:sz w:val="24"/>
          <w:szCs w:val="24"/>
        </w:rPr>
      </w:pPr>
      <w:r>
        <w:rPr>
          <w:rFonts w:hint="eastAsia" w:ascii="仿宋" w:hAnsi="仿宋" w:eastAsia="仿宋" w:cs="仿宋"/>
          <w:sz w:val="24"/>
          <w:szCs w:val="24"/>
        </w:rPr>
        <w:t>地址：                          地址：</w:t>
      </w:r>
    </w:p>
    <w:p w14:paraId="2F43BD4C">
      <w:pPr>
        <w:ind w:firstLine="480" w:firstLineChars="200"/>
        <w:rPr>
          <w:rFonts w:hint="eastAsia" w:ascii="仿宋" w:hAnsi="仿宋" w:eastAsia="仿宋" w:cs="仿宋"/>
          <w:sz w:val="24"/>
          <w:szCs w:val="24"/>
        </w:rPr>
      </w:pPr>
      <w:r>
        <w:rPr>
          <w:rFonts w:hint="eastAsia" w:ascii="仿宋" w:hAnsi="仿宋" w:eastAsia="仿宋" w:cs="仿宋"/>
          <w:sz w:val="24"/>
          <w:szCs w:val="24"/>
        </w:rPr>
        <w:t>邮编：                          邮编：</w:t>
      </w:r>
    </w:p>
    <w:p w14:paraId="68FCDE9F">
      <w:pPr>
        <w:ind w:firstLine="480" w:firstLineChars="200"/>
        <w:rPr>
          <w:rFonts w:hint="eastAsia" w:ascii="仿宋" w:hAnsi="仿宋" w:eastAsia="仿宋" w:cs="仿宋"/>
          <w:sz w:val="24"/>
          <w:szCs w:val="24"/>
        </w:rPr>
      </w:pPr>
      <w:r>
        <w:rPr>
          <w:rFonts w:hint="eastAsia" w:ascii="仿宋" w:hAnsi="仿宋" w:eastAsia="仿宋" w:cs="仿宋"/>
          <w:sz w:val="24"/>
          <w:szCs w:val="24"/>
        </w:rPr>
        <w:t>开户银行名称：                  开户银行名称：</w:t>
      </w:r>
    </w:p>
    <w:p w14:paraId="5407928D">
      <w:pPr>
        <w:ind w:firstLine="480" w:firstLineChars="200"/>
        <w:rPr>
          <w:rFonts w:hint="eastAsia" w:ascii="仿宋" w:hAnsi="仿宋" w:eastAsia="仿宋" w:cs="仿宋"/>
          <w:sz w:val="24"/>
          <w:szCs w:val="24"/>
        </w:rPr>
      </w:pPr>
      <w:r>
        <w:rPr>
          <w:rFonts w:hint="eastAsia" w:ascii="仿宋" w:hAnsi="仿宋" w:eastAsia="仿宋" w:cs="仿宋"/>
          <w:sz w:val="24"/>
          <w:szCs w:val="24"/>
        </w:rPr>
        <w:t>银行账号：                      银行账号：</w:t>
      </w:r>
    </w:p>
    <w:p w14:paraId="1FB7D920">
      <w:pPr>
        <w:ind w:firstLine="480" w:firstLineChars="200"/>
        <w:rPr>
          <w:rFonts w:hint="eastAsia" w:ascii="仿宋" w:hAnsi="仿宋" w:eastAsia="仿宋" w:cs="仿宋"/>
          <w:sz w:val="24"/>
          <w:szCs w:val="24"/>
        </w:rPr>
      </w:pPr>
      <w:r>
        <w:rPr>
          <w:rFonts w:hint="eastAsia" w:ascii="仿宋" w:hAnsi="仿宋" w:eastAsia="仿宋" w:cs="仿宋"/>
          <w:sz w:val="24"/>
          <w:szCs w:val="24"/>
        </w:rPr>
        <w:t>联系人：                        联系人：</w:t>
      </w:r>
    </w:p>
    <w:p w14:paraId="16704EC9">
      <w:pPr>
        <w:ind w:firstLine="480" w:firstLineChars="200"/>
        <w:rPr>
          <w:rFonts w:hint="eastAsia" w:ascii="仿宋" w:hAnsi="仿宋" w:eastAsia="仿宋" w:cs="仿宋"/>
          <w:sz w:val="24"/>
          <w:szCs w:val="24"/>
        </w:rPr>
      </w:pPr>
      <w:r>
        <w:rPr>
          <w:rFonts w:hint="eastAsia" w:ascii="仿宋" w:hAnsi="仿宋" w:eastAsia="仿宋" w:cs="仿宋"/>
          <w:sz w:val="24"/>
          <w:szCs w:val="24"/>
        </w:rPr>
        <w:t>电话：                          电话：</w:t>
      </w:r>
    </w:p>
    <w:p w14:paraId="0D0F1C3F">
      <w:pPr>
        <w:rPr>
          <w:rFonts w:hint="eastAsia" w:ascii="仿宋" w:hAnsi="仿宋" w:eastAsia="仿宋" w:cs="仿宋"/>
        </w:rPr>
      </w:pPr>
    </w:p>
    <w:p w14:paraId="065053AA">
      <w:pPr>
        <w:rPr>
          <w:rFonts w:hint="eastAsia" w:ascii="仿宋" w:hAnsi="仿宋" w:eastAsia="仿宋" w:cs="仿宋"/>
        </w:rPr>
      </w:pPr>
    </w:p>
    <w:p w14:paraId="253FD2F4">
      <w:pPr>
        <w:pStyle w:val="4"/>
        <w:rPr>
          <w:rFonts w:hint="eastAsia" w:ascii="仿宋" w:hAnsi="仿宋" w:eastAsia="仿宋" w:cs="仿宋"/>
        </w:rPr>
      </w:pPr>
    </w:p>
    <w:p w14:paraId="1E80A485">
      <w:pPr>
        <w:pStyle w:val="4"/>
        <w:rPr>
          <w:rFonts w:hint="eastAsia" w:ascii="仿宋" w:hAnsi="仿宋" w:eastAsia="仿宋" w:cs="仿宋"/>
        </w:rPr>
      </w:pPr>
    </w:p>
    <w:p w14:paraId="5C4EC9FD">
      <w:pPr>
        <w:pStyle w:val="3"/>
        <w:spacing w:beforeAutospacing="0" w:afterAutospacing="0" w:line="420" w:lineRule="exact"/>
        <w:jc w:val="center"/>
        <w:outlineLvl w:val="0"/>
        <w:rPr>
          <w:rFonts w:hint="eastAsia" w:ascii="仿宋" w:hAnsi="仿宋" w:eastAsia="仿宋" w:cs="仿宋"/>
          <w:b/>
          <w:sz w:val="36"/>
          <w:szCs w:val="36"/>
          <w:highlight w:val="none"/>
        </w:rPr>
      </w:pPr>
    </w:p>
    <w:p w14:paraId="15905D72">
      <w:pPr>
        <w:pStyle w:val="3"/>
        <w:spacing w:beforeAutospacing="0" w:afterAutospacing="0" w:line="420" w:lineRule="exact"/>
        <w:jc w:val="center"/>
        <w:outlineLvl w:val="0"/>
        <w:rPr>
          <w:rFonts w:hint="eastAsia" w:ascii="仿宋" w:hAnsi="仿宋" w:eastAsia="仿宋" w:cs="仿宋"/>
          <w:b/>
          <w:sz w:val="36"/>
          <w:szCs w:val="36"/>
          <w:highlight w:val="none"/>
        </w:rPr>
      </w:pPr>
    </w:p>
    <w:p w14:paraId="7A88B7B5">
      <w:pPr>
        <w:pStyle w:val="3"/>
        <w:spacing w:beforeAutospacing="0" w:afterAutospacing="0" w:line="420" w:lineRule="exact"/>
        <w:jc w:val="center"/>
        <w:outlineLvl w:val="0"/>
        <w:rPr>
          <w:rFonts w:hint="eastAsia" w:ascii="仿宋" w:hAnsi="仿宋" w:eastAsia="仿宋" w:cs="仿宋"/>
          <w:b/>
          <w:sz w:val="36"/>
          <w:szCs w:val="36"/>
          <w:highlight w:val="none"/>
        </w:rPr>
      </w:pPr>
    </w:p>
    <w:p w14:paraId="513DD45E">
      <w:pPr>
        <w:pStyle w:val="3"/>
        <w:spacing w:beforeAutospacing="0" w:afterAutospacing="0" w:line="420" w:lineRule="exact"/>
        <w:jc w:val="center"/>
        <w:outlineLvl w:val="0"/>
        <w:rPr>
          <w:rFonts w:hint="eastAsia" w:ascii="仿宋" w:hAnsi="仿宋" w:eastAsia="仿宋" w:cs="仿宋"/>
          <w:b/>
          <w:sz w:val="36"/>
          <w:szCs w:val="36"/>
          <w:highlight w:val="none"/>
        </w:rPr>
      </w:pPr>
    </w:p>
    <w:p w14:paraId="63BEC766">
      <w:pPr>
        <w:pStyle w:val="3"/>
        <w:spacing w:beforeAutospacing="0" w:afterAutospacing="0" w:line="420" w:lineRule="exact"/>
        <w:jc w:val="center"/>
        <w:outlineLvl w:val="0"/>
        <w:rPr>
          <w:rFonts w:hint="eastAsia" w:ascii="仿宋" w:hAnsi="仿宋" w:eastAsia="仿宋" w:cs="仿宋"/>
          <w:b/>
          <w:sz w:val="36"/>
          <w:szCs w:val="36"/>
          <w:highlight w:val="none"/>
        </w:rPr>
      </w:pPr>
    </w:p>
    <w:p w14:paraId="6AB5DCE7">
      <w:pPr>
        <w:pStyle w:val="3"/>
        <w:spacing w:beforeAutospacing="0" w:afterAutospacing="0" w:line="420" w:lineRule="exact"/>
        <w:jc w:val="center"/>
        <w:outlineLvl w:val="0"/>
        <w:rPr>
          <w:rFonts w:hint="eastAsia" w:ascii="仿宋" w:hAnsi="仿宋" w:eastAsia="仿宋" w:cs="仿宋"/>
          <w:b/>
          <w:sz w:val="36"/>
          <w:szCs w:val="36"/>
          <w:highlight w:val="none"/>
        </w:rPr>
      </w:pPr>
    </w:p>
    <w:p w14:paraId="0C44AD96">
      <w:pPr>
        <w:pStyle w:val="3"/>
        <w:spacing w:beforeAutospacing="0" w:afterAutospacing="0" w:line="420" w:lineRule="exact"/>
        <w:jc w:val="center"/>
        <w:outlineLvl w:val="0"/>
        <w:rPr>
          <w:rFonts w:hint="eastAsia" w:ascii="仿宋" w:hAnsi="仿宋" w:eastAsia="仿宋" w:cs="仿宋"/>
          <w:b/>
          <w:sz w:val="36"/>
          <w:szCs w:val="36"/>
          <w:highlight w:val="none"/>
        </w:rPr>
      </w:pPr>
    </w:p>
    <w:p w14:paraId="18D2B09A">
      <w:pPr>
        <w:pStyle w:val="3"/>
        <w:spacing w:beforeAutospacing="0" w:afterAutospacing="0" w:line="420" w:lineRule="exact"/>
        <w:jc w:val="center"/>
        <w:outlineLvl w:val="0"/>
        <w:rPr>
          <w:rFonts w:hint="eastAsia" w:ascii="仿宋" w:hAnsi="仿宋" w:eastAsia="仿宋" w:cs="仿宋"/>
          <w:b/>
          <w:sz w:val="36"/>
          <w:szCs w:val="36"/>
          <w:highlight w:val="none"/>
        </w:rPr>
      </w:pPr>
    </w:p>
    <w:p w14:paraId="2B5DAA7D">
      <w:pPr>
        <w:pStyle w:val="3"/>
        <w:spacing w:beforeAutospacing="0" w:afterAutospacing="0" w:line="420" w:lineRule="exact"/>
        <w:jc w:val="center"/>
        <w:outlineLvl w:val="0"/>
        <w:rPr>
          <w:rFonts w:hint="eastAsia" w:ascii="仿宋" w:hAnsi="仿宋" w:eastAsia="仿宋" w:cs="仿宋"/>
          <w:b/>
          <w:sz w:val="36"/>
          <w:szCs w:val="36"/>
          <w:highlight w:val="none"/>
        </w:rPr>
      </w:pPr>
    </w:p>
    <w:p w14:paraId="543B6B72">
      <w:pPr>
        <w:pStyle w:val="3"/>
        <w:spacing w:beforeAutospacing="0" w:afterAutospacing="0" w:line="420" w:lineRule="exact"/>
        <w:jc w:val="center"/>
        <w:outlineLvl w:val="0"/>
        <w:rPr>
          <w:rFonts w:hint="eastAsia" w:ascii="仿宋" w:hAnsi="仿宋" w:eastAsia="仿宋" w:cs="仿宋"/>
          <w:b/>
          <w:sz w:val="36"/>
          <w:szCs w:val="36"/>
          <w:highlight w:val="none"/>
        </w:rPr>
      </w:pPr>
    </w:p>
    <w:p w14:paraId="759FA22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decorative"/>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997699"/>
    <w:rsid w:val="0499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8"/>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Indent"/>
    <w:basedOn w:val="1"/>
    <w:uiPriority w:val="0"/>
    <w:pPr>
      <w:widowControl/>
      <w:ind w:left="426" w:hanging="426" w:hangingChars="152"/>
      <w:jc w:val="left"/>
    </w:pPr>
    <w:rPr>
      <w:rFonts w:ascii="宋体"/>
      <w:kern w:val="0"/>
    </w:rPr>
  </w:style>
  <w:style w:type="paragraph" w:styleId="3">
    <w:name w:val="Normal (Web)"/>
    <w:basedOn w:val="1"/>
    <w:uiPriority w:val="99"/>
    <w:pPr>
      <w:widowControl/>
      <w:spacing w:before="100" w:beforeAutospacing="1" w:after="100" w:afterAutospacing="1"/>
      <w:jc w:val="left"/>
    </w:pPr>
    <w:rPr>
      <w:rFonts w:hint="eastAsia" w:ascii="宋体" w:hAnsi="宋体"/>
      <w:kern w:val="0"/>
      <w:sz w:val="24"/>
      <w:szCs w:val="24"/>
    </w:rPr>
  </w:style>
  <w:style w:type="paragraph" w:styleId="4">
    <w:name w:val="Body Text First Indent 2"/>
    <w:basedOn w:val="2"/>
    <w:qFormat/>
    <w:uiPriority w:val="0"/>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1</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2026-03-22T15:07:00Z</dcterms:created>
  <dc:creator>伤流景</dc:creator>
  <cp:lastModifiedBy>伤流景</cp:lastModifiedBy>
  <dcterms:modified xsi:type="dcterms:W3CDTF">2026-03-22T15:08:29Z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6CDC63D1AA534976856C752A24D84873_11</vt:lpwstr>
  </property>
  <property fmtid="{D5CDD505-2E9C-101B-9397-08002B2CF9AE}" pid="4" name="KSOTemplateDocerSaveRecord">
    <vt:lpwstr>eyJoZGlkIjoiZjZhMzQwYjNhY2M3ZTY5ZDkxNzlhYTE3MzY4NDUyM2QiLCJ1c2VySWQiOiI3Mzc0NzA0MTgifQ==</vt:lpwstr>
  </property>
</Properties>
</file>