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20" w:after="20" w:line="360" w:lineRule="auto"/>
        <w:jc w:val="center"/>
        <w:textAlignment w:val="auto"/>
        <w:outlineLvl w:val="0"/>
        <w:rPr>
          <w:rFonts w:hint="eastAsia" w:ascii="Times New Roman" w:hAnsi="Times New Roman" w:eastAsia="宋体" w:cs="Times New Roman"/>
          <w:color w:val="auto"/>
          <w:sz w:val="44"/>
          <w:szCs w:val="44"/>
        </w:rPr>
      </w:pPr>
      <w:r>
        <w:rPr>
          <w:rFonts w:hint="eastAsia" w:ascii="Times New Roman" w:hAnsi="Times New Roman" w:eastAsia="宋体" w:cs="Times New Roman"/>
          <w:color w:val="auto"/>
          <w:sz w:val="44"/>
          <w:szCs w:val="44"/>
        </w:rPr>
        <w:t>招标内容及技术要求</w:t>
      </w:r>
    </w:p>
    <w:p>
      <w:pPr>
        <w:pStyle w:val="2"/>
        <w:pageBreakBefore w:val="0"/>
        <w:tabs>
          <w:tab w:val="right" w:leader="dot" w:pos="8296"/>
        </w:tabs>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lang w:val="en-US" w:eastAsia="zh-CN"/>
        </w:rPr>
        <w:t>1.采购标的</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4136"/>
        <w:gridCol w:w="1456"/>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45" w:type="pct"/>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26" w:type="pct"/>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名称</w:t>
            </w:r>
          </w:p>
        </w:tc>
        <w:tc>
          <w:tcPr>
            <w:tcW w:w="854" w:type="pct"/>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采购数量</w:t>
            </w:r>
          </w:p>
        </w:tc>
        <w:tc>
          <w:tcPr>
            <w:tcW w:w="1073" w:type="pct"/>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5" w:type="pct"/>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26" w:type="pct"/>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项目基础处理服务</w:t>
            </w:r>
          </w:p>
        </w:tc>
        <w:tc>
          <w:tcPr>
            <w:tcW w:w="854" w:type="pct"/>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lang w:val="en-US" w:eastAsia="zh-CN"/>
              </w:rPr>
            </w:pPr>
            <w:bookmarkStart w:id="0" w:name="OLE_LINK1"/>
            <w:r>
              <w:rPr>
                <w:rFonts w:hint="eastAsia" w:ascii="宋体" w:hAnsi="宋体" w:eastAsia="宋体" w:cs="宋体"/>
                <w:color w:val="auto"/>
                <w:sz w:val="24"/>
                <w:szCs w:val="24"/>
                <w:lang w:val="en-US" w:eastAsia="zh-CN"/>
              </w:rPr>
              <w:t>1项</w:t>
            </w:r>
            <w:bookmarkEnd w:id="0"/>
          </w:p>
        </w:tc>
        <w:tc>
          <w:tcPr>
            <w:tcW w:w="1073" w:type="pct"/>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5" w:type="pct"/>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426" w:type="pct"/>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调度数据处理服务</w:t>
            </w:r>
          </w:p>
        </w:tc>
        <w:tc>
          <w:tcPr>
            <w:tcW w:w="854" w:type="pct"/>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1项</w:t>
            </w:r>
          </w:p>
        </w:tc>
        <w:tc>
          <w:tcPr>
            <w:tcW w:w="1073" w:type="pct"/>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5" w:type="pct"/>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426" w:type="pct"/>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调度、观摩数据处理服务</w:t>
            </w:r>
          </w:p>
        </w:tc>
        <w:tc>
          <w:tcPr>
            <w:tcW w:w="854" w:type="pct"/>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1项</w:t>
            </w:r>
          </w:p>
        </w:tc>
        <w:tc>
          <w:tcPr>
            <w:tcW w:w="1073" w:type="pct"/>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5" w:type="pct"/>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426" w:type="pct"/>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榆林市重点项目全过程管理平台</w:t>
            </w:r>
          </w:p>
        </w:tc>
        <w:tc>
          <w:tcPr>
            <w:tcW w:w="854" w:type="pct"/>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1套</w:t>
            </w:r>
          </w:p>
        </w:tc>
        <w:tc>
          <w:tcPr>
            <w:tcW w:w="1073" w:type="pct"/>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服务支撑平台</w:t>
            </w:r>
          </w:p>
        </w:tc>
      </w:tr>
    </w:tbl>
    <w:p>
      <w:pPr>
        <w:pageBreakBefore w:val="0"/>
        <w:numPr>
          <w:ilvl w:val="0"/>
          <w:numId w:val="0"/>
        </w:numPr>
        <w:kinsoku/>
        <w:wordWrap/>
        <w:overflowPunct/>
        <w:topLinePunct w:val="0"/>
        <w:autoSpaceDE/>
        <w:autoSpaceDN/>
        <w:bidi w:val="0"/>
        <w:adjustRightInd/>
        <w:spacing w:line="360" w:lineRule="auto"/>
        <w:ind w:left="210" w:leftChars="0" w:firstLine="0" w:firstLineChars="0"/>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2.项目背景</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根据《国家发展改革委“智慧发改”建设规划》指出的提升业务协同、精准施策的智慧决策能力，整合完善投资项目管理应用等要求</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我</w:t>
      </w:r>
      <w:r>
        <w:rPr>
          <w:rFonts w:hint="eastAsia" w:ascii="宋体" w:hAnsi="宋体" w:eastAsia="宋体" w:cs="宋体"/>
          <w:color w:val="auto"/>
          <w:sz w:val="24"/>
          <w:szCs w:val="24"/>
          <w:lang w:val="en-US" w:eastAsia="zh-CN"/>
        </w:rPr>
        <w:t>市</w:t>
      </w:r>
      <w:r>
        <w:rPr>
          <w:rFonts w:hint="eastAsia" w:ascii="宋体" w:hAnsi="宋体" w:eastAsia="宋体" w:cs="宋体"/>
          <w:color w:val="auto"/>
          <w:sz w:val="24"/>
          <w:szCs w:val="24"/>
        </w:rPr>
        <w:t>信息化建设将在强本固基的基础上，进一步向创新跨越的高级阶段迈进，以完善宏观经济调控治理为目标引领，以大数据赋能、可视化分析、</w:t>
      </w:r>
      <w:r>
        <w:rPr>
          <w:rFonts w:hint="eastAsia" w:ascii="宋体" w:hAnsi="宋体" w:eastAsia="宋体" w:cs="宋体"/>
          <w:color w:val="auto"/>
          <w:sz w:val="24"/>
          <w:szCs w:val="24"/>
          <w:lang w:val="en-US" w:eastAsia="zh-CN"/>
        </w:rPr>
        <w:t>数据</w:t>
      </w:r>
      <w:r>
        <w:rPr>
          <w:rFonts w:hint="eastAsia" w:ascii="宋体" w:hAnsi="宋体" w:eastAsia="宋体" w:cs="宋体"/>
          <w:color w:val="auto"/>
          <w:sz w:val="24"/>
          <w:szCs w:val="24"/>
        </w:rPr>
        <w:t>化</w:t>
      </w:r>
      <w:r>
        <w:rPr>
          <w:rFonts w:hint="eastAsia" w:ascii="宋体" w:hAnsi="宋体" w:eastAsia="宋体" w:cs="宋体"/>
          <w:color w:val="auto"/>
          <w:sz w:val="24"/>
          <w:szCs w:val="24"/>
          <w:lang w:val="en-US" w:eastAsia="zh-CN"/>
        </w:rPr>
        <w:t>共享</w:t>
      </w:r>
      <w:r>
        <w:rPr>
          <w:rFonts w:hint="eastAsia" w:ascii="宋体" w:hAnsi="宋体" w:eastAsia="宋体" w:cs="宋体"/>
          <w:color w:val="auto"/>
          <w:sz w:val="24"/>
          <w:szCs w:val="24"/>
        </w:rPr>
        <w:t>、模型化研究、智能化办公为主要标志，以集约统筹、务实创新为推进路径，重点围绕重大政策、重大规划、重大战略、重大任务、重大工程，以全面提升宏观调控的信息化支撑水平为目标，重点加强投资项目管理等方面业务应用建设。通过</w:t>
      </w:r>
      <w:r>
        <w:rPr>
          <w:rFonts w:hint="eastAsia" w:ascii="宋体" w:hAnsi="宋体" w:eastAsia="宋体" w:cs="宋体"/>
          <w:color w:val="auto"/>
          <w:sz w:val="24"/>
          <w:szCs w:val="24"/>
          <w:lang w:eastAsia="zh-CN"/>
        </w:rPr>
        <w:t>建设榆林市重点项目全过程管理</w:t>
      </w:r>
      <w:r>
        <w:rPr>
          <w:rFonts w:hint="eastAsia" w:ascii="宋体" w:hAnsi="宋体" w:eastAsia="宋体" w:cs="宋体"/>
          <w:color w:val="auto"/>
          <w:sz w:val="24"/>
          <w:szCs w:val="24"/>
          <w:lang w:val="en-US" w:eastAsia="zh-CN"/>
        </w:rPr>
        <w:t>服务项目</w:t>
      </w:r>
      <w:r>
        <w:rPr>
          <w:rFonts w:hint="eastAsia" w:ascii="宋体" w:hAnsi="宋体" w:eastAsia="宋体" w:cs="宋体"/>
          <w:color w:val="auto"/>
          <w:sz w:val="24"/>
          <w:szCs w:val="24"/>
        </w:rPr>
        <w:t>，在满足</w:t>
      </w:r>
      <w:r>
        <w:rPr>
          <w:rFonts w:hint="eastAsia" w:ascii="宋体" w:hAnsi="宋体" w:eastAsia="宋体" w:cs="宋体"/>
          <w:color w:val="auto"/>
          <w:sz w:val="24"/>
          <w:szCs w:val="24"/>
          <w:lang w:eastAsia="zh-CN"/>
        </w:rPr>
        <w:t>全市</w:t>
      </w:r>
      <w:r>
        <w:rPr>
          <w:rFonts w:hint="eastAsia" w:ascii="宋体" w:hAnsi="宋体" w:eastAsia="宋体" w:cs="宋体"/>
          <w:color w:val="auto"/>
          <w:sz w:val="24"/>
          <w:szCs w:val="24"/>
        </w:rPr>
        <w:t>重点项目管理需求的基础上，与全</w:t>
      </w:r>
      <w:r>
        <w:rPr>
          <w:rFonts w:hint="eastAsia" w:ascii="宋体" w:hAnsi="宋体" w:eastAsia="宋体" w:cs="宋体"/>
          <w:color w:val="auto"/>
          <w:sz w:val="24"/>
          <w:szCs w:val="24"/>
          <w:lang w:val="en-US" w:eastAsia="zh-CN"/>
        </w:rPr>
        <w:t>市</w:t>
      </w:r>
      <w:r>
        <w:rPr>
          <w:rFonts w:hint="eastAsia" w:ascii="宋体" w:hAnsi="宋体" w:eastAsia="宋体" w:cs="宋体"/>
          <w:color w:val="auto"/>
          <w:sz w:val="24"/>
          <w:szCs w:val="24"/>
        </w:rPr>
        <w:t>各信息系统数据共享，加强信息化分析、信息化办公、信息化决策和信息化服务能力。</w:t>
      </w:r>
    </w:p>
    <w:p>
      <w:pPr>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本次</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eastAsia="zh-CN"/>
        </w:rPr>
        <w:t>项目是《国家发展改革委“智慧发改”建设规划》指出整合完善投资项目管理应用的要求。是落实</w:t>
      </w:r>
      <w:r>
        <w:rPr>
          <w:rFonts w:hint="eastAsia" w:ascii="宋体" w:hAnsi="宋体" w:eastAsia="宋体" w:cs="宋体"/>
          <w:color w:val="auto"/>
          <w:sz w:val="24"/>
          <w:szCs w:val="24"/>
          <w:lang w:val="en-US" w:eastAsia="zh-CN"/>
        </w:rPr>
        <w:t>省</w:t>
      </w:r>
      <w:r>
        <w:rPr>
          <w:rFonts w:hint="eastAsia" w:ascii="宋体" w:hAnsi="宋体" w:eastAsia="宋体" w:cs="宋体"/>
          <w:color w:val="auto"/>
          <w:sz w:val="24"/>
          <w:szCs w:val="24"/>
          <w:lang w:eastAsia="zh-CN"/>
        </w:rPr>
        <w:t>委、</w:t>
      </w:r>
      <w:r>
        <w:rPr>
          <w:rFonts w:hint="eastAsia" w:ascii="宋体" w:hAnsi="宋体" w:eastAsia="宋体" w:cs="宋体"/>
          <w:color w:val="auto"/>
          <w:sz w:val="24"/>
          <w:szCs w:val="24"/>
          <w:lang w:val="en-US" w:eastAsia="zh-CN"/>
        </w:rPr>
        <w:t>省</w:t>
      </w:r>
      <w:r>
        <w:rPr>
          <w:rFonts w:hint="eastAsia" w:ascii="宋体" w:hAnsi="宋体" w:eastAsia="宋体" w:cs="宋体"/>
          <w:color w:val="auto"/>
          <w:sz w:val="24"/>
          <w:szCs w:val="24"/>
          <w:lang w:eastAsia="zh-CN"/>
        </w:rPr>
        <w:t>政府关于《</w:t>
      </w:r>
      <w:r>
        <w:rPr>
          <w:rFonts w:hint="eastAsia" w:ascii="宋体" w:hAnsi="宋体" w:eastAsia="宋体" w:cs="宋体"/>
          <w:color w:val="auto"/>
          <w:sz w:val="24"/>
          <w:szCs w:val="24"/>
          <w:lang w:val="en-US" w:eastAsia="zh-CN"/>
        </w:rPr>
        <w:t>陕西省</w:t>
      </w:r>
      <w:r>
        <w:rPr>
          <w:rFonts w:hint="eastAsia" w:ascii="宋体" w:hAnsi="宋体" w:eastAsia="宋体" w:cs="宋体"/>
          <w:color w:val="auto"/>
          <w:sz w:val="24"/>
          <w:szCs w:val="24"/>
          <w:lang w:eastAsia="zh-CN"/>
        </w:rPr>
        <w:t>高质量项目推进年行动方案》《</w:t>
      </w:r>
      <w:r>
        <w:rPr>
          <w:rFonts w:hint="eastAsia" w:ascii="宋体" w:hAnsi="宋体" w:eastAsia="宋体" w:cs="宋体"/>
          <w:color w:val="auto"/>
          <w:sz w:val="24"/>
          <w:szCs w:val="24"/>
          <w:lang w:val="en-US" w:eastAsia="zh-CN"/>
        </w:rPr>
        <w:t>陕西省</w:t>
      </w:r>
      <w:r>
        <w:rPr>
          <w:rFonts w:hint="eastAsia" w:ascii="宋体" w:hAnsi="宋体" w:eastAsia="宋体" w:cs="宋体"/>
          <w:color w:val="auto"/>
          <w:sz w:val="24"/>
          <w:szCs w:val="24"/>
          <w:lang w:eastAsia="zh-CN"/>
        </w:rPr>
        <w:t>重点项目全生命周期管理办法》以及省委书记赵一德、省长赵刚历次在全</w:t>
      </w:r>
      <w:r>
        <w:rPr>
          <w:rFonts w:hint="eastAsia" w:ascii="宋体" w:hAnsi="宋体" w:eastAsia="宋体" w:cs="宋体"/>
          <w:color w:val="auto"/>
          <w:sz w:val="24"/>
          <w:szCs w:val="24"/>
          <w:lang w:val="en-US" w:eastAsia="zh-CN"/>
        </w:rPr>
        <w:t>省</w:t>
      </w:r>
      <w:r>
        <w:rPr>
          <w:rFonts w:hint="eastAsia" w:ascii="宋体" w:hAnsi="宋体" w:eastAsia="宋体" w:cs="宋体"/>
          <w:color w:val="auto"/>
          <w:sz w:val="24"/>
          <w:szCs w:val="24"/>
          <w:lang w:eastAsia="zh-CN"/>
        </w:rPr>
        <w:t>重点项目观摩暨高质量项目建设工作会议上的讲话要求。</w:t>
      </w:r>
    </w:p>
    <w:p>
      <w:pPr>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榆林市</w:t>
      </w:r>
      <w:r>
        <w:rPr>
          <w:rFonts w:hint="eastAsia" w:ascii="宋体" w:hAnsi="宋体" w:eastAsia="宋体" w:cs="宋体"/>
          <w:color w:val="auto"/>
          <w:sz w:val="24"/>
          <w:szCs w:val="24"/>
          <w:lang w:val="en-US" w:eastAsia="zh-CN"/>
        </w:rPr>
        <w:t>发布了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榆林市</w:t>
      </w:r>
      <w:r>
        <w:rPr>
          <w:rFonts w:hint="eastAsia" w:ascii="宋体" w:hAnsi="宋体" w:eastAsia="宋体" w:cs="宋体"/>
          <w:color w:val="auto"/>
          <w:sz w:val="24"/>
          <w:szCs w:val="24"/>
        </w:rPr>
        <w:t>高质量项目推进年行动方案》</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推动项目建设过程中的高质量要求贯彻落实。这项行动方案着重于完善项目动态管理机制，其中包括了“谋划一批、储备一批、开工一批、投产一批”的措施，旨在持续推进那些具有经济效益高、社会效益好、资源消耗少、引领作用强的高质量项目，为</w:t>
      </w:r>
      <w:r>
        <w:rPr>
          <w:rFonts w:hint="eastAsia" w:ascii="宋体" w:hAnsi="宋体" w:eastAsia="宋体" w:cs="宋体"/>
          <w:color w:val="auto"/>
          <w:sz w:val="24"/>
          <w:szCs w:val="24"/>
          <w:lang w:eastAsia="zh-CN"/>
        </w:rPr>
        <w:t>榆林市</w:t>
      </w:r>
      <w:r>
        <w:rPr>
          <w:rFonts w:hint="eastAsia" w:ascii="宋体" w:hAnsi="宋体" w:eastAsia="宋体" w:cs="宋体"/>
          <w:color w:val="auto"/>
          <w:sz w:val="24"/>
          <w:szCs w:val="24"/>
        </w:rPr>
        <w:t>的高质量发展做出有力支撑。</w:t>
      </w:r>
    </w:p>
    <w:p>
      <w:pPr>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lang w:val="en-US" w:eastAsia="zh-CN"/>
        </w:rPr>
        <w:t>3.服务要求</w:t>
      </w:r>
    </w:p>
    <w:p>
      <w:pPr>
        <w:pageBreakBefore w:val="0"/>
        <w:numPr>
          <w:ilvl w:val="0"/>
          <w:numId w:val="0"/>
        </w:numPr>
        <w:kinsoku/>
        <w:wordWrap/>
        <w:overflowPunct/>
        <w:topLinePunct w:val="0"/>
        <w:autoSpaceDE/>
        <w:autoSpaceDN/>
        <w:bidi w:val="0"/>
        <w:adjustRightInd/>
        <w:spacing w:line="36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投标人按以下服务要求、技术指标编制投标文件。</w:t>
      </w:r>
    </w:p>
    <w:p>
      <w:pPr>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3.1重点项目首页</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将</w:t>
      </w:r>
      <w:r>
        <w:rPr>
          <w:rFonts w:hint="eastAsia" w:ascii="宋体" w:hAnsi="宋体" w:eastAsia="宋体" w:cs="宋体"/>
          <w:bCs/>
          <w:color w:val="auto"/>
          <w:kern w:val="0"/>
          <w:sz w:val="24"/>
          <w:szCs w:val="24"/>
          <w:lang w:val="en-US" w:eastAsia="zh-CN"/>
        </w:rPr>
        <w:t>重点</w:t>
      </w:r>
      <w:r>
        <w:rPr>
          <w:rFonts w:hint="eastAsia" w:ascii="宋体" w:hAnsi="宋体" w:eastAsia="宋体" w:cs="宋体"/>
          <w:bCs/>
          <w:color w:val="auto"/>
          <w:kern w:val="0"/>
          <w:sz w:val="24"/>
          <w:szCs w:val="24"/>
        </w:rPr>
        <w:t>项目分为</w:t>
      </w:r>
      <w:r>
        <w:rPr>
          <w:rFonts w:hint="eastAsia" w:ascii="宋体" w:hAnsi="宋体" w:eastAsia="宋体" w:cs="宋体"/>
          <w:bCs/>
          <w:color w:val="auto"/>
          <w:kern w:val="0"/>
          <w:sz w:val="24"/>
          <w:szCs w:val="24"/>
          <w:lang w:val="en-US" w:eastAsia="zh-CN"/>
        </w:rPr>
        <w:t>市级重点建设项目计划盘子、重点前期项目盘子、重点建设四个一批三大板块</w:t>
      </w:r>
      <w:r>
        <w:rPr>
          <w:rFonts w:hint="eastAsia" w:ascii="宋体" w:hAnsi="宋体" w:eastAsia="宋体" w:cs="宋体"/>
          <w:bCs/>
          <w:color w:val="auto"/>
          <w:kern w:val="0"/>
          <w:sz w:val="24"/>
          <w:szCs w:val="24"/>
        </w:rPr>
        <w:t>，统计</w:t>
      </w:r>
      <w:r>
        <w:rPr>
          <w:rFonts w:hint="eastAsia" w:ascii="宋体" w:hAnsi="宋体" w:eastAsia="宋体" w:cs="宋体"/>
          <w:bCs/>
          <w:color w:val="auto"/>
          <w:kern w:val="0"/>
          <w:sz w:val="24"/>
          <w:szCs w:val="24"/>
          <w:lang w:val="en-US" w:eastAsia="zh-CN"/>
        </w:rPr>
        <w:t>重点</w:t>
      </w:r>
      <w:r>
        <w:rPr>
          <w:rFonts w:hint="eastAsia" w:ascii="宋体" w:hAnsi="宋体" w:eastAsia="宋体" w:cs="宋体"/>
          <w:bCs/>
          <w:color w:val="auto"/>
          <w:kern w:val="0"/>
          <w:sz w:val="24"/>
          <w:szCs w:val="24"/>
        </w:rPr>
        <w:t>项目的项目总数、项目总投资和年计划投资，将投资项目按行业、单位统计项目数和年计划投资，通过</w:t>
      </w:r>
      <w:r>
        <w:rPr>
          <w:rFonts w:hint="eastAsia" w:ascii="宋体" w:hAnsi="宋体" w:eastAsia="宋体" w:cs="宋体"/>
          <w:bCs/>
          <w:color w:val="auto"/>
          <w:kern w:val="0"/>
          <w:sz w:val="24"/>
          <w:szCs w:val="24"/>
          <w:lang w:val="en-US" w:eastAsia="zh-CN"/>
        </w:rPr>
        <w:t>流程图</w:t>
      </w:r>
      <w:r>
        <w:rPr>
          <w:rFonts w:hint="eastAsia" w:ascii="宋体" w:hAnsi="宋体" w:eastAsia="宋体" w:cs="宋体"/>
          <w:bCs/>
          <w:color w:val="auto"/>
          <w:kern w:val="0"/>
          <w:sz w:val="24"/>
          <w:szCs w:val="24"/>
        </w:rPr>
        <w:t>的形式展示出来；首页展示</w:t>
      </w:r>
      <w:r>
        <w:rPr>
          <w:rFonts w:hint="eastAsia" w:ascii="宋体" w:hAnsi="宋体" w:eastAsia="宋体" w:cs="宋体"/>
          <w:bCs/>
          <w:color w:val="auto"/>
          <w:kern w:val="0"/>
          <w:sz w:val="24"/>
          <w:szCs w:val="24"/>
          <w:lang w:val="en-US" w:eastAsia="zh-CN"/>
        </w:rPr>
        <w:t>审批手续清单、开工在建清单、纳规入统清单、竣工项目清单和绩效评价清单。</w:t>
      </w:r>
    </w:p>
    <w:p>
      <w:pPr>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3.2要素保障首页</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展示</w:t>
      </w:r>
      <w:r>
        <w:rPr>
          <w:rFonts w:hint="eastAsia" w:ascii="宋体" w:hAnsi="宋体" w:eastAsia="宋体" w:cs="宋体"/>
          <w:bCs/>
          <w:color w:val="auto"/>
          <w:kern w:val="0"/>
          <w:sz w:val="24"/>
          <w:szCs w:val="24"/>
          <w:lang w:val="en-US" w:eastAsia="zh-CN"/>
        </w:rPr>
        <w:t>重点建设</w:t>
      </w:r>
      <w:r>
        <w:rPr>
          <w:rFonts w:hint="eastAsia" w:ascii="宋体" w:hAnsi="宋体" w:eastAsia="宋体" w:cs="宋体"/>
          <w:bCs/>
          <w:color w:val="auto"/>
          <w:kern w:val="0"/>
          <w:sz w:val="24"/>
          <w:szCs w:val="24"/>
        </w:rPr>
        <w:t>项目的手续办理情况、分项手续办理情况统计、分项手续办理情况占比、项目单位分项手续办理情况统计和项目单位分项手续办理情况占比，通过导航栏切换不同建设阶段查看项目手续办理情况</w:t>
      </w:r>
      <w:r>
        <w:rPr>
          <w:rFonts w:hint="eastAsia" w:ascii="宋体" w:hAnsi="宋体" w:eastAsia="宋体" w:cs="宋体"/>
          <w:bCs/>
          <w:color w:val="auto"/>
          <w:kern w:val="0"/>
          <w:sz w:val="24"/>
          <w:szCs w:val="24"/>
          <w:lang w:eastAsia="zh-CN"/>
        </w:rPr>
        <w:t>。</w:t>
      </w:r>
    </w:p>
    <w:p>
      <w:pPr>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3.3项目申报库</w:t>
      </w:r>
    </w:p>
    <w:p>
      <w:pPr>
        <w:pStyle w:val="5"/>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重点项目谋划申报，录入申报项目，各单位选择项目录入阶段（可选谋划项目、储备项目、开工项目）后，填写包括项目基本信息、土地信息、资金信息，文件附件上传等项目信息。</w:t>
      </w:r>
    </w:p>
    <w:p>
      <w:pPr>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3.4市级四个一批</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①谋划清单</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申报库项目条件查询、项目修改、批量删除、项目驳回和项目入谋划项目库，项目申报库分配审核单位及数据导出；谋划清单项目转库，各单位申请谋划项目转储备库，由市发改委对谋划项目信息进行审核，经办人审核通过后该项目进入储备库，对审核不合格的，提供驳回功能，驳回到谋划库。</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②储备清单</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储备项目库转库，各区县单位申请储备入开工转库申请，由市发改委审核，审核通过后项目进入开工库，对不合格的项目提供驳回功能，再次进入储备库；提供项目查询功能，支持多条件查询和高级查询功能。提供修改、删除，项目详情查看及手续填报、数据修改、删除、导出等功能；储备项目入回收站，市发改委对需要暂时保留的储备项目可标记为入回收站，回收站中的项目也可再入储备项目库。</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③开工（在建）清单</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工项目库转投产库，提供市级开工项目按条件查询和高级查询功能、开工项目结转功能，项目简介展示和入回收站、数据列表展示和导出功能；开工项目库退储备库，市发改委对不符合开工条件的项目，可通过退回项目到储备库；开工项目库入回收站，市发改委对不符合条件的项目，开工项目可标记为入回收站，暂时保存。回收站项目也可重新进入开工库。</w:t>
      </w:r>
    </w:p>
    <w:p>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④投产清单</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投产清单，提供投产清单项目列表查询，数据修改、退回开工库及数据导出功能。</w:t>
      </w:r>
    </w:p>
    <w:p>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⑤项目总览</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对四个一批的项目数据进行汇总，能够将项目分享给其他主责单位，使其能够看到分享项目的信息，能够导出四个一批项目的所有信息。</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3.5省级四个一批</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建立省级四个一批库，分别是谋划清单、储备清单、开工（在建）清单、投产清单、项目总览、四个一批汇总等。</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3.6重点建设项目盘子</w:t>
      </w:r>
    </w:p>
    <w:p>
      <w:pPr>
        <w:pStyle w:val="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针对已列入市级计划盘子的成熟项目，系统通过闭环管理确保项目从立项、选址、环评等前期手续到开工、纳统、竣工投产及绩效评价的顺利进行。市级盘子包括六大核心库：</w:t>
      </w:r>
      <w:r>
        <w:rPr>
          <w:rFonts w:hint="eastAsia" w:ascii="宋体" w:hAnsi="宋体" w:eastAsia="宋体" w:cs="宋体"/>
          <w:color w:val="auto"/>
          <w:sz w:val="24"/>
          <w:szCs w:val="24"/>
          <w:highlight w:val="none"/>
          <w:lang w:val="en-US" w:eastAsia="zh-CN"/>
        </w:rPr>
        <w:t>项目计划盘子、审批手续清单、开工在建清单、纳规入统清单、竣工项目清单和绩效评价清单。</w:t>
      </w:r>
      <w:r>
        <w:rPr>
          <w:rFonts w:hint="eastAsia" w:ascii="宋体" w:hAnsi="宋体" w:eastAsia="宋体" w:cs="宋体"/>
          <w:color w:val="auto"/>
          <w:sz w:val="24"/>
          <w:szCs w:val="24"/>
          <w:lang w:val="en-US" w:eastAsia="zh-CN"/>
        </w:rPr>
        <w:t>对计划盘子项目，当办理立项手续之后进入要素配置库，补全项目手续，所有手续办理完成之后进入开工在建库，项目竣工之后进入竣工投产库，投产的项目可以进行绩效评价。这些库不仅支持项目数据的录入、分配和跟踪，还提供了导出、修改、删除和详情查看等全面管理功能，允许用户自定义选择页面显示的项目数量和字段信息，使每位用户都能根据自己的需求定制项目信息的展示方式。分页查询功能确保用户能够高效地浏览和管理大量项目信息，提高项目管理效率。</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3.7重点前期盘子</w:t>
      </w:r>
    </w:p>
    <w:p>
      <w:pPr>
        <w:pStyle w:val="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能够录入重点前期项目，高效地管理重点前期项目。还支持自定义选择显示的字段信息。</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3.8月度管理</w:t>
      </w:r>
    </w:p>
    <w:p>
      <w:pPr>
        <w:pStyle w:val="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每个月月底集中填报项目进展情况，项目手续办理情况，项目建设中遇到的问题，协调解决项目中的问题。包括重点前期项目、省级、市级项目盘子等模块。</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3.9业主功能</w:t>
      </w:r>
    </w:p>
    <w:p>
      <w:pPr>
        <w:pStyle w:val="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业主单位可以录入重点项目、策划项目，查看、修改，删除重点项目、策划项目的信息，每月报送项目月度信息，申报业主手续，提出意见，自定义选择页面显示的信息条数。</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3.10项目地图</w:t>
      </w:r>
    </w:p>
    <w:p>
      <w:pPr>
        <w:pStyle w:val="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分别对省级、市级项目的建设地点在地图中标记，快速查询项目的建设地点，展示对应省级、市级项目的分布情况。</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3.11数据智屏</w:t>
      </w:r>
    </w:p>
    <w:p>
      <w:pPr>
        <w:pStyle w:val="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数据智屏的功能模块主要围绕项目的全生命周期管理展开，从项目的储备、招商、开工、复工、投资、竣工到后期的数据分析与展示，都提供了全面而细致的支持。通过地图展示、数据分析等功能。</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3.12项目观摩</w:t>
      </w:r>
    </w:p>
    <w:p>
      <w:pPr>
        <w:pStyle w:val="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持观摩项目的查询、添加、驳回、转历史库、日程规划、导出、修改、删除等功能，同时提供日程表的查询、高级查询、手册导出及修改删除选项，以及一个存储历史观摩项目的库，实现项目观摩活动的有效管理和信息共享。</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3.13问题管理</w:t>
      </w:r>
    </w:p>
    <w:p>
      <w:pPr>
        <w:pStyle w:val="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由责任单位或建设单位实时反馈项目建设中的问题，由发改委协调安排解决，再由责任单位或建设单位进行问题解决验收，实行闭环管理。按照建设年度、项目名称、责任单位等查询，导出按钮导出问题信息，右上角设置按钮可以自行选择想要展示的字段。</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3.14图表管理</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年月来查看不同行业、单位以及月分类下的项目数、总投资和年计划投资等详细数据。用户可以通过柱状图直观地了解这些数据，并且点击柱状图可以进一步查看具体的项目信息。系统还提供了将柱状图切换为折线图的功能，以满足用户不同的数据展示需求。可以保存统计图表以便后续参考。支持查看单月项目的投资情况。</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3.15档案管理</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自动汇总反映出项目从谋划到储备、在建、竣工等全生命周期过程的情况，包括项目手续信息、资金信息、月度进展信息、项目问题解决情况、竣工验收信息、项目投产后效益等信息。</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3.16数据分析</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计分析功能模块专为项目策划、推进、招商及审批等环节设计。它涵盖了策划推进项目的整体情况、各级别（省、市）的统计分析、策划和招商单位的业绩汇总与明细、招商转化占比、在线审批单位的进度追踪、行业领域的趋势分析、责任单位的责任分工以及项目开工竣工的详细状态。通过图表和表格的直观展示，以及明细查询功能，用户能够迅速获取全面、准确的数据。</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3.17一键成文</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该模块集成了数据汇总、对比分析和文档导出功能，能够迅速整合项目的年初计划、中期调整对比情况、调出及调入项目详情，并通过预设格式整理成清晰的报告。用户不仅可以快速获取项目的关键信息，如投资额度、时间节点和建设内容，还能导出为电子表格或PDF文档，方便离线查看、分析和分享。</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3.18智慧短信</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集成了短信群组管理、短信模板设置和短信统计功能。用户可以轻松创建、编辑和查询短信群组，以及根据业务需求自定义短信模板，并在发送时动态替换模板中的变量。此外，该模块还提供了短信统计功能，能够统计并展示不同时间段的短信发送数量、成功率和失败率等关键指标。</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3.19通知公告</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集成了查看、查询、管理以及分页管理功能。用户可以通过“我的通告”功能查看与自己相关的所有通知公告，并利用查询功能快速定位特定信息。管理员或具有相应权限的用户则可以通过“通告管理”功能添加、删除、修改通知公告，确保信息的及时性和准确性。当通告数量较多时，该功能还支持分页管理。</w:t>
      </w:r>
    </w:p>
    <w:p>
      <w:pPr>
        <w:pStyle w:val="4"/>
        <w:pageBreakBefore w:val="0"/>
        <w:numPr>
          <w:ilvl w:val="2"/>
          <w:numId w:val="0"/>
        </w:numPr>
        <w:kinsoku/>
        <w:wordWrap/>
        <w:overflowPunct/>
        <w:topLinePunct w:val="0"/>
        <w:autoSpaceDE/>
        <w:autoSpaceDN/>
        <w:bidi w:val="0"/>
        <w:adjustRightInd/>
        <w:snapToGrid w:val="0"/>
        <w:spacing w:before="120" w:beforeAutospacing="0" w:after="120" w:afterAutospacing="0" w:line="360" w:lineRule="auto"/>
        <w:ind w:leftChars="0"/>
        <w:textAlignment w:val="auto"/>
        <w:outlineLvl w:val="2"/>
        <w:rPr>
          <w:rFonts w:hint="eastAsia" w:ascii="宋体" w:hAnsi="宋体" w:eastAsia="宋体" w:cs="宋体"/>
          <w:b/>
          <w:bCs/>
          <w:color w:val="auto"/>
          <w:kern w:val="21"/>
          <w:sz w:val="24"/>
          <w:szCs w:val="24"/>
          <w:lang w:val="en-US" w:eastAsia="zh-CN" w:bidi="ar-SA"/>
        </w:rPr>
      </w:pPr>
      <w:bookmarkStart w:id="1" w:name="_Toc21084"/>
      <w:r>
        <w:rPr>
          <w:rFonts w:hint="eastAsia" w:ascii="宋体" w:hAnsi="宋体" w:eastAsia="宋体" w:cs="宋体"/>
          <w:b/>
          <w:bCs/>
          <w:color w:val="auto"/>
          <w:kern w:val="21"/>
          <w:sz w:val="24"/>
          <w:szCs w:val="24"/>
          <w:lang w:val="en-US" w:eastAsia="zh-CN" w:bidi="ar-SA"/>
        </w:rPr>
        <w:t>3.20多库联通功能</w:t>
      </w:r>
      <w:bookmarkEnd w:id="1"/>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21"/>
          <w:sz w:val="24"/>
          <w:szCs w:val="24"/>
          <w:lang w:val="en-US" w:eastAsia="zh-CN"/>
        </w:rPr>
      </w:pPr>
      <w:r>
        <w:rPr>
          <w:rFonts w:hint="eastAsia" w:ascii="宋体" w:hAnsi="宋体" w:eastAsia="宋体" w:cs="宋体"/>
          <w:b w:val="0"/>
          <w:bCs w:val="0"/>
          <w:color w:val="auto"/>
          <w:kern w:val="21"/>
          <w:sz w:val="24"/>
          <w:szCs w:val="24"/>
          <w:lang w:val="en-US" w:eastAsia="zh-CN"/>
        </w:rPr>
        <w:t>1.要素保障</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可以支持建设年份、项目名称、项目分类、行业类别的一个或是多个条件的查询全市项目的手续办理，包括占用林地手续，土地批复情况、立项（审核、核准、备案）、环评手续、能评手续、施工许可，展示项目数量、已办结个数、未办结个数以及办理状态（已办理、未办理、正在办理、无需办理）。点击已办结显示手续已办结项目，点击未办结显示手续未办结项目。右上角设置按钮可以自行选择想要展示的字段。项目手续办结情况导出、项目手续明细导出和修改项目手续功能。</w:t>
      </w:r>
    </w:p>
    <w:p>
      <w:pPr>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 w:val="0"/>
          <w:bCs w:val="0"/>
          <w:color w:val="auto"/>
          <w:kern w:val="21"/>
          <w:sz w:val="24"/>
          <w:szCs w:val="24"/>
          <w:lang w:val="en-US" w:eastAsia="zh-CN"/>
        </w:rPr>
      </w:pPr>
      <w:r>
        <w:rPr>
          <w:rFonts w:hint="eastAsia" w:ascii="宋体" w:hAnsi="宋体" w:eastAsia="宋体" w:cs="宋体"/>
          <w:b w:val="0"/>
          <w:bCs w:val="0"/>
          <w:color w:val="auto"/>
          <w:kern w:val="21"/>
          <w:sz w:val="24"/>
          <w:szCs w:val="24"/>
          <w:lang w:val="en-US" w:eastAsia="zh-CN"/>
        </w:rPr>
        <w:t>2.行业部门分库</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包含了市级多个行业主管可以通过每一行业了解该行业目前有多少项目、责任单位，再通过责任单位更详细分化到各个区、县，了解项目的需求、问题，有助于指导后续的项目进展；例如：农业农村项目、文旅项目、住建项目、城管项目、工信项目、教育项目、交通项目、民政项目、乡村振兴项目。</w:t>
      </w:r>
    </w:p>
    <w:p>
      <w:pPr>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3.第三方对接</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通过第三方API接口进行联通，陕西省重点项目综合管理系统对接、陕西省投资项目在线审批监管平台对接，与市发改委其他系统和中心数据库的接口开发和对接工作。</w:t>
      </w:r>
    </w:p>
    <w:p>
      <w:pPr>
        <w:pStyle w:val="4"/>
        <w:pageBreakBefore w:val="0"/>
        <w:numPr>
          <w:ilvl w:val="2"/>
          <w:numId w:val="0"/>
        </w:numPr>
        <w:kinsoku/>
        <w:wordWrap/>
        <w:overflowPunct/>
        <w:topLinePunct w:val="0"/>
        <w:autoSpaceDE/>
        <w:autoSpaceDN/>
        <w:bidi w:val="0"/>
        <w:adjustRightInd/>
        <w:snapToGrid w:val="0"/>
        <w:spacing w:before="120" w:beforeAutospacing="0" w:after="120" w:afterAutospacing="0" w:line="240" w:lineRule="auto"/>
        <w:ind w:leftChars="0"/>
        <w:textAlignment w:val="auto"/>
        <w:outlineLvl w:val="2"/>
        <w:rPr>
          <w:rFonts w:hint="eastAsia" w:ascii="宋体" w:hAnsi="宋体" w:eastAsia="宋体" w:cs="宋体"/>
          <w:b/>
          <w:bCs/>
          <w:color w:val="auto"/>
          <w:kern w:val="21"/>
          <w:sz w:val="24"/>
          <w:szCs w:val="24"/>
          <w:lang w:val="en-US" w:eastAsia="zh-CN" w:bidi="ar-SA"/>
        </w:rPr>
      </w:pPr>
      <w:bookmarkStart w:id="2" w:name="_Toc16727"/>
      <w:r>
        <w:rPr>
          <w:rFonts w:hint="eastAsia" w:ascii="宋体" w:hAnsi="宋体" w:eastAsia="宋体" w:cs="宋体"/>
          <w:b/>
          <w:bCs/>
          <w:color w:val="auto"/>
          <w:kern w:val="21"/>
          <w:sz w:val="24"/>
          <w:szCs w:val="24"/>
          <w:lang w:val="en-US" w:eastAsia="zh-CN" w:bidi="ar-SA"/>
        </w:rPr>
        <w:t>3.21手机小程序功能</w:t>
      </w:r>
      <w:bookmarkEnd w:id="2"/>
    </w:p>
    <w:p>
      <w:pPr>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 w:val="0"/>
          <w:bCs w:val="0"/>
          <w:color w:val="auto"/>
          <w:kern w:val="21"/>
          <w:sz w:val="24"/>
          <w:szCs w:val="24"/>
          <w:lang w:val="en-US" w:eastAsia="zh-CN"/>
        </w:rPr>
      </w:pPr>
      <w:r>
        <w:rPr>
          <w:rFonts w:hint="eastAsia" w:ascii="宋体" w:hAnsi="宋体" w:eastAsia="宋体" w:cs="宋体"/>
          <w:b w:val="0"/>
          <w:bCs w:val="0"/>
          <w:color w:val="auto"/>
          <w:kern w:val="21"/>
          <w:sz w:val="24"/>
          <w:szCs w:val="24"/>
          <w:lang w:val="en-US" w:eastAsia="zh-CN"/>
        </w:rPr>
        <w:t>1.</w:t>
      </w:r>
      <w:r>
        <w:rPr>
          <w:rFonts w:hint="eastAsia" w:ascii="宋体" w:hAnsi="宋体" w:eastAsia="宋体" w:cs="宋体"/>
          <w:b w:val="0"/>
          <w:bCs w:val="0"/>
          <w:color w:val="auto"/>
          <w:kern w:val="21"/>
          <w:sz w:val="24"/>
          <w:szCs w:val="24"/>
          <w:lang w:val="en-US" w:eastAsia="zh-CN"/>
        </w:rPr>
        <w:t>业主</w:t>
      </w:r>
      <w:r>
        <w:rPr>
          <w:rFonts w:hint="eastAsia" w:ascii="宋体" w:hAnsi="宋体" w:eastAsia="宋体" w:cs="宋体"/>
          <w:b w:val="0"/>
          <w:bCs w:val="0"/>
          <w:color w:val="auto"/>
          <w:kern w:val="21"/>
          <w:sz w:val="24"/>
          <w:szCs w:val="24"/>
          <w:lang w:val="en-US" w:eastAsia="zh-CN"/>
        </w:rPr>
        <w:t>端</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业主</w:t>
      </w:r>
      <w:r>
        <w:rPr>
          <w:rFonts w:hint="eastAsia" w:ascii="宋体" w:hAnsi="宋体" w:eastAsia="宋体" w:cs="宋体"/>
          <w:color w:val="auto"/>
          <w:sz w:val="24"/>
          <w:szCs w:val="24"/>
          <w:lang w:val="en-US" w:eastAsia="zh-CN"/>
        </w:rPr>
        <w:t>在项目管理、信息查询、意见反馈、评价及消息管理等多个方面的需求。业主可以通过账号密码登录系统，查看和管理自己的办件信息，包括待办、超期、驳回、办结的项目列表及详情。对项目提出意见、查看和评价项目意见，对办理过程进行评价。在项目管理方面，支持查看项目详情、转发项目信息、导航至项目建设地点以及拨打项目联系人电话。提供了业主的手续列表展示、月度项目列表展示、消息管理（包括未读、已读和全部消息）以及个人信息管理（包括修改密码、退出登录、联系客服）等功能。可以通过扫码快速查看项目、月度、问题和审批等相关信息。</w:t>
      </w:r>
    </w:p>
    <w:p>
      <w:pPr>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 w:val="0"/>
          <w:bCs w:val="0"/>
          <w:color w:val="auto"/>
          <w:kern w:val="21"/>
          <w:sz w:val="24"/>
          <w:szCs w:val="24"/>
          <w:lang w:val="en-US" w:eastAsia="zh-CN"/>
        </w:rPr>
      </w:pPr>
      <w:r>
        <w:rPr>
          <w:rFonts w:hint="eastAsia" w:ascii="宋体" w:hAnsi="宋体" w:eastAsia="宋体" w:cs="宋体"/>
          <w:b w:val="0"/>
          <w:bCs w:val="0"/>
          <w:color w:val="auto"/>
          <w:kern w:val="21"/>
          <w:sz w:val="24"/>
          <w:szCs w:val="24"/>
          <w:lang w:val="en-US" w:eastAsia="zh-CN"/>
        </w:rPr>
        <w:t>2.要素保障端</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了一站式的项目管理、信息查看、评价反馈及消息管理功能。用户登录后，可在首页快速查看待办、即将到期、超期及催办项目的汇总信息，并详细查看各项目的详情。支持对各类项目进行驳回、办结、上报等操作，并允许用户分享项目信息。用户还能查看并处理意见箱中的反馈，对系统进行评价，并查看评价详情和分享评价信息。消息管理功能则帮助用户追踪未读、已读及全部消息，并支持消息详情查看、评价和分享。用户还能在系统内修改个人信息、密码，查看意见处理结果，并与客服联系。</w:t>
      </w:r>
    </w:p>
    <w:p>
      <w:pPr>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 w:val="0"/>
          <w:bCs w:val="0"/>
          <w:color w:val="auto"/>
          <w:kern w:val="21"/>
          <w:sz w:val="24"/>
          <w:szCs w:val="24"/>
          <w:lang w:val="en-US" w:eastAsia="zh-CN"/>
        </w:rPr>
      </w:pPr>
      <w:r>
        <w:rPr>
          <w:rFonts w:hint="eastAsia" w:ascii="宋体" w:hAnsi="宋体" w:eastAsia="宋体" w:cs="宋体"/>
          <w:b w:val="0"/>
          <w:bCs w:val="0"/>
          <w:color w:val="auto"/>
          <w:kern w:val="21"/>
          <w:sz w:val="24"/>
          <w:szCs w:val="24"/>
          <w:lang w:val="en-US" w:eastAsia="zh-CN"/>
        </w:rPr>
        <w:t>3.领导端</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可以全面管理和监控省市县各级的项目数据、招商数据、要素保障数据等，包括查看区县、市直部门的数据汇总和重点项目流程。系统支持省市县行业主管项目、区县项目的详细汇总和穿</w:t>
      </w:r>
      <w:bookmarkStart w:id="3" w:name="_GoBack"/>
      <w:bookmarkEnd w:id="3"/>
      <w:r>
        <w:rPr>
          <w:rFonts w:hint="eastAsia" w:ascii="宋体" w:hAnsi="宋体" w:eastAsia="宋体" w:cs="宋体"/>
          <w:color w:val="auto"/>
          <w:sz w:val="24"/>
          <w:szCs w:val="24"/>
          <w:lang w:val="en-US" w:eastAsia="zh-CN"/>
        </w:rPr>
        <w:t>透查询，并能展示项目的各类信息如联系人、用地、投资等。提供了策划储备项目、重点前期项目的汇总和详细信息管理功能。不仅允许领导对手续问题、入统问题、投资问题进行催办和批量处理，还支持领导关注特定项目并实时查看其摄像头信息。可视化功能提供了列表和视频实时信息的展示，支持视频的移动、全屏、放大缩小等操作。领导还能查看、分享、评分和回复项目意见，评价办件，管理个人消息和关注列表，以及进行个人信息管理、密码修改、退出登录和联系客服等操作。</w:t>
      </w:r>
    </w:p>
    <w:p>
      <w:pPr>
        <w:pStyle w:val="2"/>
        <w:pageBreakBefore w:val="0"/>
        <w:numPr>
          <w:ilvl w:val="0"/>
          <w:numId w:val="0"/>
        </w:numPr>
        <w:tabs>
          <w:tab w:val="right" w:leader="dot" w:pos="8296"/>
        </w:tabs>
        <w:kinsoku/>
        <w:wordWrap/>
        <w:overflowPunct/>
        <w:topLinePunct w:val="0"/>
        <w:autoSpaceDE/>
        <w:autoSpaceDN/>
        <w:bidi w:val="0"/>
        <w:adjustRightInd/>
        <w:spacing w:line="360" w:lineRule="auto"/>
        <w:ind w:left="0" w:leftChars="0"/>
        <w:textAlignment w:val="auto"/>
        <w:rPr>
          <w:rFonts w:hint="default"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3.22系统安全保护</w:t>
      </w:r>
    </w:p>
    <w:p>
      <w:pPr>
        <w:pStyle w:val="2"/>
        <w:pageBreakBefore w:val="0"/>
        <w:numPr>
          <w:ilvl w:val="0"/>
          <w:numId w:val="0"/>
        </w:numPr>
        <w:tabs>
          <w:tab w:val="right" w:leader="dot" w:pos="8296"/>
        </w:tabs>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1.需对系统信息安全等级进行定级。</w:t>
      </w:r>
    </w:p>
    <w:p>
      <w:pPr>
        <w:pStyle w:val="2"/>
        <w:pageBreakBefore w:val="0"/>
        <w:numPr>
          <w:ilvl w:val="0"/>
          <w:numId w:val="0"/>
        </w:numPr>
        <w:tabs>
          <w:tab w:val="right" w:leader="dot" w:pos="8296"/>
        </w:tabs>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2.按照保密安全等级进行详细设计和建设，包括但不限于密码改造方案设计、数据加密实施、划分安全环境边界等。</w:t>
      </w:r>
    </w:p>
    <w:p>
      <w:pPr>
        <w:pStyle w:val="2"/>
        <w:pageBreakBefore w:val="0"/>
        <w:numPr>
          <w:ilvl w:val="0"/>
          <w:numId w:val="0"/>
        </w:numPr>
        <w:tabs>
          <w:tab w:val="right" w:leader="dot" w:pos="8296"/>
        </w:tabs>
        <w:kinsoku/>
        <w:wordWrap/>
        <w:overflowPunct/>
        <w:topLinePunct w:val="0"/>
        <w:autoSpaceDE/>
        <w:autoSpaceDN/>
        <w:bidi w:val="0"/>
        <w:adjustRightInd/>
        <w:spacing w:line="360" w:lineRule="auto"/>
        <w:ind w:left="0" w:leftChars="0" w:firstLine="480" w:firstLineChars="200"/>
        <w:textAlignment w:val="auto"/>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3.需进行国产化信创适配。</w:t>
      </w:r>
    </w:p>
    <w:p>
      <w:pPr>
        <w:pStyle w:val="2"/>
        <w:pageBreakBefore w:val="0"/>
        <w:numPr>
          <w:ilvl w:val="0"/>
          <w:numId w:val="0"/>
        </w:numPr>
        <w:tabs>
          <w:tab w:val="right" w:leader="dot" w:pos="8296"/>
        </w:tabs>
        <w:kinsoku/>
        <w:wordWrap/>
        <w:overflowPunct/>
        <w:topLinePunct w:val="0"/>
        <w:autoSpaceDE/>
        <w:autoSpaceDN/>
        <w:bidi w:val="0"/>
        <w:adjustRightInd/>
        <w:spacing w:line="360" w:lineRule="auto"/>
        <w:ind w:left="0" w:leftChars="0"/>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3.23其它</w:t>
      </w:r>
    </w:p>
    <w:p>
      <w:pPr>
        <w:pStyle w:val="2"/>
        <w:pageBreakBefore w:val="0"/>
        <w:numPr>
          <w:ilvl w:val="0"/>
          <w:numId w:val="0"/>
        </w:numPr>
        <w:tabs>
          <w:tab w:val="right" w:leader="dot" w:pos="8296"/>
        </w:tabs>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1.本次建设内容包括与服务项目、平台密切关联的工作量，如：在项目实施期内与第三方的协调对接工作、部分功能的调整、维护期的版本更新和打补丁等。</w:t>
      </w:r>
    </w:p>
    <w:p>
      <w:pPr>
        <w:pStyle w:val="2"/>
        <w:pageBreakBefore w:val="0"/>
        <w:numPr>
          <w:ilvl w:val="0"/>
          <w:numId w:val="0"/>
        </w:numPr>
        <w:tabs>
          <w:tab w:val="right" w:leader="dot" w:pos="8296"/>
        </w:tabs>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2.售后服务</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（1）提供一支本地化服务团队，针对本次项目实际情况和用户要求，统一建立技术支持服务队伍，提供本地化服务。技术支持服务队伍人员不少于</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服务周期为期6个月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其中运维期内提供</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人现场派驻服务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运维周期36个月（三年）</w:t>
      </w:r>
      <w:r>
        <w:rPr>
          <w:rFonts w:hint="eastAsia" w:ascii="宋体" w:hAnsi="宋体" w:eastAsia="宋体" w:cs="宋体"/>
          <w:color w:val="auto"/>
          <w:sz w:val="24"/>
          <w:szCs w:val="24"/>
        </w:rPr>
        <w:t>。</w:t>
      </w:r>
    </w:p>
    <w:p>
      <w:pPr>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）现场派驻服务；</w:t>
      </w:r>
      <w:r>
        <w:rPr>
          <w:rFonts w:hint="eastAsia" w:ascii="宋体" w:hAnsi="宋体" w:eastAsia="宋体" w:cs="宋体"/>
          <w:color w:val="auto"/>
          <w:sz w:val="24"/>
          <w:szCs w:val="24"/>
          <w:lang w:val="en-US" w:eastAsia="zh-CN"/>
        </w:rPr>
        <w:t>6个月的工作流、数据治理及本地化服务搭建工作。</w:t>
      </w:r>
      <w:r>
        <w:rPr>
          <w:rFonts w:hint="eastAsia" w:ascii="宋体" w:hAnsi="宋体" w:eastAsia="宋体" w:cs="宋体"/>
          <w:color w:val="auto"/>
          <w:sz w:val="24"/>
          <w:szCs w:val="24"/>
        </w:rPr>
        <w:t>运维期内提供</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人现场派驻服务，驻场服务期间，实时做出响应和安排，7×24小时电话或电子邮件后台技术服务。</w:t>
      </w:r>
    </w:p>
    <w:p>
      <w:pPr>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）电话热线服务：通过公司设立的（固定电话+移动电话）的服务热线，提供7×24小时热线响应服务，由一名工程师负责组织和协调用户的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维护工作，这名工程师将配备手机，保证客户在7×24小时内都能得到服务响应，对于用户方发生的一切问题，这名工程师都将负责安排帮助解决。</w:t>
      </w:r>
    </w:p>
    <w:p>
      <w:pPr>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互联网技术支持：通过公司互联网网站的售后服务支持功能，用户工作人员可以远程登录，了解相关系统的使用方法和常见问题，或者通过电子邮件通知我们遇到的问题，并在收到邮件后一个工作日内予以答复。</w:t>
      </w:r>
    </w:p>
    <w:p>
      <w:pPr>
        <w:pStyle w:val="2"/>
        <w:pageBreakBefore w:val="0"/>
        <w:numPr>
          <w:ilvl w:val="0"/>
          <w:numId w:val="0"/>
        </w:numPr>
        <w:tabs>
          <w:tab w:val="right" w:leader="dot" w:pos="8296"/>
        </w:tabs>
        <w:kinsoku/>
        <w:wordWrap/>
        <w:overflowPunct/>
        <w:topLinePunct w:val="0"/>
        <w:autoSpaceDE/>
        <w:autoSpaceDN/>
        <w:bidi w:val="0"/>
        <w:adjustRightInd/>
        <w:spacing w:line="360" w:lineRule="auto"/>
        <w:ind w:left="0" w:leftChars="0"/>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3.人员培训</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供应商应提供上线前的用户培训，按照不同部门、不同角色进行操作培训。培训内容主要包括整个系统的工作原理、构架、流程、操作、维护维修、系统验证、故障解决等。具体的培训时间、培训地点、培训方式、培训内容、培训人数由采购人根据实际需求确定，供应商不得再收取任何费用</w:t>
      </w:r>
      <w:r>
        <w:rPr>
          <w:rFonts w:hint="eastAsia" w:ascii="宋体" w:hAnsi="宋体" w:eastAsia="宋体" w:cs="宋体"/>
          <w:color w:val="auto"/>
          <w:sz w:val="24"/>
          <w:szCs w:val="24"/>
          <w:lang w:eastAsia="zh-CN"/>
        </w:rPr>
        <w:t>。</w:t>
      </w:r>
    </w:p>
    <w:p>
      <w:pPr>
        <w:pageBreakBefore w:val="0"/>
        <w:kinsoku/>
        <w:wordWrap/>
        <w:overflowPunct/>
        <w:topLinePunct w:val="0"/>
        <w:autoSpaceDE/>
        <w:autoSpaceDN/>
        <w:bidi w:val="0"/>
        <w:adjustRightInd/>
        <w:spacing w:line="360" w:lineRule="auto"/>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4.技术要求</w:t>
      </w:r>
    </w:p>
    <w:p>
      <w:pPr>
        <w:pageBreakBefore w:val="0"/>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 采购标的需实现的功能或者目标</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榆林市重点项目全过程管理</w:t>
      </w:r>
      <w:r>
        <w:rPr>
          <w:rFonts w:hint="eastAsia" w:ascii="宋体" w:hAnsi="宋体" w:eastAsia="宋体" w:cs="宋体"/>
          <w:color w:val="auto"/>
          <w:sz w:val="24"/>
          <w:szCs w:val="24"/>
        </w:rPr>
        <w:t>平台实现PC端和手机端两个载体。PC端主要实现项目管理功能，对项目做到实时信息录入、数据采集、项目电子台账建立及查阅、一键成文、项目调度、进展跟踪、项目云观摩、投资进度、问题协调、领导批示反馈、</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个一批、</w:t>
      </w:r>
      <w:r>
        <w:rPr>
          <w:rFonts w:hint="eastAsia" w:ascii="宋体" w:hAnsi="宋体" w:eastAsia="宋体" w:cs="宋体"/>
          <w:color w:val="auto"/>
          <w:sz w:val="24"/>
          <w:szCs w:val="24"/>
          <w:lang w:val="en-US" w:eastAsia="zh-CN"/>
        </w:rPr>
        <w:t>重点建设项目盘子、重点前期建设盘子、</w:t>
      </w:r>
      <w:r>
        <w:rPr>
          <w:rFonts w:hint="eastAsia" w:ascii="宋体" w:hAnsi="宋体" w:eastAsia="宋体" w:cs="宋体"/>
          <w:color w:val="auto"/>
          <w:sz w:val="24"/>
          <w:szCs w:val="24"/>
        </w:rPr>
        <w:t>个性化分类、同时建立</w:t>
      </w:r>
      <w:r>
        <w:rPr>
          <w:rFonts w:hint="eastAsia" w:ascii="宋体" w:hAnsi="宋体" w:eastAsia="宋体" w:cs="宋体"/>
          <w:color w:val="auto"/>
          <w:sz w:val="24"/>
          <w:szCs w:val="24"/>
          <w:lang w:val="en-US" w:eastAsia="zh-CN"/>
        </w:rPr>
        <w:t>行业</w:t>
      </w:r>
      <w:r>
        <w:rPr>
          <w:rFonts w:hint="eastAsia" w:ascii="宋体" w:hAnsi="宋体" w:eastAsia="宋体" w:cs="宋体"/>
          <w:color w:val="auto"/>
          <w:sz w:val="24"/>
          <w:szCs w:val="24"/>
        </w:rPr>
        <w:t>项目分库、</w:t>
      </w:r>
      <w:r>
        <w:rPr>
          <w:rFonts w:hint="eastAsia" w:ascii="宋体" w:hAnsi="宋体" w:eastAsia="宋体" w:cs="宋体"/>
          <w:color w:val="auto"/>
          <w:sz w:val="24"/>
          <w:szCs w:val="24"/>
          <w:lang w:val="en-US" w:eastAsia="zh-CN"/>
        </w:rPr>
        <w:t>要素保障</w:t>
      </w:r>
      <w:r>
        <w:rPr>
          <w:rFonts w:hint="eastAsia" w:ascii="宋体" w:hAnsi="宋体" w:eastAsia="宋体" w:cs="宋体"/>
          <w:color w:val="auto"/>
          <w:sz w:val="24"/>
          <w:szCs w:val="24"/>
        </w:rPr>
        <w:t>分库；手机端通过手机小程序一键查询和导出、数据报表字段自定义、数据统计分析、实现投资项目从“</w:t>
      </w:r>
      <w:r>
        <w:rPr>
          <w:rFonts w:hint="eastAsia" w:ascii="宋体" w:hAnsi="宋体" w:eastAsia="宋体" w:cs="宋体"/>
          <w:color w:val="auto"/>
          <w:sz w:val="24"/>
          <w:szCs w:val="24"/>
          <w:lang w:val="en-US" w:eastAsia="zh-CN"/>
        </w:rPr>
        <w:t>谋划清单</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储备清单</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开工（在建）清单</w:t>
      </w:r>
      <w:r>
        <w:rPr>
          <w:rFonts w:hint="eastAsia" w:ascii="宋体" w:hAnsi="宋体" w:eastAsia="宋体" w:cs="宋体"/>
          <w:color w:val="auto"/>
          <w:sz w:val="24"/>
          <w:szCs w:val="24"/>
        </w:rPr>
        <w:t>、投产</w:t>
      </w:r>
      <w:r>
        <w:rPr>
          <w:rFonts w:hint="eastAsia" w:ascii="宋体" w:hAnsi="宋体" w:eastAsia="宋体" w:cs="宋体"/>
          <w:color w:val="auto"/>
          <w:sz w:val="24"/>
          <w:szCs w:val="24"/>
          <w:lang w:val="en-US" w:eastAsia="zh-CN"/>
        </w:rPr>
        <w:t>清单</w:t>
      </w:r>
      <w:r>
        <w:rPr>
          <w:rFonts w:hint="eastAsia" w:ascii="宋体" w:hAnsi="宋体" w:eastAsia="宋体" w:cs="宋体"/>
          <w:color w:val="auto"/>
          <w:sz w:val="24"/>
          <w:szCs w:val="24"/>
        </w:rPr>
        <w:t>”各环节进行项目生命周期全过程监管为项目档案、批示</w:t>
      </w:r>
      <w:r>
        <w:rPr>
          <w:rFonts w:hint="eastAsia" w:ascii="宋体" w:hAnsi="宋体" w:eastAsia="宋体" w:cs="宋体"/>
          <w:color w:val="auto"/>
          <w:sz w:val="24"/>
          <w:szCs w:val="24"/>
          <w:lang w:val="en-US" w:eastAsia="zh-CN"/>
        </w:rPr>
        <w:t>催办</w:t>
      </w:r>
      <w:r>
        <w:rPr>
          <w:rFonts w:hint="eastAsia" w:ascii="宋体" w:hAnsi="宋体" w:eastAsia="宋体" w:cs="宋体"/>
          <w:color w:val="auto"/>
          <w:sz w:val="24"/>
          <w:szCs w:val="24"/>
        </w:rPr>
        <w:t>功能、项目地图、手续管理、分析调度、一键导航等等模块。</w:t>
      </w:r>
    </w:p>
    <w:p>
      <w:pPr>
        <w:pageBreakBefore w:val="0"/>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rPr>
        <w:t>需执行的国家相关标准、行业标准、地方标准或者其他标准、规范</w:t>
      </w:r>
    </w:p>
    <w:p>
      <w:pPr>
        <w:pageBreakBefore w:val="0"/>
        <w:widowControl/>
        <w:numPr>
          <w:ilvl w:val="0"/>
          <w:numId w:val="1"/>
        </w:numPr>
        <w:kinsoku/>
        <w:wordWrap/>
        <w:overflowPunct/>
        <w:topLinePunct w:val="0"/>
        <w:autoSpaceDE/>
        <w:autoSpaceDN/>
        <w:bidi w:val="0"/>
        <w:adjustRightInd/>
        <w:snapToGrid w:val="0"/>
        <w:spacing w:line="360" w:lineRule="auto"/>
        <w:jc w:val="left"/>
        <w:textAlignment w:val="auto"/>
        <w:rPr>
          <w:rStyle w:val="8"/>
          <w:rFonts w:hint="eastAsia" w:ascii="宋体" w:hAnsi="宋体" w:eastAsia="宋体" w:cs="宋体"/>
          <w:color w:val="auto"/>
          <w:sz w:val="24"/>
          <w:szCs w:val="24"/>
        </w:rPr>
      </w:pPr>
      <w:r>
        <w:rPr>
          <w:rStyle w:val="8"/>
          <w:rFonts w:hint="eastAsia" w:ascii="宋体" w:hAnsi="宋体" w:eastAsia="宋体" w:cs="宋体"/>
          <w:color w:val="auto"/>
          <w:sz w:val="24"/>
          <w:szCs w:val="24"/>
        </w:rPr>
        <w:t>《计算机信息系统安全保护等级划分准则》（GB 17859-1999）；</w:t>
      </w:r>
    </w:p>
    <w:p>
      <w:pPr>
        <w:pageBreakBefore w:val="0"/>
        <w:widowControl/>
        <w:numPr>
          <w:ilvl w:val="0"/>
          <w:numId w:val="1"/>
        </w:numPr>
        <w:kinsoku/>
        <w:wordWrap/>
        <w:overflowPunct/>
        <w:topLinePunct w:val="0"/>
        <w:autoSpaceDE/>
        <w:autoSpaceDN/>
        <w:bidi w:val="0"/>
        <w:adjustRightInd/>
        <w:snapToGrid w:val="0"/>
        <w:spacing w:line="360" w:lineRule="auto"/>
        <w:jc w:val="left"/>
        <w:textAlignment w:val="auto"/>
        <w:rPr>
          <w:rStyle w:val="8"/>
          <w:rFonts w:hint="eastAsia" w:ascii="宋体" w:hAnsi="宋体" w:eastAsia="宋体" w:cs="宋体"/>
          <w:color w:val="auto"/>
          <w:sz w:val="24"/>
          <w:szCs w:val="24"/>
        </w:rPr>
      </w:pPr>
      <w:r>
        <w:rPr>
          <w:rStyle w:val="8"/>
          <w:rFonts w:hint="eastAsia" w:ascii="宋体" w:hAnsi="宋体" w:eastAsia="宋体" w:cs="宋体"/>
          <w:color w:val="auto"/>
          <w:sz w:val="24"/>
          <w:szCs w:val="24"/>
        </w:rPr>
        <w:t>《信息安全技术信息系统安全等级保护基本要求》（GB/T22239-2008）；</w:t>
      </w:r>
    </w:p>
    <w:p>
      <w:pPr>
        <w:pageBreakBefore w:val="0"/>
        <w:widowControl/>
        <w:numPr>
          <w:ilvl w:val="0"/>
          <w:numId w:val="1"/>
        </w:numPr>
        <w:kinsoku/>
        <w:wordWrap/>
        <w:overflowPunct/>
        <w:topLinePunct w:val="0"/>
        <w:autoSpaceDE/>
        <w:autoSpaceDN/>
        <w:bidi w:val="0"/>
        <w:adjustRightInd/>
        <w:snapToGrid w:val="0"/>
        <w:spacing w:line="360" w:lineRule="auto"/>
        <w:jc w:val="left"/>
        <w:textAlignment w:val="auto"/>
        <w:rPr>
          <w:rStyle w:val="8"/>
          <w:rFonts w:hint="eastAsia" w:ascii="宋体" w:hAnsi="宋体" w:eastAsia="宋体" w:cs="宋体"/>
          <w:color w:val="auto"/>
          <w:sz w:val="24"/>
          <w:szCs w:val="24"/>
        </w:rPr>
      </w:pPr>
      <w:r>
        <w:rPr>
          <w:rStyle w:val="8"/>
          <w:rFonts w:hint="eastAsia" w:ascii="宋体" w:hAnsi="宋体" w:eastAsia="宋体" w:cs="宋体"/>
          <w:color w:val="auto"/>
          <w:sz w:val="24"/>
          <w:szCs w:val="24"/>
        </w:rPr>
        <w:t>《信息安全技术信息系统安全等级保护定级指南》（GB/T22240-2008）；</w:t>
      </w:r>
    </w:p>
    <w:p>
      <w:pPr>
        <w:pageBreakBefore w:val="0"/>
        <w:widowControl/>
        <w:numPr>
          <w:ilvl w:val="0"/>
          <w:numId w:val="1"/>
        </w:numPr>
        <w:kinsoku/>
        <w:wordWrap/>
        <w:overflowPunct/>
        <w:topLinePunct w:val="0"/>
        <w:autoSpaceDE/>
        <w:autoSpaceDN/>
        <w:bidi w:val="0"/>
        <w:adjustRightInd/>
        <w:snapToGrid w:val="0"/>
        <w:spacing w:line="360" w:lineRule="auto"/>
        <w:jc w:val="left"/>
        <w:textAlignment w:val="auto"/>
        <w:rPr>
          <w:rStyle w:val="8"/>
          <w:rFonts w:hint="eastAsia" w:ascii="宋体" w:hAnsi="宋体" w:eastAsia="宋体" w:cs="宋体"/>
          <w:color w:val="auto"/>
          <w:sz w:val="24"/>
          <w:szCs w:val="24"/>
        </w:rPr>
      </w:pPr>
      <w:r>
        <w:rPr>
          <w:rStyle w:val="8"/>
          <w:rFonts w:hint="eastAsia" w:ascii="宋体" w:hAnsi="宋体" w:eastAsia="宋体" w:cs="宋体"/>
          <w:color w:val="auto"/>
          <w:sz w:val="24"/>
          <w:szCs w:val="24"/>
        </w:rPr>
        <w:t>公安部、国家保密局、国家密码管理局、国务院信息工作办公室《信息安全等级保护管理办法》（公通字[2007]43号）；</w:t>
      </w:r>
    </w:p>
    <w:p>
      <w:pPr>
        <w:pageBreakBefore w:val="0"/>
        <w:widowControl/>
        <w:numPr>
          <w:ilvl w:val="0"/>
          <w:numId w:val="1"/>
        </w:numPr>
        <w:kinsoku/>
        <w:wordWrap/>
        <w:overflowPunct/>
        <w:topLinePunct w:val="0"/>
        <w:autoSpaceDE/>
        <w:autoSpaceDN/>
        <w:bidi w:val="0"/>
        <w:adjustRightInd/>
        <w:snapToGrid w:val="0"/>
        <w:spacing w:line="360" w:lineRule="auto"/>
        <w:jc w:val="left"/>
        <w:textAlignment w:val="auto"/>
        <w:rPr>
          <w:rStyle w:val="8"/>
          <w:rFonts w:hint="eastAsia" w:ascii="宋体" w:hAnsi="宋体" w:eastAsia="宋体" w:cs="宋体"/>
          <w:color w:val="auto"/>
          <w:sz w:val="24"/>
          <w:szCs w:val="24"/>
        </w:rPr>
      </w:pPr>
      <w:r>
        <w:rPr>
          <w:rStyle w:val="8"/>
          <w:rFonts w:hint="eastAsia" w:ascii="宋体" w:hAnsi="宋体" w:eastAsia="宋体" w:cs="宋体"/>
          <w:color w:val="auto"/>
          <w:sz w:val="24"/>
          <w:szCs w:val="24"/>
        </w:rPr>
        <w:t>《信息安全技术信息安全产品类别与代码》（GB/T 25066-2010）；</w:t>
      </w:r>
    </w:p>
    <w:p>
      <w:pPr>
        <w:pageBreakBefore w:val="0"/>
        <w:widowControl/>
        <w:numPr>
          <w:ilvl w:val="0"/>
          <w:numId w:val="1"/>
        </w:numPr>
        <w:kinsoku/>
        <w:wordWrap/>
        <w:overflowPunct/>
        <w:topLinePunct w:val="0"/>
        <w:autoSpaceDE/>
        <w:autoSpaceDN/>
        <w:bidi w:val="0"/>
        <w:adjustRightInd/>
        <w:snapToGrid w:val="0"/>
        <w:spacing w:line="360" w:lineRule="auto"/>
        <w:jc w:val="left"/>
        <w:textAlignment w:val="auto"/>
        <w:rPr>
          <w:rStyle w:val="8"/>
          <w:rFonts w:hint="eastAsia" w:ascii="宋体" w:hAnsi="宋体" w:eastAsia="宋体" w:cs="宋体"/>
          <w:color w:val="auto"/>
          <w:sz w:val="24"/>
          <w:szCs w:val="24"/>
        </w:rPr>
      </w:pPr>
      <w:r>
        <w:rPr>
          <w:rStyle w:val="8"/>
          <w:rFonts w:hint="eastAsia" w:ascii="宋体" w:hAnsi="宋体" w:eastAsia="宋体" w:cs="宋体"/>
          <w:color w:val="auto"/>
          <w:sz w:val="24"/>
          <w:szCs w:val="24"/>
        </w:rPr>
        <w:t>《信息安全技术信息系统灾难恢复规范》（GB/T 20988-2007）；</w:t>
      </w:r>
    </w:p>
    <w:p>
      <w:pPr>
        <w:pageBreakBefore w:val="0"/>
        <w:widowControl/>
        <w:numPr>
          <w:ilvl w:val="0"/>
          <w:numId w:val="1"/>
        </w:numPr>
        <w:kinsoku/>
        <w:wordWrap/>
        <w:overflowPunct/>
        <w:topLinePunct w:val="0"/>
        <w:autoSpaceDE/>
        <w:autoSpaceDN/>
        <w:bidi w:val="0"/>
        <w:adjustRightInd/>
        <w:snapToGrid w:val="0"/>
        <w:spacing w:line="360" w:lineRule="auto"/>
        <w:jc w:val="left"/>
        <w:textAlignment w:val="auto"/>
        <w:rPr>
          <w:rStyle w:val="8"/>
          <w:rFonts w:hint="eastAsia" w:ascii="宋体" w:hAnsi="宋体" w:eastAsia="宋体" w:cs="宋体"/>
          <w:color w:val="auto"/>
          <w:sz w:val="24"/>
          <w:szCs w:val="24"/>
        </w:rPr>
      </w:pPr>
      <w:r>
        <w:rPr>
          <w:rStyle w:val="8"/>
          <w:rFonts w:hint="eastAsia" w:ascii="宋体" w:hAnsi="宋体" w:eastAsia="宋体" w:cs="宋体"/>
          <w:color w:val="auto"/>
          <w:sz w:val="24"/>
          <w:szCs w:val="24"/>
        </w:rPr>
        <w:t>《信息安全技术云计算服务安全能力要求》（GB/T 31168-2014）；</w:t>
      </w:r>
    </w:p>
    <w:p>
      <w:pPr>
        <w:pageBreakBefore w:val="0"/>
        <w:widowControl/>
        <w:numPr>
          <w:ilvl w:val="0"/>
          <w:numId w:val="1"/>
        </w:numPr>
        <w:kinsoku/>
        <w:wordWrap/>
        <w:overflowPunct/>
        <w:topLinePunct w:val="0"/>
        <w:autoSpaceDE/>
        <w:autoSpaceDN/>
        <w:bidi w:val="0"/>
        <w:adjustRightInd/>
        <w:snapToGrid w:val="0"/>
        <w:spacing w:line="360" w:lineRule="auto"/>
        <w:jc w:val="left"/>
        <w:textAlignment w:val="auto"/>
        <w:rPr>
          <w:color w:val="auto"/>
        </w:rPr>
      </w:pPr>
      <w:r>
        <w:rPr>
          <w:rStyle w:val="8"/>
          <w:rFonts w:hint="eastAsia" w:ascii="宋体" w:hAnsi="宋体" w:eastAsia="宋体" w:cs="宋体"/>
          <w:color w:val="auto"/>
          <w:sz w:val="24"/>
          <w:szCs w:val="24"/>
        </w:rPr>
        <w:t>《信息安全技术 云计算服务安全指南》（GB/T 31167-2014）。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55249"/>
    <w:multiLevelType w:val="singleLevel"/>
    <w:tmpl w:val="CFD55249"/>
    <w:lvl w:ilvl="0" w:tentative="0">
      <w:start w:val="1"/>
      <w:numFmt w:val="decimal"/>
      <w:lvlText w:val="(%1)"/>
      <w:lvlJc w:val="left"/>
      <w:pPr>
        <w:ind w:left="90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000000"/>
    <w:rsid w:val="156002B3"/>
    <w:rsid w:val="1B506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210"/>
      <w:jc w:val="left"/>
    </w:pPr>
    <w:rPr>
      <w:rFonts w:eastAsia="仿宋_GB2312"/>
      <w:smallCaps/>
      <w:sz w:val="24"/>
    </w:rPr>
  </w:style>
  <w:style w:type="paragraph" w:styleId="5">
    <w:name w:val="toa heading"/>
    <w:basedOn w:val="1"/>
    <w:next w:val="1"/>
    <w:qFormat/>
    <w:uiPriority w:val="99"/>
    <w:rPr>
      <w:rFonts w:ascii="Arial" w:hAnsi="Arial" w:cs="Arial"/>
    </w:rPr>
  </w:style>
  <w:style w:type="character" w:customStyle="1" w:styleId="8">
    <w:name w:val="NormalCharacter"/>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2024-12-02T02:53:37Z</dcterms:created>
  <dc:creator>YL</dc:creator>
  <cp:lastModifiedBy>haaaaa</cp:lastModifiedBy>
  <dcterms:modified xsi:type="dcterms:W3CDTF">2024-12-02T02:54:47Z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E7C15DF84E404F03A1F039DBFC5083AF_12</vt:lpwstr>
  </property>
</Properties>
</file>