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B597A9">
      <w:pPr>
        <w:autoSpaceDE w:val="0"/>
        <w:autoSpaceDN w:val="0"/>
        <w:adjustRightInd w:val="0"/>
        <w:snapToGrid w:val="0"/>
        <w:spacing w:line="360" w:lineRule="auto"/>
        <w:ind w:firstLine="560" w:firstLineChars="200"/>
        <w:rPr>
          <w:rFonts w:hint="default" w:ascii="仿宋" w:hAnsi="仿宋" w:eastAsia="仿宋"/>
          <w:b/>
          <w:color w:val="auto"/>
          <w:sz w:val="32"/>
          <w:szCs w:val="32"/>
          <w:lang w:val="en-US" w:eastAsia="zh-CN"/>
        </w:rPr>
      </w:pPr>
      <w:r>
        <w:rPr>
          <w:rFonts w:hint="eastAsia" w:ascii="仿宋" w:hAnsi="仿宋" w:eastAsia="仿宋" w:cs="Times New Roman"/>
        </w:rPr>
        <w:t>榆林职业技术学院艺术学院采购信息化设备货物项目，包含智能黑板、微机室、智慧校园电子班牌等，具体技术性能参数及数量如下：</w:t>
      </w:r>
    </w:p>
    <w:tbl>
      <w:tblPr>
        <w:tblStyle w:val="2"/>
        <w:tblpPr w:leftFromText="180" w:rightFromText="180" w:vertAnchor="text" w:horzAnchor="page" w:tblpX="1112" w:tblpY="618"/>
        <w:tblOverlap w:val="never"/>
        <w:tblW w:w="93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1365"/>
        <w:gridCol w:w="5560"/>
        <w:gridCol w:w="780"/>
        <w:gridCol w:w="920"/>
      </w:tblGrid>
      <w:tr w14:paraId="58B45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375" w:type="dxa"/>
            <w:gridSpan w:val="5"/>
            <w:tcBorders>
              <w:top w:val="nil"/>
              <w:left w:val="nil"/>
              <w:bottom w:val="single" w:color="auto" w:sz="4" w:space="0"/>
              <w:right w:val="nil"/>
            </w:tcBorders>
            <w:noWrap/>
            <w:vAlign w:val="center"/>
          </w:tcPr>
          <w:p w14:paraId="6A7DC0D6">
            <w:pPr>
              <w:keepNext w:val="0"/>
              <w:keepLines w:val="0"/>
              <w:widowControl/>
              <w:suppressLineNumbers w:val="0"/>
              <w:jc w:val="left"/>
              <w:textAlignment w:val="center"/>
              <w:rPr>
                <w:rFonts w:hint="eastAsia" w:ascii="宋体" w:hAnsi="宋体" w:eastAsia="宋体" w:cs="宋体"/>
                <w:b/>
                <w:bCs/>
                <w:i w:val="0"/>
                <w:iCs w:val="0"/>
                <w:color w:val="000000"/>
                <w:sz w:val="24"/>
                <w:szCs w:val="24"/>
                <w:u w:val="none"/>
              </w:rPr>
            </w:pPr>
          </w:p>
        </w:tc>
      </w:tr>
      <w:tr w14:paraId="631AB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750" w:type="dxa"/>
            <w:tcBorders>
              <w:top w:val="single" w:color="auto" w:sz="4" w:space="0"/>
            </w:tcBorders>
            <w:noWrap/>
            <w:vAlign w:val="center"/>
          </w:tcPr>
          <w:p w14:paraId="74BD61B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1365" w:type="dxa"/>
            <w:tcBorders>
              <w:top w:val="single" w:color="auto" w:sz="4" w:space="0"/>
            </w:tcBorders>
            <w:noWrap w:val="0"/>
            <w:vAlign w:val="center"/>
          </w:tcPr>
          <w:p w14:paraId="6C59C38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设备名称</w:t>
            </w:r>
          </w:p>
        </w:tc>
        <w:tc>
          <w:tcPr>
            <w:tcW w:w="5560" w:type="dxa"/>
            <w:tcBorders>
              <w:top w:val="single" w:color="auto" w:sz="4" w:space="0"/>
            </w:tcBorders>
            <w:noWrap/>
            <w:vAlign w:val="center"/>
          </w:tcPr>
          <w:p w14:paraId="3E38F52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主要性能及技术参数</w:t>
            </w:r>
          </w:p>
        </w:tc>
        <w:tc>
          <w:tcPr>
            <w:tcW w:w="780" w:type="dxa"/>
            <w:tcBorders>
              <w:top w:val="single" w:color="auto" w:sz="4" w:space="0"/>
            </w:tcBorders>
            <w:noWrap/>
            <w:vAlign w:val="center"/>
          </w:tcPr>
          <w:p w14:paraId="3C823BE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920" w:type="dxa"/>
            <w:tcBorders>
              <w:top w:val="single" w:color="auto" w:sz="4" w:space="0"/>
            </w:tcBorders>
            <w:noWrap/>
            <w:vAlign w:val="center"/>
          </w:tcPr>
          <w:p w14:paraId="0E59F1C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r>
      <w:tr w14:paraId="17013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50" w:type="dxa"/>
            <w:vMerge w:val="restart"/>
            <w:noWrap w:val="0"/>
            <w:vAlign w:val="center"/>
          </w:tcPr>
          <w:p w14:paraId="7F51B7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1</w:t>
            </w:r>
          </w:p>
        </w:tc>
        <w:tc>
          <w:tcPr>
            <w:tcW w:w="1365" w:type="dxa"/>
            <w:vMerge w:val="restart"/>
            <w:noWrap w:val="0"/>
            <w:vAlign w:val="center"/>
          </w:tcPr>
          <w:p w14:paraId="1C2CB0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智慧黑板</w:t>
            </w:r>
          </w:p>
        </w:tc>
        <w:tc>
          <w:tcPr>
            <w:tcW w:w="5560" w:type="dxa"/>
            <w:vMerge w:val="restart"/>
            <w:noWrap w:val="0"/>
            <w:vAlign w:val="center"/>
          </w:tcPr>
          <w:p w14:paraId="62749659">
            <w:pPr>
              <w:keepNext w:val="0"/>
              <w:keepLines w:val="0"/>
              <w:pageBreakBefore w:val="0"/>
              <w:widowControl/>
              <w:suppressLineNumbers w:val="0"/>
              <w:kinsoku/>
              <w:wordWrap/>
              <w:overflowPunct/>
              <w:topLinePunct w:val="0"/>
              <w:autoSpaceDE/>
              <w:autoSpaceDN/>
              <w:bidi w:val="0"/>
              <w:adjustRightInd/>
              <w:snapToGrid/>
              <w:spacing w:afterAutospacing="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1.整机采用三拼接平面一体化设计，主副屏过渡平滑并在同一平面，中间无单独边框阻隔。屏幕边缘采用金属圆角包边防护。支持水笔、普通粉笔、无尘粉笔等多种书写方式。</w:t>
            </w:r>
          </w:p>
          <w:p w14:paraId="6C244B78">
            <w:pPr>
              <w:keepNext w:val="0"/>
              <w:keepLines w:val="0"/>
              <w:pageBreakBefore w:val="0"/>
              <w:widowControl/>
              <w:suppressLineNumbers w:val="0"/>
              <w:kinsoku/>
              <w:wordWrap/>
              <w:overflowPunct/>
              <w:topLinePunct w:val="0"/>
              <w:autoSpaceDE/>
              <w:autoSpaceDN/>
              <w:bidi w:val="0"/>
              <w:adjustRightInd/>
              <w:snapToGrid/>
              <w:spacing w:afterAutospacing="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2.中间区域显示屏采用≥86英寸UHD超高清LED液晶屏，显示分辨率≥3840*2160，显示比例≥16:9，具备防眩光效果。</w:t>
            </w:r>
          </w:p>
          <w:p w14:paraId="4C597B47">
            <w:pPr>
              <w:keepNext w:val="0"/>
              <w:keepLines w:val="0"/>
              <w:pageBreakBefore w:val="0"/>
              <w:widowControl/>
              <w:suppressLineNumbers w:val="0"/>
              <w:kinsoku/>
              <w:wordWrap/>
              <w:overflowPunct/>
              <w:topLinePunct w:val="0"/>
              <w:autoSpaceDE/>
              <w:autoSpaceDN/>
              <w:bidi w:val="0"/>
              <w:adjustRightInd/>
              <w:snapToGrid/>
              <w:spacing w:afterAutospacing="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3.整机屏幕显示画面颜色细节丰富，色彩还原度高，色域值≥NTSC 72%。</w:t>
            </w:r>
          </w:p>
          <w:p w14:paraId="2CCA09C7">
            <w:pPr>
              <w:keepNext w:val="0"/>
              <w:keepLines w:val="0"/>
              <w:pageBreakBefore w:val="0"/>
              <w:widowControl/>
              <w:suppressLineNumbers w:val="0"/>
              <w:kinsoku/>
              <w:wordWrap/>
              <w:overflowPunct/>
              <w:topLinePunct w:val="0"/>
              <w:autoSpaceDE/>
              <w:autoSpaceDN/>
              <w:bidi w:val="0"/>
              <w:adjustRightInd/>
              <w:snapToGrid/>
              <w:spacing w:afterAutospacing="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4.屏幕显示灰度分辨等级≥128灰阶。</w:t>
            </w:r>
          </w:p>
          <w:p w14:paraId="26A6EE14">
            <w:pPr>
              <w:keepNext w:val="0"/>
              <w:keepLines w:val="0"/>
              <w:pageBreakBefore w:val="0"/>
              <w:widowControl/>
              <w:suppressLineNumbers w:val="0"/>
              <w:kinsoku/>
              <w:wordWrap/>
              <w:overflowPunct/>
              <w:topLinePunct w:val="0"/>
              <w:autoSpaceDE/>
              <w:autoSpaceDN/>
              <w:bidi w:val="0"/>
              <w:adjustRightInd/>
              <w:snapToGrid/>
              <w:spacing w:afterAutospacing="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5.整机能感应并自动调节屏幕亮度来达到在不同光照环境下的不同亮度显示效果，此功能可自行开启或关闭。</w:t>
            </w:r>
          </w:p>
          <w:p w14:paraId="780AE964">
            <w:pPr>
              <w:keepNext w:val="0"/>
              <w:keepLines w:val="0"/>
              <w:pageBreakBefore w:val="0"/>
              <w:widowControl/>
              <w:suppressLineNumbers w:val="0"/>
              <w:kinsoku/>
              <w:wordWrap/>
              <w:overflowPunct/>
              <w:topLinePunct w:val="0"/>
              <w:autoSpaceDE/>
              <w:autoSpaceDN/>
              <w:bidi w:val="0"/>
              <w:adjustRightInd/>
              <w:snapToGrid/>
              <w:spacing w:afterAutospacing="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6.采用电容触控技术，支持双系统多人多点触摸书写，安卓下支持≥20点触摸，Win系统中支持≥20点触控。</w:t>
            </w:r>
          </w:p>
          <w:p w14:paraId="3BBF62A4">
            <w:pPr>
              <w:keepNext w:val="0"/>
              <w:keepLines w:val="0"/>
              <w:pageBreakBefore w:val="0"/>
              <w:widowControl/>
              <w:suppressLineNumbers w:val="0"/>
              <w:kinsoku/>
              <w:wordWrap/>
              <w:overflowPunct/>
              <w:topLinePunct w:val="0"/>
              <w:autoSpaceDE/>
              <w:autoSpaceDN/>
              <w:bidi w:val="0"/>
              <w:adjustRightInd/>
              <w:snapToGrid/>
              <w:spacing w:afterAutospacing="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7.内置无线网络模块，无任何外接或转接天线、网卡可同时实现Wi-Fi无线上网连接和AP无线热点发射。支持2.4/5.0GHz（6GHz）频段，版本符合IEEE802.11a/b/g/n/ac/ax标准。</w:t>
            </w:r>
          </w:p>
          <w:p w14:paraId="5E7D719C">
            <w:pPr>
              <w:keepNext w:val="0"/>
              <w:keepLines w:val="0"/>
              <w:pageBreakBefore w:val="0"/>
              <w:widowControl/>
              <w:suppressLineNumbers w:val="0"/>
              <w:kinsoku/>
              <w:wordWrap/>
              <w:overflowPunct/>
              <w:topLinePunct w:val="0"/>
              <w:autoSpaceDE/>
              <w:autoSpaceDN/>
              <w:bidi w:val="0"/>
              <w:adjustRightInd/>
              <w:snapToGrid/>
              <w:spacing w:afterAutospacing="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8.前置TypeC接口支持全功能音视频输入功能，外接设备通过标准TypeC线连接即可把画面投影到大屏上，同时在本机上可实现触摸电脑的操作，无需再连接其它任何线缆。</w:t>
            </w:r>
          </w:p>
          <w:p w14:paraId="16081A7C">
            <w:pPr>
              <w:keepNext w:val="0"/>
              <w:keepLines w:val="0"/>
              <w:pageBreakBefore w:val="0"/>
              <w:widowControl/>
              <w:suppressLineNumbers w:val="0"/>
              <w:kinsoku/>
              <w:wordWrap/>
              <w:overflowPunct/>
              <w:topLinePunct w:val="0"/>
              <w:autoSpaceDE/>
              <w:autoSpaceDN/>
              <w:bidi w:val="0"/>
              <w:adjustRightInd/>
              <w:snapToGrid/>
              <w:spacing w:afterAutospacing="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9.具备双RJ45网络接口，实现俩路分支路由器功能，且输入和输出端自动识别使用无需区分，使外接设备共享连接，仅需一根网线即可实现简单化部署。</w:t>
            </w:r>
          </w:p>
          <w:p w14:paraId="2A9C3800">
            <w:pPr>
              <w:keepNext w:val="0"/>
              <w:keepLines w:val="0"/>
              <w:pageBreakBefore w:val="0"/>
              <w:widowControl/>
              <w:suppressLineNumbers w:val="0"/>
              <w:kinsoku/>
              <w:wordWrap/>
              <w:overflowPunct/>
              <w:topLinePunct w:val="0"/>
              <w:autoSpaceDE/>
              <w:autoSpaceDN/>
              <w:bidi w:val="0"/>
              <w:adjustRightInd/>
              <w:snapToGrid/>
              <w:spacing w:afterAutospacing="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10.在安卓系统环境下，可调取快捷工具，实现屏幕显示二分屏任务协同，通知支持书写和演示图片、文档，支持进入批注模式，且可通过扫码进行分享。</w:t>
            </w:r>
          </w:p>
          <w:p w14:paraId="748F642B">
            <w:pPr>
              <w:keepNext w:val="0"/>
              <w:keepLines w:val="0"/>
              <w:pageBreakBefore w:val="0"/>
              <w:widowControl/>
              <w:suppressLineNumbers w:val="0"/>
              <w:kinsoku/>
              <w:wordWrap/>
              <w:overflowPunct/>
              <w:topLinePunct w:val="0"/>
              <w:autoSpaceDE/>
              <w:autoSpaceDN/>
              <w:bidi w:val="0"/>
              <w:adjustRightInd/>
              <w:snapToGrid/>
              <w:spacing w:afterAutospacing="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11.在任意通道下，可通过手势在任意位置迅速调出中控便捷菜单，具有返回操作、一键主页、任务预览、菜单设置、一键白板、全通道屏幕批注等常用功能，且可自定义新增≥六个快捷应用。</w:t>
            </w:r>
          </w:p>
          <w:p w14:paraId="08B3C61E">
            <w:pPr>
              <w:keepNext w:val="0"/>
              <w:keepLines w:val="0"/>
              <w:pageBreakBefore w:val="0"/>
              <w:widowControl/>
              <w:suppressLineNumbers w:val="0"/>
              <w:kinsoku/>
              <w:wordWrap/>
              <w:overflowPunct/>
              <w:topLinePunct w:val="0"/>
              <w:autoSpaceDE/>
              <w:autoSpaceDN/>
              <w:bidi w:val="0"/>
              <w:adjustRightInd/>
              <w:snapToGrid/>
              <w:spacing w:afterAutospacing="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12.整机具备≥6个物理按键，即电源开关键、OPS电脑开关键、主页、音量+/-、设置，方便老师快速开关机、调出中控菜单、进入windows系统等操作。</w:t>
            </w:r>
          </w:p>
          <w:p w14:paraId="57E96986">
            <w:pPr>
              <w:keepNext w:val="0"/>
              <w:keepLines w:val="0"/>
              <w:pageBreakBefore w:val="0"/>
              <w:widowControl/>
              <w:suppressLineNumbers w:val="0"/>
              <w:kinsoku/>
              <w:wordWrap/>
              <w:overflowPunct/>
              <w:topLinePunct w:val="0"/>
              <w:autoSpaceDE/>
              <w:autoSpaceDN/>
              <w:bidi w:val="0"/>
              <w:adjustRightInd/>
              <w:snapToGrid/>
              <w:spacing w:afterAutospacing="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13.支持投票功能。可编辑议题及选项内容, 可设置≥10个选项, 支持单选及多选, 设置完成后以手机扫码形式下发进行投票, 投票结果可生成饼状图或条形图, 并支持以图片格式插入到白板。</w:t>
            </w:r>
          </w:p>
          <w:p w14:paraId="07C62E1A">
            <w:pPr>
              <w:keepNext w:val="0"/>
              <w:keepLines w:val="0"/>
              <w:pageBreakBefore w:val="0"/>
              <w:widowControl/>
              <w:suppressLineNumbers w:val="0"/>
              <w:kinsoku/>
              <w:wordWrap/>
              <w:overflowPunct/>
              <w:topLinePunct w:val="0"/>
              <w:autoSpaceDE/>
              <w:autoSpaceDN/>
              <w:bidi w:val="0"/>
              <w:adjustRightInd/>
              <w:snapToGrid/>
              <w:spacing w:afterAutospacing="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14.整机支持无线投屏功能，支持通过投屏软件将外部电脑画面传输到大屏上显示，同时接入≥四个设备投屏。</w:t>
            </w:r>
          </w:p>
          <w:p w14:paraId="34F85F41">
            <w:pPr>
              <w:keepNext w:val="0"/>
              <w:keepLines w:val="0"/>
              <w:pageBreakBefore w:val="0"/>
              <w:widowControl/>
              <w:suppressLineNumbers w:val="0"/>
              <w:kinsoku/>
              <w:wordWrap/>
              <w:overflowPunct/>
              <w:topLinePunct w:val="0"/>
              <w:autoSpaceDE/>
              <w:autoSpaceDN/>
              <w:bidi w:val="0"/>
              <w:adjustRightInd/>
              <w:snapToGrid/>
              <w:spacing w:afterAutospacing="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15.支持待机唤醒功能，待机状态下，LAN、HDMI端口支持接入信号时唤醒整机开机。</w:t>
            </w:r>
          </w:p>
          <w:p w14:paraId="03FA4190">
            <w:pPr>
              <w:keepNext w:val="0"/>
              <w:keepLines w:val="0"/>
              <w:pageBreakBefore w:val="0"/>
              <w:widowControl/>
              <w:suppressLineNumbers w:val="0"/>
              <w:kinsoku/>
              <w:wordWrap/>
              <w:overflowPunct/>
              <w:topLinePunct w:val="0"/>
              <w:autoSpaceDE/>
              <w:autoSpaceDN/>
              <w:bidi w:val="0"/>
              <w:adjustRightInd/>
              <w:snapToGrid/>
              <w:spacing w:afterAutospacing="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16.整机可自定义开机默认通道，在任意通道关机均可指定默认通道开机，也可设置关机信号源记忆为开机信号源。</w:t>
            </w:r>
          </w:p>
          <w:p w14:paraId="035C2550">
            <w:pPr>
              <w:keepNext w:val="0"/>
              <w:keepLines w:val="0"/>
              <w:pageBreakBefore w:val="0"/>
              <w:widowControl/>
              <w:suppressLineNumbers w:val="0"/>
              <w:kinsoku/>
              <w:wordWrap/>
              <w:overflowPunct/>
              <w:topLinePunct w:val="0"/>
              <w:autoSpaceDE/>
              <w:autoSpaceDN/>
              <w:bidi w:val="0"/>
              <w:adjustRightInd/>
              <w:snapToGrid/>
              <w:spacing w:afterAutospacing="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17.支持一网通功能，整机只需一根网线，即可满足OPS和Android双系统的上网需求。</w:t>
            </w:r>
          </w:p>
          <w:p w14:paraId="6E342849">
            <w:pPr>
              <w:keepNext w:val="0"/>
              <w:keepLines w:val="0"/>
              <w:pageBreakBefore w:val="0"/>
              <w:widowControl/>
              <w:suppressLineNumbers w:val="0"/>
              <w:kinsoku/>
              <w:wordWrap/>
              <w:overflowPunct/>
              <w:topLinePunct w:val="0"/>
              <w:autoSpaceDE/>
              <w:autoSpaceDN/>
              <w:bidi w:val="0"/>
              <w:adjustRightInd/>
              <w:snapToGrid/>
              <w:spacing w:afterAutospacing="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18.需具有独立非外扩展的接口：≥4路USB接口，≥1路Type-C接口，，≥1路AUDIO IN接口，≥3路HDMI接口，≥2路RJ45接口，≥1路RS-232接口。</w:t>
            </w:r>
          </w:p>
        </w:tc>
        <w:tc>
          <w:tcPr>
            <w:tcW w:w="780" w:type="dxa"/>
            <w:vMerge w:val="restart"/>
            <w:noWrap/>
            <w:vAlign w:val="center"/>
          </w:tcPr>
          <w:p w14:paraId="0AB889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920" w:type="dxa"/>
            <w:vMerge w:val="restart"/>
            <w:noWrap/>
            <w:vAlign w:val="center"/>
          </w:tcPr>
          <w:p w14:paraId="379242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r>
      <w:tr w14:paraId="37116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0" w:hRule="atLeast"/>
        </w:trPr>
        <w:tc>
          <w:tcPr>
            <w:tcW w:w="750" w:type="dxa"/>
            <w:vMerge w:val="continue"/>
            <w:noWrap w:val="0"/>
            <w:vAlign w:val="center"/>
          </w:tcPr>
          <w:p w14:paraId="584A6F6B">
            <w:pPr>
              <w:jc w:val="center"/>
              <w:rPr>
                <w:rFonts w:hint="eastAsia" w:ascii="宋体" w:hAnsi="宋体" w:eastAsia="宋体" w:cs="宋体"/>
                <w:i w:val="0"/>
                <w:iCs w:val="0"/>
                <w:color w:val="000000"/>
                <w:sz w:val="20"/>
                <w:szCs w:val="20"/>
                <w:u w:val="none"/>
              </w:rPr>
            </w:pPr>
          </w:p>
        </w:tc>
        <w:tc>
          <w:tcPr>
            <w:tcW w:w="1365" w:type="dxa"/>
            <w:vMerge w:val="continue"/>
            <w:noWrap w:val="0"/>
            <w:vAlign w:val="center"/>
          </w:tcPr>
          <w:p w14:paraId="20815E10">
            <w:pPr>
              <w:jc w:val="center"/>
              <w:rPr>
                <w:rFonts w:hint="eastAsia" w:ascii="宋体" w:hAnsi="宋体" w:eastAsia="宋体" w:cs="宋体"/>
                <w:i w:val="0"/>
                <w:iCs w:val="0"/>
                <w:color w:val="000000"/>
                <w:sz w:val="20"/>
                <w:szCs w:val="20"/>
                <w:u w:val="none"/>
              </w:rPr>
            </w:pPr>
          </w:p>
        </w:tc>
        <w:tc>
          <w:tcPr>
            <w:tcW w:w="5560" w:type="dxa"/>
            <w:vMerge w:val="continue"/>
            <w:noWrap w:val="0"/>
            <w:vAlign w:val="center"/>
          </w:tcPr>
          <w:p w14:paraId="1C36BC92">
            <w:pPr>
              <w:jc w:val="left"/>
              <w:rPr>
                <w:rFonts w:hint="eastAsia" w:ascii="宋体" w:hAnsi="宋体" w:eastAsia="宋体" w:cs="宋体"/>
                <w:i w:val="0"/>
                <w:iCs w:val="0"/>
                <w:color w:val="000000"/>
                <w:sz w:val="18"/>
                <w:szCs w:val="18"/>
                <w:u w:val="none"/>
              </w:rPr>
            </w:pPr>
          </w:p>
        </w:tc>
        <w:tc>
          <w:tcPr>
            <w:tcW w:w="780" w:type="dxa"/>
            <w:vMerge w:val="continue"/>
            <w:noWrap/>
            <w:vAlign w:val="center"/>
          </w:tcPr>
          <w:p w14:paraId="018B341B">
            <w:pPr>
              <w:jc w:val="center"/>
              <w:rPr>
                <w:rFonts w:hint="eastAsia" w:ascii="宋体" w:hAnsi="宋体" w:eastAsia="宋体" w:cs="宋体"/>
                <w:i w:val="0"/>
                <w:iCs w:val="0"/>
                <w:color w:val="000000"/>
                <w:sz w:val="20"/>
                <w:szCs w:val="20"/>
                <w:u w:val="none"/>
              </w:rPr>
            </w:pPr>
          </w:p>
        </w:tc>
        <w:tc>
          <w:tcPr>
            <w:tcW w:w="920" w:type="dxa"/>
            <w:vMerge w:val="continue"/>
            <w:noWrap/>
            <w:vAlign w:val="center"/>
          </w:tcPr>
          <w:p w14:paraId="1D609FBB">
            <w:pPr>
              <w:jc w:val="center"/>
              <w:rPr>
                <w:rFonts w:hint="eastAsia" w:ascii="宋体" w:hAnsi="宋体" w:eastAsia="宋体" w:cs="宋体"/>
                <w:i w:val="0"/>
                <w:iCs w:val="0"/>
                <w:color w:val="000000"/>
                <w:sz w:val="20"/>
                <w:szCs w:val="20"/>
                <w:u w:val="none"/>
              </w:rPr>
            </w:pPr>
          </w:p>
        </w:tc>
      </w:tr>
      <w:tr w14:paraId="586D5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0" w:type="dxa"/>
            <w:noWrap w:val="0"/>
            <w:vAlign w:val="center"/>
          </w:tcPr>
          <w:p w14:paraId="6A64EC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2</w:t>
            </w:r>
          </w:p>
        </w:tc>
        <w:tc>
          <w:tcPr>
            <w:tcW w:w="1365" w:type="dxa"/>
            <w:noWrap/>
            <w:vAlign w:val="center"/>
          </w:tcPr>
          <w:p w14:paraId="717C6FC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云管理主机</w:t>
            </w:r>
          </w:p>
        </w:tc>
        <w:tc>
          <w:tcPr>
            <w:tcW w:w="5560" w:type="dxa"/>
            <w:noWrap w:val="0"/>
            <w:vAlign w:val="center"/>
          </w:tcPr>
          <w:p w14:paraId="1F8675B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CPU国产化CPU、C86架构、海光Hygon 3350、8核16线程、主频3.0GHz；内存配置容量≥64GB；内存类型≥DDR4内存；内存条配置数量，≥2；主板支持的CPU和内存情况，主板支持的1颗CPU和4个内存；固态盘数量，≥1个；固态存储容量，≥1TB；显卡类型，独立显卡；独立显卡显存容量，显存容量≥2GB</w:t>
            </w:r>
            <w:r>
              <w:rPr>
                <w:rFonts w:hint="eastAsia" w:ascii="宋体" w:hAnsi="宋体" w:cs="宋体"/>
                <w:i w:val="0"/>
                <w:iCs w:val="0"/>
                <w:color w:val="000000"/>
                <w:kern w:val="0"/>
                <w:sz w:val="20"/>
                <w:szCs w:val="20"/>
                <w:u w:val="none"/>
                <w:lang w:val="en-US" w:eastAsia="zh-CN" w:bidi="ar"/>
              </w:rPr>
              <w:t>。</w:t>
            </w:r>
          </w:p>
        </w:tc>
        <w:tc>
          <w:tcPr>
            <w:tcW w:w="780" w:type="dxa"/>
            <w:noWrap/>
            <w:vAlign w:val="center"/>
          </w:tcPr>
          <w:p w14:paraId="569FA8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20" w:type="dxa"/>
            <w:noWrap/>
            <w:vAlign w:val="center"/>
          </w:tcPr>
          <w:p w14:paraId="528357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r>
      <w:tr w14:paraId="7BD98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50" w:type="dxa"/>
            <w:vMerge w:val="restart"/>
            <w:noWrap w:val="0"/>
            <w:vAlign w:val="center"/>
          </w:tcPr>
          <w:p w14:paraId="5683E152">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3</w:t>
            </w:r>
          </w:p>
        </w:tc>
        <w:tc>
          <w:tcPr>
            <w:tcW w:w="1365" w:type="dxa"/>
            <w:vMerge w:val="restart"/>
            <w:noWrap w:val="0"/>
            <w:vAlign w:val="center"/>
          </w:tcPr>
          <w:p w14:paraId="1E3C3F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智能云教室管理平台</w:t>
            </w:r>
          </w:p>
        </w:tc>
        <w:tc>
          <w:tcPr>
            <w:tcW w:w="5560" w:type="dxa"/>
            <w:vMerge w:val="restart"/>
            <w:noWrap w:val="0"/>
            <w:vAlign w:val="top"/>
          </w:tcPr>
          <w:p w14:paraId="30DC166E">
            <w:pPr>
              <w:keepNext w:val="0"/>
              <w:keepLines w:val="0"/>
              <w:widowControl/>
              <w:numPr>
                <w:ilvl w:val="0"/>
                <w:numId w:val="1"/>
              </w:numPr>
              <w:suppressLineNumbers w:val="0"/>
              <w:spacing w:after="180" w:afterAutospacing="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支持教师办公桌面、学生教学机房桌面的统一融合管理。</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2、支持统一界面集成管理，可以在同一个管理页面中完成硬件、虚拟化、存储、云桌面和云终端的统一管理，统一告警，统一日志查询。</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3、教师端支持一键将学生机开机、关机、重启、黑屏肃静、禁用 USB、禁用互联网等操作。</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cs="宋体"/>
                <w:i w:val="0"/>
                <w:iCs w:val="0"/>
                <w:color w:val="000000"/>
                <w:kern w:val="0"/>
                <w:sz w:val="18"/>
                <w:szCs w:val="18"/>
                <w:u w:val="none"/>
                <w:lang w:val="en-US" w:eastAsia="zh-CN" w:bidi="ar"/>
              </w:rPr>
              <w:t>4</w:t>
            </w:r>
            <w:r>
              <w:rPr>
                <w:rFonts w:hint="eastAsia" w:ascii="宋体" w:hAnsi="宋体" w:eastAsia="宋体" w:cs="宋体"/>
                <w:i w:val="0"/>
                <w:iCs w:val="0"/>
                <w:color w:val="000000"/>
                <w:kern w:val="0"/>
                <w:sz w:val="18"/>
                <w:szCs w:val="18"/>
                <w:u w:val="none"/>
                <w:lang w:val="en-US" w:eastAsia="zh-CN" w:bidi="ar"/>
              </w:rPr>
              <w:t>、支持教师端一键发起随堂测试，测试类型包括全班答题，学生抢答，随机答题三种模式，题型支持包括选择题、判断题、问答题，支持针对选择题、判断题的自动判分，分组情况下自动记入小组分数。</w:t>
            </w:r>
          </w:p>
        </w:tc>
        <w:tc>
          <w:tcPr>
            <w:tcW w:w="780" w:type="dxa"/>
            <w:vMerge w:val="restart"/>
            <w:noWrap/>
            <w:vAlign w:val="center"/>
          </w:tcPr>
          <w:p w14:paraId="23B9A7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20" w:type="dxa"/>
            <w:vMerge w:val="restart"/>
            <w:noWrap/>
            <w:vAlign w:val="center"/>
          </w:tcPr>
          <w:p w14:paraId="1229AD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r>
      <w:tr w14:paraId="0FB08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atLeast"/>
        </w:trPr>
        <w:tc>
          <w:tcPr>
            <w:tcW w:w="750" w:type="dxa"/>
            <w:vMerge w:val="continue"/>
            <w:noWrap w:val="0"/>
            <w:vAlign w:val="center"/>
          </w:tcPr>
          <w:p w14:paraId="3CC6888F">
            <w:pPr>
              <w:jc w:val="center"/>
              <w:rPr>
                <w:rFonts w:hint="eastAsia" w:ascii="宋体" w:hAnsi="宋体" w:eastAsia="宋体" w:cs="宋体"/>
                <w:i w:val="0"/>
                <w:iCs w:val="0"/>
                <w:color w:val="000000"/>
                <w:sz w:val="20"/>
                <w:szCs w:val="20"/>
                <w:u w:val="none"/>
              </w:rPr>
            </w:pPr>
          </w:p>
        </w:tc>
        <w:tc>
          <w:tcPr>
            <w:tcW w:w="1365" w:type="dxa"/>
            <w:vMerge w:val="continue"/>
            <w:noWrap w:val="0"/>
            <w:vAlign w:val="center"/>
          </w:tcPr>
          <w:p w14:paraId="7B0B6001">
            <w:pPr>
              <w:jc w:val="center"/>
              <w:rPr>
                <w:rFonts w:hint="eastAsia" w:ascii="宋体" w:hAnsi="宋体" w:eastAsia="宋体" w:cs="宋体"/>
                <w:i w:val="0"/>
                <w:iCs w:val="0"/>
                <w:color w:val="000000"/>
                <w:sz w:val="20"/>
                <w:szCs w:val="20"/>
                <w:u w:val="none"/>
              </w:rPr>
            </w:pPr>
          </w:p>
        </w:tc>
        <w:tc>
          <w:tcPr>
            <w:tcW w:w="5560" w:type="dxa"/>
            <w:vMerge w:val="continue"/>
            <w:noWrap w:val="0"/>
            <w:vAlign w:val="top"/>
          </w:tcPr>
          <w:p w14:paraId="28746BCA">
            <w:pPr>
              <w:jc w:val="left"/>
              <w:rPr>
                <w:rFonts w:hint="eastAsia" w:ascii="宋体" w:hAnsi="宋体" w:eastAsia="宋体" w:cs="宋体"/>
                <w:i w:val="0"/>
                <w:iCs w:val="0"/>
                <w:color w:val="000000"/>
                <w:sz w:val="18"/>
                <w:szCs w:val="18"/>
                <w:u w:val="none"/>
              </w:rPr>
            </w:pPr>
          </w:p>
        </w:tc>
        <w:tc>
          <w:tcPr>
            <w:tcW w:w="780" w:type="dxa"/>
            <w:vMerge w:val="continue"/>
            <w:noWrap/>
            <w:vAlign w:val="center"/>
          </w:tcPr>
          <w:p w14:paraId="1198C750">
            <w:pPr>
              <w:jc w:val="center"/>
              <w:rPr>
                <w:rFonts w:hint="eastAsia" w:ascii="宋体" w:hAnsi="宋体" w:eastAsia="宋体" w:cs="宋体"/>
                <w:i w:val="0"/>
                <w:iCs w:val="0"/>
                <w:color w:val="000000"/>
                <w:sz w:val="20"/>
                <w:szCs w:val="20"/>
                <w:u w:val="none"/>
              </w:rPr>
            </w:pPr>
          </w:p>
        </w:tc>
        <w:tc>
          <w:tcPr>
            <w:tcW w:w="920" w:type="dxa"/>
            <w:vMerge w:val="continue"/>
            <w:noWrap/>
            <w:vAlign w:val="center"/>
          </w:tcPr>
          <w:p w14:paraId="20D36761">
            <w:pPr>
              <w:jc w:val="center"/>
              <w:rPr>
                <w:rFonts w:hint="eastAsia" w:ascii="宋体" w:hAnsi="宋体" w:eastAsia="宋体" w:cs="宋体"/>
                <w:i w:val="0"/>
                <w:iCs w:val="0"/>
                <w:color w:val="000000"/>
                <w:sz w:val="20"/>
                <w:szCs w:val="20"/>
                <w:u w:val="none"/>
              </w:rPr>
            </w:pPr>
          </w:p>
        </w:tc>
      </w:tr>
      <w:tr w14:paraId="2911D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750" w:type="dxa"/>
            <w:noWrap w:val="0"/>
            <w:vAlign w:val="center"/>
          </w:tcPr>
          <w:p w14:paraId="1CA495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365" w:type="dxa"/>
            <w:noWrap/>
            <w:vAlign w:val="center"/>
          </w:tcPr>
          <w:p w14:paraId="0EF089F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教师终端</w:t>
            </w:r>
          </w:p>
        </w:tc>
        <w:tc>
          <w:tcPr>
            <w:tcW w:w="5560" w:type="dxa"/>
            <w:noWrap w:val="0"/>
            <w:vAlign w:val="center"/>
          </w:tcPr>
          <w:p w14:paraId="24387B1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CPU 规格，国产化C86架构，兆芯KX-U6780A，主频≥2.7GHz、核心≥8个；≥2*8GB DDR4 2666MHz 内存；内存规格，≥16GB；显示屏分辨率，≥1920x1080；存储功能，通过SATA固态存储/PCIe固态存储/UFS固态存储/SATA硬磁盘等存储部件提供存储功能。</w:t>
            </w:r>
          </w:p>
        </w:tc>
        <w:tc>
          <w:tcPr>
            <w:tcW w:w="780" w:type="dxa"/>
            <w:noWrap/>
            <w:vAlign w:val="center"/>
          </w:tcPr>
          <w:p w14:paraId="239C53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20" w:type="dxa"/>
            <w:noWrap/>
            <w:vAlign w:val="center"/>
          </w:tcPr>
          <w:p w14:paraId="2D3101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r>
      <w:tr w14:paraId="5179A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0" w:hRule="atLeast"/>
        </w:trPr>
        <w:tc>
          <w:tcPr>
            <w:tcW w:w="750" w:type="dxa"/>
            <w:noWrap w:val="0"/>
            <w:vAlign w:val="center"/>
          </w:tcPr>
          <w:p w14:paraId="5C5D50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365" w:type="dxa"/>
            <w:noWrap/>
            <w:vAlign w:val="center"/>
          </w:tcPr>
          <w:p w14:paraId="0F17E6F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学生终端</w:t>
            </w:r>
          </w:p>
        </w:tc>
        <w:tc>
          <w:tcPr>
            <w:tcW w:w="5560" w:type="dxa"/>
            <w:noWrap w:val="0"/>
            <w:vAlign w:val="center"/>
          </w:tcPr>
          <w:p w14:paraId="63DCE18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CPU 规格，国产化C86架构，兆芯KX-U6780A，主频≥2.7GHz、核心≥8个；内存配置容量，≥8GB；主板集成模块，主板集成故障报警装置，可通过声音提示使用者当前故障状态；固态盘数量，≥1个；固态存储容量，≥256GB；显示屏分辨率，≥1920x1080。</w:t>
            </w:r>
          </w:p>
        </w:tc>
        <w:tc>
          <w:tcPr>
            <w:tcW w:w="780" w:type="dxa"/>
            <w:noWrap/>
            <w:vAlign w:val="center"/>
          </w:tcPr>
          <w:p w14:paraId="135DCA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920" w:type="dxa"/>
            <w:noWrap/>
            <w:vAlign w:val="center"/>
          </w:tcPr>
          <w:p w14:paraId="4B088A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r>
      <w:tr w14:paraId="6E7AA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0" w:hRule="atLeast"/>
        </w:trPr>
        <w:tc>
          <w:tcPr>
            <w:tcW w:w="750" w:type="dxa"/>
            <w:noWrap w:val="0"/>
            <w:vAlign w:val="center"/>
          </w:tcPr>
          <w:p w14:paraId="5209ED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365" w:type="dxa"/>
            <w:noWrap/>
            <w:vAlign w:val="center"/>
          </w:tcPr>
          <w:p w14:paraId="2BD09E6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国产操作系统</w:t>
            </w:r>
          </w:p>
        </w:tc>
        <w:tc>
          <w:tcPr>
            <w:tcW w:w="5560" w:type="dxa"/>
            <w:noWrap w:val="0"/>
            <w:vAlign w:val="center"/>
          </w:tcPr>
          <w:p w14:paraId="5D28A27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操作系统支持多 CPU 架构，操作系统同源兼容 ARM、LoongArch、 MIPS、SW64、x86 等平台架构的 CPU；操作系统支持 CPU 内置功能，操作系统支持双核及多核处理器，支持核间负载均衡、线程绑定，并提供系统多核访问及调度接口；安装部署，操作系统支持光盘、USB 闪存盘和网络 等安装方式，操作系统支持安装界面文种设置，默认为简化汉字方式显示，提供时区设置、计算机名设置等；</w:t>
            </w:r>
          </w:p>
        </w:tc>
        <w:tc>
          <w:tcPr>
            <w:tcW w:w="780" w:type="dxa"/>
            <w:noWrap/>
            <w:vAlign w:val="center"/>
          </w:tcPr>
          <w:p w14:paraId="2C9475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w:t>
            </w:r>
          </w:p>
        </w:tc>
        <w:tc>
          <w:tcPr>
            <w:tcW w:w="920" w:type="dxa"/>
            <w:noWrap/>
            <w:vAlign w:val="center"/>
          </w:tcPr>
          <w:p w14:paraId="7EA896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r>
      <w:tr w14:paraId="2D49C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4" w:hRule="atLeast"/>
        </w:trPr>
        <w:tc>
          <w:tcPr>
            <w:tcW w:w="750" w:type="dxa"/>
            <w:noWrap w:val="0"/>
            <w:vAlign w:val="center"/>
          </w:tcPr>
          <w:p w14:paraId="1F6AE6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365" w:type="dxa"/>
            <w:noWrap/>
            <w:vAlign w:val="center"/>
          </w:tcPr>
          <w:p w14:paraId="64A03C1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路由器</w:t>
            </w:r>
          </w:p>
        </w:tc>
        <w:tc>
          <w:tcPr>
            <w:tcW w:w="5560" w:type="dxa"/>
            <w:noWrap w:val="0"/>
            <w:vAlign w:val="top"/>
          </w:tcPr>
          <w:p w14:paraId="5287F024">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1、转发性能≥4Mpps，内存≥1GB；</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2、端口：WAN≥2*GE（1*Combo），LAN≥4*GE（可切换WAN口）；</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3、支持无线AC控制功能（≥8个AP管理）；</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4、支持IPv4/IPv6，支持静态路由RIPv1/v2、OSPFv2、BGP、IS-IS、路由迭代、路由策略、ECMP；</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5、支持L2TP，NAT/NAPT，SSL（SSL VPN默认5条，最大≥60条），GRE；</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6、支持VRRP、VRRPv3，支持基于带宽的负载分担与备份；</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7、支持对PC、移动终端常见互联网应用识别，并能够针对应用下发过滤和限速控制策略；</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8、管理：支持WEB管理页面、云管理平台远程管理，支持SNMP V1/V2c/V3，MIB，SYSLOG，RMON。</w:t>
            </w:r>
          </w:p>
        </w:tc>
        <w:tc>
          <w:tcPr>
            <w:tcW w:w="780" w:type="dxa"/>
            <w:noWrap/>
            <w:vAlign w:val="center"/>
          </w:tcPr>
          <w:p w14:paraId="43A85D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20" w:type="dxa"/>
            <w:noWrap/>
            <w:vAlign w:val="center"/>
          </w:tcPr>
          <w:p w14:paraId="3E4F67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r>
      <w:tr w14:paraId="25C78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0" w:hRule="atLeast"/>
        </w:trPr>
        <w:tc>
          <w:tcPr>
            <w:tcW w:w="750" w:type="dxa"/>
            <w:noWrap w:val="0"/>
            <w:vAlign w:val="center"/>
          </w:tcPr>
          <w:p w14:paraId="7EEF0D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365" w:type="dxa"/>
            <w:noWrap/>
            <w:vAlign w:val="center"/>
          </w:tcPr>
          <w:p w14:paraId="1BA0FE9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交换机</w:t>
            </w:r>
          </w:p>
        </w:tc>
        <w:tc>
          <w:tcPr>
            <w:tcW w:w="5560" w:type="dxa"/>
            <w:noWrap w:val="0"/>
            <w:vAlign w:val="top"/>
          </w:tcPr>
          <w:p w14:paraId="7ECC2EF3">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1、交换容量≥432Gbps，包转发率≥108Mpps；</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2、端口：≥48千兆电口+4千兆光口；</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3、支持DHCPv6 Client、DHCP Option82，支持STP/RSTP/MSTP；</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4、支持基于端口的VLAN、MAC VLAN、Guest VLAN；</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5、支持IPv4/IPv6静态路由、双协议栈、IPv6 Telnet、IPv6 SSHv2、IPv6域名解析；</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6、支持Diff-Serv QoS、802.1p、DSCP优先级映射、SP/WRR/SP+WRR、流量限速；</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7、支持端口隔离、端口镜像、流镜像、802.1X、端口安全；</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8、支持端口防雷，防雷等级≥6KV；</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9、支持SNMP、支持RMON告警、事件、历史记录；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10、支持命令行接口（CLI）配置、Telnet远程配置、通过Console口配置、虚拟电缆检测。</w:t>
            </w:r>
          </w:p>
        </w:tc>
        <w:tc>
          <w:tcPr>
            <w:tcW w:w="780" w:type="dxa"/>
            <w:noWrap/>
            <w:vAlign w:val="center"/>
          </w:tcPr>
          <w:p w14:paraId="1ECB33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20" w:type="dxa"/>
            <w:noWrap/>
            <w:vAlign w:val="center"/>
          </w:tcPr>
          <w:p w14:paraId="0F34CB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r>
      <w:tr w14:paraId="66934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0" w:hRule="atLeast"/>
        </w:trPr>
        <w:tc>
          <w:tcPr>
            <w:tcW w:w="750" w:type="dxa"/>
            <w:noWrap w:val="0"/>
            <w:vAlign w:val="center"/>
          </w:tcPr>
          <w:p w14:paraId="0C63CB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365" w:type="dxa"/>
            <w:noWrap/>
            <w:vAlign w:val="center"/>
          </w:tcPr>
          <w:p w14:paraId="3910DAD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交换机</w:t>
            </w:r>
          </w:p>
        </w:tc>
        <w:tc>
          <w:tcPr>
            <w:tcW w:w="5560" w:type="dxa"/>
            <w:noWrap w:val="0"/>
            <w:vAlign w:val="top"/>
          </w:tcPr>
          <w:p w14:paraId="6E2FFBAE">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1、交换容量≥337Gbps，包转发率≥96Mpps；</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2、端口：≥24千兆电口+4千兆光口；</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3、支持DHCPv6 Client、DHCP Option82，支持STP/RSTP/MSTP；</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4、支持基于端口的VLAN、MAC VLAN、Guest VLAN；</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5、支持IPv4/IPv6静态路由、双协议栈、IPv6 Telnet、IPv6 SSHv2、IPv6域名解析；</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6、支持Diff-Serv QoS、802.1p、DSCP优先级映射、SP/WRR/SP+WRR、流量限速；</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7、支持端口隔离、端口镜像、流镜像、802.1X、端口安全；</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8、支持端口防雷，防雷等级≥6KV；</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9、支持SNMP、支持RMON告警、事件、历史记录；</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10、支持命令行接口（CLI）配置、Telnet远程配置、通过Console口配置、虚拟电缆检测。</w:t>
            </w:r>
          </w:p>
        </w:tc>
        <w:tc>
          <w:tcPr>
            <w:tcW w:w="780" w:type="dxa"/>
            <w:noWrap/>
            <w:vAlign w:val="center"/>
          </w:tcPr>
          <w:p w14:paraId="0B0AB9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20" w:type="dxa"/>
            <w:noWrap/>
            <w:vAlign w:val="center"/>
          </w:tcPr>
          <w:p w14:paraId="03AF29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r>
      <w:tr w14:paraId="25853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750" w:type="dxa"/>
            <w:noWrap w:val="0"/>
            <w:vAlign w:val="center"/>
          </w:tcPr>
          <w:p w14:paraId="107E82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365" w:type="dxa"/>
            <w:noWrap/>
            <w:vAlign w:val="center"/>
          </w:tcPr>
          <w:p w14:paraId="012A518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稳压电源</w:t>
            </w:r>
          </w:p>
        </w:tc>
        <w:tc>
          <w:tcPr>
            <w:tcW w:w="5560" w:type="dxa"/>
            <w:noWrap w:val="0"/>
            <w:vAlign w:val="top"/>
          </w:tcPr>
          <w:p w14:paraId="716C5565">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三相自动交流稳压器，输入电压280V-430V，调整时间≤8S</w:t>
            </w:r>
          </w:p>
        </w:tc>
        <w:tc>
          <w:tcPr>
            <w:tcW w:w="780" w:type="dxa"/>
            <w:noWrap/>
            <w:vAlign w:val="center"/>
          </w:tcPr>
          <w:p w14:paraId="3D872B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20" w:type="dxa"/>
            <w:noWrap/>
            <w:vAlign w:val="center"/>
          </w:tcPr>
          <w:p w14:paraId="11AABE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r>
      <w:tr w14:paraId="57DD8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750" w:type="dxa"/>
            <w:noWrap w:val="0"/>
            <w:vAlign w:val="center"/>
          </w:tcPr>
          <w:p w14:paraId="048018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1365" w:type="dxa"/>
            <w:noWrap/>
            <w:vAlign w:val="center"/>
          </w:tcPr>
          <w:p w14:paraId="4E61ED6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接线板</w:t>
            </w:r>
          </w:p>
        </w:tc>
        <w:tc>
          <w:tcPr>
            <w:tcW w:w="5560" w:type="dxa"/>
            <w:noWrap w:val="0"/>
            <w:vAlign w:val="top"/>
          </w:tcPr>
          <w:p w14:paraId="27C73D10">
            <w:pPr>
              <w:keepNext w:val="0"/>
              <w:keepLines w:val="0"/>
              <w:widowControl/>
              <w:suppressLineNumbers w:val="0"/>
              <w:jc w:val="both"/>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4插位接线板</w:t>
            </w:r>
          </w:p>
        </w:tc>
        <w:tc>
          <w:tcPr>
            <w:tcW w:w="780" w:type="dxa"/>
            <w:noWrap/>
            <w:vAlign w:val="center"/>
          </w:tcPr>
          <w:p w14:paraId="16764D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920" w:type="dxa"/>
            <w:noWrap/>
            <w:vAlign w:val="center"/>
          </w:tcPr>
          <w:p w14:paraId="691C8F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r>
      <w:tr w14:paraId="49092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0" w:hRule="atLeast"/>
        </w:trPr>
        <w:tc>
          <w:tcPr>
            <w:tcW w:w="750" w:type="dxa"/>
            <w:noWrap w:val="0"/>
            <w:vAlign w:val="center"/>
          </w:tcPr>
          <w:p w14:paraId="0A00D5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365" w:type="dxa"/>
            <w:noWrap/>
            <w:vAlign w:val="center"/>
          </w:tcPr>
          <w:p w14:paraId="26E50B2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电脑桌凳</w:t>
            </w:r>
          </w:p>
        </w:tc>
        <w:tc>
          <w:tcPr>
            <w:tcW w:w="5560" w:type="dxa"/>
            <w:noWrap w:val="0"/>
            <w:vAlign w:val="top"/>
          </w:tcPr>
          <w:p w14:paraId="3B9BCB19">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钢木结构双人位约1200*600*750mm，台面采用约25mm厚中纤维板三胺双贴面板，厚度误差</w:t>
            </w:r>
            <w:r>
              <w:rPr>
                <w:rFonts w:hint="eastAsia" w:ascii="宋体" w:hAnsi="宋体" w:cs="宋体"/>
                <w:i w:val="0"/>
                <w:iCs w:val="0"/>
                <w:color w:val="000000"/>
                <w:kern w:val="0"/>
                <w:sz w:val="18"/>
                <w:szCs w:val="18"/>
                <w:u w:val="none"/>
                <w:lang w:val="en-US" w:eastAsia="zh-CN" w:bidi="ar"/>
              </w:rPr>
              <w:t>不超</w:t>
            </w:r>
            <w:r>
              <w:rPr>
                <w:rFonts w:hint="eastAsia" w:ascii="宋体" w:hAnsi="宋体" w:eastAsia="宋体" w:cs="宋体"/>
                <w:i w:val="0"/>
                <w:iCs w:val="0"/>
                <w:color w:val="000000"/>
                <w:kern w:val="0"/>
                <w:sz w:val="20"/>
                <w:szCs w:val="20"/>
                <w:u w:val="none"/>
                <w:lang w:val="en-US" w:eastAsia="zh-CN" w:bidi="ar"/>
              </w:rPr>
              <w:t>±1mm，颜色可选。四边2.0mmPVC封边，热熔胶粘接，边角圆滑处理；桌架约15mm*50mm*1.2mm矩形钢管，经模具折弯成口字型，内置约300mm*50mm*1.2mm网孔钢板焊接，桌架之间连接杆约25mm*50mm*1.2mm矩管，锯齿式卡扣，桌中间与桌面下部设有钢板冲压U型走线槽，预留电源接口，桌架整体表面磷化喷塑处理。方凳规格：左右约340mm*前后约240mm*上下约450mm，钢木结构，凳面为约25mm实木颗粒双贴面板，厚度误差</w:t>
            </w:r>
            <w:r>
              <w:rPr>
                <w:rFonts w:hint="eastAsia" w:ascii="宋体" w:hAnsi="宋体" w:cs="宋体"/>
                <w:i w:val="0"/>
                <w:iCs w:val="0"/>
                <w:color w:val="000000"/>
                <w:kern w:val="0"/>
                <w:sz w:val="18"/>
                <w:szCs w:val="18"/>
                <w:u w:val="none"/>
                <w:lang w:val="en-US" w:eastAsia="zh-CN" w:bidi="ar"/>
              </w:rPr>
              <w:t>不超</w:t>
            </w:r>
            <w:r>
              <w:rPr>
                <w:rFonts w:hint="eastAsia" w:ascii="宋体" w:hAnsi="宋体" w:eastAsia="宋体" w:cs="宋体"/>
                <w:i w:val="0"/>
                <w:iCs w:val="0"/>
                <w:color w:val="000000"/>
                <w:kern w:val="0"/>
                <w:sz w:val="20"/>
                <w:szCs w:val="20"/>
                <w:u w:val="none"/>
                <w:lang w:val="en-US" w:eastAsia="zh-CN" w:bidi="ar"/>
              </w:rPr>
              <w:t>±1mm，四边用约2mm厚pvc封边，颜色同桌面。凳架约为30mm*30mm方管焊接，表面磷化喷涂处理。</w:t>
            </w:r>
          </w:p>
          <w:p w14:paraId="129C40D9">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p>
        </w:tc>
        <w:tc>
          <w:tcPr>
            <w:tcW w:w="780" w:type="dxa"/>
            <w:noWrap/>
            <w:vAlign w:val="center"/>
          </w:tcPr>
          <w:p w14:paraId="7F25E1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920" w:type="dxa"/>
            <w:noWrap/>
            <w:vAlign w:val="center"/>
          </w:tcPr>
          <w:p w14:paraId="70BDB1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r>
      <w:tr w14:paraId="6109C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750" w:type="dxa"/>
            <w:noWrap w:val="0"/>
            <w:vAlign w:val="center"/>
          </w:tcPr>
          <w:p w14:paraId="437968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1365" w:type="dxa"/>
            <w:noWrap/>
            <w:vAlign w:val="center"/>
          </w:tcPr>
          <w:p w14:paraId="5872ECE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网络机柜</w:t>
            </w:r>
          </w:p>
        </w:tc>
        <w:tc>
          <w:tcPr>
            <w:tcW w:w="5560" w:type="dxa"/>
            <w:noWrap w:val="0"/>
            <w:vAlign w:val="top"/>
          </w:tcPr>
          <w:p w14:paraId="3EDD10A4">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100*60*60cm网络机柜 </w:t>
            </w:r>
          </w:p>
          <w:p w14:paraId="72E5D9E1">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p>
        </w:tc>
        <w:tc>
          <w:tcPr>
            <w:tcW w:w="780" w:type="dxa"/>
            <w:noWrap/>
            <w:vAlign w:val="center"/>
          </w:tcPr>
          <w:p w14:paraId="2FAD23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20" w:type="dxa"/>
            <w:noWrap/>
            <w:vAlign w:val="center"/>
          </w:tcPr>
          <w:p w14:paraId="5FE167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r>
      <w:tr w14:paraId="358F2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750" w:type="dxa"/>
            <w:noWrap w:val="0"/>
            <w:vAlign w:val="center"/>
          </w:tcPr>
          <w:p w14:paraId="3900DC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1365" w:type="dxa"/>
            <w:noWrap/>
            <w:vAlign w:val="center"/>
          </w:tcPr>
          <w:p w14:paraId="7C915E4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综合布线</w:t>
            </w:r>
          </w:p>
        </w:tc>
        <w:tc>
          <w:tcPr>
            <w:tcW w:w="5560" w:type="dxa"/>
            <w:noWrap w:val="0"/>
            <w:vAlign w:val="top"/>
          </w:tcPr>
          <w:p w14:paraId="60D9DF46">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网线、电源线、线槽、线管、施工费</w:t>
            </w:r>
          </w:p>
          <w:p w14:paraId="2CAC9B6A">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p>
        </w:tc>
        <w:tc>
          <w:tcPr>
            <w:tcW w:w="780" w:type="dxa"/>
            <w:noWrap/>
            <w:vAlign w:val="center"/>
          </w:tcPr>
          <w:p w14:paraId="3B5555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20" w:type="dxa"/>
            <w:noWrap/>
            <w:vAlign w:val="center"/>
          </w:tcPr>
          <w:p w14:paraId="06345C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r>
      <w:tr w14:paraId="354EF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750" w:type="dxa"/>
            <w:noWrap w:val="0"/>
            <w:vAlign w:val="center"/>
          </w:tcPr>
          <w:p w14:paraId="08E7A6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365" w:type="dxa"/>
            <w:noWrap/>
            <w:vAlign w:val="center"/>
          </w:tcPr>
          <w:p w14:paraId="2297E76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静电地板</w:t>
            </w:r>
          </w:p>
        </w:tc>
        <w:tc>
          <w:tcPr>
            <w:tcW w:w="5560" w:type="dxa"/>
            <w:noWrap w:val="0"/>
            <w:vAlign w:val="bottom"/>
          </w:tcPr>
          <w:p w14:paraId="3F437D8F">
            <w:pPr>
              <w:keepNext w:val="0"/>
              <w:keepLines w:val="0"/>
              <w:widowControl/>
              <w:suppressLineNumbers w:val="0"/>
              <w:jc w:val="center"/>
              <w:textAlignment w:val="top"/>
              <w:rPr>
                <w:rFonts w:hint="eastAsia" w:ascii="宋体" w:hAnsi="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全钢防静电地板‌：规格为600×600mm，厚度为30mm、35mm</w:t>
            </w:r>
            <w:r>
              <w:rPr>
                <w:rFonts w:hint="eastAsia" w:ascii="宋体" w:hAnsi="宋体" w:cs="宋体"/>
                <w:i w:val="0"/>
                <w:iCs w:val="0"/>
                <w:color w:val="000000"/>
                <w:kern w:val="0"/>
                <w:sz w:val="20"/>
                <w:szCs w:val="20"/>
                <w:u w:val="none"/>
                <w:lang w:val="en-US" w:eastAsia="zh-CN" w:bidi="ar"/>
              </w:rPr>
              <w:t>，</w:t>
            </w:r>
          </w:p>
          <w:p w14:paraId="2B870C71">
            <w:pPr>
              <w:keepNext w:val="0"/>
              <w:keepLines w:val="0"/>
              <w:widowControl/>
              <w:suppressLineNumbers w:val="0"/>
              <w:jc w:val="both"/>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18"/>
                <w:szCs w:val="18"/>
                <w:u w:val="none"/>
                <w:lang w:val="en-US" w:eastAsia="zh-CN" w:bidi="ar"/>
              </w:rPr>
              <w:t>误差不超</w:t>
            </w:r>
            <w:r>
              <w:rPr>
                <w:rFonts w:hint="eastAsia" w:ascii="宋体" w:hAnsi="宋体" w:eastAsia="宋体" w:cs="宋体"/>
                <w:i w:val="0"/>
                <w:iCs w:val="0"/>
                <w:color w:val="000000"/>
                <w:kern w:val="0"/>
                <w:sz w:val="18"/>
                <w:szCs w:val="18"/>
                <w:u w:val="none"/>
                <w:lang w:val="en-US" w:eastAsia="zh-CN" w:bidi="ar"/>
              </w:rPr>
              <w:t>±1mm</w:t>
            </w:r>
            <w:r>
              <w:rPr>
                <w:rFonts w:hint="eastAsia" w:ascii="宋体" w:hAnsi="宋体" w:eastAsia="宋体" w:cs="宋体"/>
                <w:i w:val="0"/>
                <w:iCs w:val="0"/>
                <w:color w:val="000000"/>
                <w:kern w:val="0"/>
                <w:sz w:val="20"/>
                <w:szCs w:val="20"/>
                <w:u w:val="none"/>
                <w:lang w:val="en-US" w:eastAsia="zh-CN" w:bidi="ar"/>
              </w:rPr>
              <w:t>。</w:t>
            </w:r>
          </w:p>
          <w:p w14:paraId="3F28DC3B">
            <w:pPr>
              <w:keepNext w:val="0"/>
              <w:keepLines w:val="0"/>
              <w:widowControl/>
              <w:suppressLineNumbers w:val="0"/>
              <w:jc w:val="both"/>
              <w:textAlignment w:val="top"/>
              <w:rPr>
                <w:rFonts w:hint="eastAsia" w:ascii="宋体" w:hAnsi="宋体" w:eastAsia="宋体" w:cs="宋体"/>
                <w:i w:val="0"/>
                <w:iCs w:val="0"/>
                <w:color w:val="000000"/>
                <w:kern w:val="0"/>
                <w:sz w:val="20"/>
                <w:szCs w:val="20"/>
                <w:u w:val="none"/>
                <w:lang w:val="en-US" w:eastAsia="zh-CN" w:bidi="ar"/>
              </w:rPr>
            </w:pPr>
          </w:p>
        </w:tc>
        <w:tc>
          <w:tcPr>
            <w:tcW w:w="780" w:type="dxa"/>
            <w:noWrap w:val="0"/>
            <w:vAlign w:val="center"/>
          </w:tcPr>
          <w:p w14:paraId="15651F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920" w:type="dxa"/>
            <w:noWrap w:val="0"/>
            <w:vAlign w:val="center"/>
          </w:tcPr>
          <w:p w14:paraId="21A0DD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74293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50" w:type="dxa"/>
            <w:vMerge w:val="restart"/>
            <w:noWrap w:val="0"/>
            <w:vAlign w:val="center"/>
          </w:tcPr>
          <w:p w14:paraId="683D9526">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w:t>
            </w:r>
            <w:r>
              <w:rPr>
                <w:rFonts w:hint="eastAsia" w:ascii="宋体" w:hAnsi="宋体" w:cs="宋体"/>
                <w:i w:val="0"/>
                <w:iCs w:val="0"/>
                <w:color w:val="000000"/>
                <w:kern w:val="0"/>
                <w:sz w:val="20"/>
                <w:szCs w:val="20"/>
                <w:u w:val="none"/>
                <w:lang w:val="en-US" w:eastAsia="zh-CN" w:bidi="ar"/>
              </w:rPr>
              <w:t>6</w:t>
            </w:r>
          </w:p>
        </w:tc>
        <w:tc>
          <w:tcPr>
            <w:tcW w:w="1365" w:type="dxa"/>
            <w:vMerge w:val="restart"/>
            <w:noWrap w:val="0"/>
            <w:vAlign w:val="center"/>
          </w:tcPr>
          <w:p w14:paraId="1E0697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智慧班牌</w:t>
            </w:r>
          </w:p>
        </w:tc>
        <w:tc>
          <w:tcPr>
            <w:tcW w:w="5560" w:type="dxa"/>
            <w:vMerge w:val="restart"/>
            <w:noWrap w:val="0"/>
            <w:vAlign w:val="top"/>
          </w:tcPr>
          <w:p w14:paraId="4066DD5B">
            <w:pPr>
              <w:keepNext w:val="0"/>
              <w:keepLines w:val="0"/>
              <w:widowControl/>
              <w:numPr>
                <w:ilvl w:val="0"/>
                <w:numId w:val="0"/>
              </w:numPr>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1.≥21.5英寸电容式触摸屏正面采用全钢化光学玻璃，支持≥10点触控，分辨率支持≥1920x1080，显示比例≥16:9。</w:t>
            </w:r>
          </w:p>
          <w:p w14:paraId="7D4E7867">
            <w:pPr>
              <w:keepNext w:val="0"/>
              <w:keepLines w:val="0"/>
              <w:widowControl/>
              <w:numPr>
                <w:ilvl w:val="0"/>
                <w:numId w:val="0"/>
              </w:numPr>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2.内置广角高清宽动态摄像头，可同时支持≥5人做人脸识别考勤签到。</w:t>
            </w:r>
          </w:p>
          <w:p w14:paraId="22B231B0">
            <w:pPr>
              <w:keepNext w:val="0"/>
              <w:keepLines w:val="0"/>
              <w:widowControl/>
              <w:numPr>
                <w:ilvl w:val="0"/>
                <w:numId w:val="0"/>
              </w:numPr>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3.内置≥1个读卡器，学生可佩带相应的终端卡片进行刷卡签到。</w:t>
            </w:r>
          </w:p>
          <w:p w14:paraId="5F39B630">
            <w:pPr>
              <w:keepNext w:val="0"/>
              <w:keepLines w:val="0"/>
              <w:widowControl/>
              <w:numPr>
                <w:ilvl w:val="0"/>
                <w:numId w:val="0"/>
              </w:numPr>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4.支持人脸录入。学生及教师面部信息进行上传、查看和删除；录入面部信息后由系统进行识别分析并标注为未录入、未同步、识别中、正常、重复、异常六种状态，对未识别的面部信息进行重新录入，避免出现考勤时无法识别的情况。</w:t>
            </w:r>
          </w:p>
          <w:p w14:paraId="6225DD1A">
            <w:pPr>
              <w:keepNext w:val="0"/>
              <w:keepLines w:val="0"/>
              <w:widowControl/>
              <w:numPr>
                <w:ilvl w:val="0"/>
                <w:numId w:val="0"/>
              </w:numPr>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5.支持人脸考勤。可通过班牌终端查看班级学生未签、已签、请假以及迟到等考勤情况，支持学生请假、补签和提前签退。管理端可以针对不同年级设置不同的作息时间和考勤模板，到达指定考勤时间后班牌开启考勤任务。</w:t>
            </w:r>
          </w:p>
          <w:p w14:paraId="658393D1">
            <w:pPr>
              <w:keepNext w:val="0"/>
              <w:keepLines w:val="0"/>
              <w:widowControl/>
              <w:numPr>
                <w:ilvl w:val="0"/>
                <w:numId w:val="0"/>
              </w:numPr>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6.支持展示班级宣言、班级课表、班级通知、班级相册、日常任务等班级信息，可进入二级界面查看详细内容。</w:t>
            </w:r>
          </w:p>
          <w:p w14:paraId="6096F67A">
            <w:pPr>
              <w:keepNext w:val="0"/>
              <w:keepLines w:val="0"/>
              <w:widowControl/>
              <w:numPr>
                <w:ilvl w:val="0"/>
                <w:numId w:val="0"/>
              </w:numPr>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7.支持展示通知公告、校园资讯、活动日程、校园风采、班级评比、学生荣誉以及特别表彰等校园信息，可进入二级界面查看详细内容。</w:t>
            </w:r>
          </w:p>
          <w:p w14:paraId="567A3FCE">
            <w:pPr>
              <w:keepNext w:val="0"/>
              <w:keepLines w:val="0"/>
              <w:widowControl/>
              <w:numPr>
                <w:ilvl w:val="0"/>
                <w:numId w:val="0"/>
              </w:numPr>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8.支持上课模式，上课时自动切换至上课模式，班牌根据本班课表情况展示当堂课程信息。可在管理端进行相关项设置，按照课表设置提前进入或延后结束模式的时间。</w:t>
            </w:r>
          </w:p>
          <w:p w14:paraId="1CDEF6E4">
            <w:pPr>
              <w:keepNext w:val="0"/>
              <w:keepLines w:val="0"/>
              <w:widowControl/>
              <w:numPr>
                <w:ilvl w:val="0"/>
                <w:numId w:val="0"/>
              </w:numPr>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9.支持考试模式，班牌根据已录入并发布的考试计划展示该教室考场的科目、监考、考生等相关信息。可在管理端进行相关项设置，按照考试计划设置提前进入或延后结束模式的时间。</w:t>
            </w:r>
          </w:p>
          <w:p w14:paraId="111B3FB9">
            <w:pPr>
              <w:keepNext w:val="0"/>
              <w:keepLines w:val="0"/>
              <w:widowControl/>
              <w:numPr>
                <w:ilvl w:val="0"/>
                <w:numId w:val="0"/>
              </w:numPr>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10.支持信发模式，全屏播放风采图片、宣教视频，支持周期播放、连续播放、插播以及垫片播放等多种播放模式，可设置在线/离线播放、播放日期、播放时间、循环周期以及分组播放。</w:t>
            </w:r>
          </w:p>
          <w:p w14:paraId="57991F0C">
            <w:pPr>
              <w:keepNext w:val="0"/>
              <w:keepLines w:val="0"/>
              <w:widowControl/>
              <w:numPr>
                <w:ilvl w:val="0"/>
                <w:numId w:val="0"/>
              </w:numPr>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11.教师通过身份验证后可直接调用教室摄像机的实时监控视频画面，查看教室内学生上课情况。</w:t>
            </w:r>
          </w:p>
          <w:p w14:paraId="5DEAD2B0">
            <w:pPr>
              <w:keepNext w:val="0"/>
              <w:keepLines w:val="0"/>
              <w:widowControl/>
              <w:numPr>
                <w:ilvl w:val="0"/>
                <w:numId w:val="0"/>
              </w:numPr>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12.支持页面设置，可分别显示校园页、班级页以及模式切换页。固定页面情况下，仅显示被固定的页而且该页面内功能可正常使用；不固定页面情况下，可进行页面轮播，支持设置开关、开始时间以及轮播间隙。</w:t>
            </w:r>
          </w:p>
          <w:p w14:paraId="146E4AF6">
            <w:pPr>
              <w:keepNext w:val="0"/>
              <w:keepLines w:val="0"/>
              <w:widowControl/>
              <w:numPr>
                <w:ilvl w:val="0"/>
                <w:numId w:val="0"/>
              </w:numPr>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13.支持消息交流。通过身份验证后，学生可用班牌终端对老师及家长发来的消息进行实时回复，也可以主动向老师和家长发送消息，用于日常的即时沟通。</w:t>
            </w:r>
          </w:p>
          <w:p w14:paraId="18D89A10">
            <w:pPr>
              <w:keepNext w:val="0"/>
              <w:keepLines w:val="0"/>
              <w:widowControl/>
              <w:numPr>
                <w:ilvl w:val="0"/>
                <w:numId w:val="0"/>
              </w:numPr>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14.终端具有≥2个USB2.0，≥1个HDMI输出，≥1个RJ45，≥1个耳机口，≥1个TF卡槽。</w:t>
            </w:r>
          </w:p>
        </w:tc>
        <w:tc>
          <w:tcPr>
            <w:tcW w:w="780" w:type="dxa"/>
            <w:vMerge w:val="restart"/>
            <w:noWrap/>
            <w:vAlign w:val="center"/>
          </w:tcPr>
          <w:p w14:paraId="6BE3ED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920" w:type="dxa"/>
            <w:vMerge w:val="restart"/>
            <w:noWrap w:val="0"/>
            <w:vAlign w:val="center"/>
          </w:tcPr>
          <w:p w14:paraId="78D537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r>
      <w:tr w14:paraId="418C2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5" w:hRule="atLeast"/>
        </w:trPr>
        <w:tc>
          <w:tcPr>
            <w:tcW w:w="750" w:type="dxa"/>
            <w:vMerge w:val="continue"/>
            <w:noWrap w:val="0"/>
            <w:vAlign w:val="center"/>
          </w:tcPr>
          <w:p w14:paraId="17B218D9">
            <w:pPr>
              <w:jc w:val="center"/>
              <w:rPr>
                <w:rFonts w:hint="eastAsia" w:ascii="宋体" w:hAnsi="宋体" w:eastAsia="宋体" w:cs="宋体"/>
                <w:i w:val="0"/>
                <w:iCs w:val="0"/>
                <w:color w:val="000000"/>
                <w:sz w:val="20"/>
                <w:szCs w:val="20"/>
                <w:u w:val="none"/>
              </w:rPr>
            </w:pPr>
          </w:p>
        </w:tc>
        <w:tc>
          <w:tcPr>
            <w:tcW w:w="1365" w:type="dxa"/>
            <w:vMerge w:val="continue"/>
            <w:noWrap w:val="0"/>
            <w:vAlign w:val="center"/>
          </w:tcPr>
          <w:p w14:paraId="43ED6EF7">
            <w:pPr>
              <w:jc w:val="center"/>
              <w:rPr>
                <w:rFonts w:hint="eastAsia" w:ascii="宋体" w:hAnsi="宋体" w:eastAsia="宋体" w:cs="宋体"/>
                <w:i w:val="0"/>
                <w:iCs w:val="0"/>
                <w:color w:val="000000"/>
                <w:sz w:val="20"/>
                <w:szCs w:val="20"/>
                <w:u w:val="none"/>
              </w:rPr>
            </w:pPr>
          </w:p>
        </w:tc>
        <w:tc>
          <w:tcPr>
            <w:tcW w:w="5560" w:type="dxa"/>
            <w:vMerge w:val="continue"/>
            <w:noWrap w:val="0"/>
            <w:vAlign w:val="top"/>
          </w:tcPr>
          <w:p w14:paraId="6BAA4FA3">
            <w:pPr>
              <w:jc w:val="left"/>
              <w:rPr>
                <w:rFonts w:hint="eastAsia" w:ascii="宋体" w:hAnsi="宋体" w:eastAsia="宋体" w:cs="宋体"/>
                <w:i w:val="0"/>
                <w:iCs w:val="0"/>
                <w:color w:val="000000"/>
                <w:sz w:val="18"/>
                <w:szCs w:val="18"/>
                <w:u w:val="none"/>
              </w:rPr>
            </w:pPr>
          </w:p>
        </w:tc>
        <w:tc>
          <w:tcPr>
            <w:tcW w:w="780" w:type="dxa"/>
            <w:vMerge w:val="continue"/>
            <w:noWrap/>
            <w:vAlign w:val="center"/>
          </w:tcPr>
          <w:p w14:paraId="114F759C">
            <w:pPr>
              <w:jc w:val="center"/>
              <w:rPr>
                <w:rFonts w:hint="eastAsia" w:ascii="宋体" w:hAnsi="宋体" w:eastAsia="宋体" w:cs="宋体"/>
                <w:i w:val="0"/>
                <w:iCs w:val="0"/>
                <w:color w:val="000000"/>
                <w:sz w:val="20"/>
                <w:szCs w:val="20"/>
                <w:u w:val="none"/>
              </w:rPr>
            </w:pPr>
          </w:p>
        </w:tc>
        <w:tc>
          <w:tcPr>
            <w:tcW w:w="920" w:type="dxa"/>
            <w:vMerge w:val="continue"/>
            <w:noWrap w:val="0"/>
            <w:vAlign w:val="center"/>
          </w:tcPr>
          <w:p w14:paraId="192EEC39">
            <w:pPr>
              <w:jc w:val="center"/>
              <w:rPr>
                <w:rFonts w:hint="eastAsia" w:ascii="宋体" w:hAnsi="宋体" w:eastAsia="宋体" w:cs="宋体"/>
                <w:i w:val="0"/>
                <w:iCs w:val="0"/>
                <w:color w:val="000000"/>
                <w:sz w:val="20"/>
                <w:szCs w:val="20"/>
                <w:u w:val="none"/>
              </w:rPr>
            </w:pPr>
          </w:p>
        </w:tc>
      </w:tr>
      <w:tr w14:paraId="5286E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50" w:type="dxa"/>
            <w:vMerge w:val="restart"/>
            <w:noWrap w:val="0"/>
            <w:vAlign w:val="center"/>
          </w:tcPr>
          <w:p w14:paraId="2052004C">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kern w:val="0"/>
                <w:sz w:val="20"/>
                <w:szCs w:val="20"/>
                <w:u w:val="none"/>
                <w:lang w:val="en-US" w:eastAsia="zh-CN" w:bidi="ar"/>
              </w:rPr>
              <w:t>17</w:t>
            </w:r>
          </w:p>
        </w:tc>
        <w:tc>
          <w:tcPr>
            <w:tcW w:w="1365" w:type="dxa"/>
            <w:vMerge w:val="restart"/>
            <w:noWrap w:val="0"/>
            <w:vAlign w:val="center"/>
          </w:tcPr>
          <w:p w14:paraId="0723CF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智慧班牌管理平台</w:t>
            </w:r>
          </w:p>
        </w:tc>
        <w:tc>
          <w:tcPr>
            <w:tcW w:w="5560" w:type="dxa"/>
            <w:vMerge w:val="restart"/>
            <w:noWrap w:val="0"/>
            <w:vAlign w:val="top"/>
          </w:tcPr>
          <w:p w14:paraId="60D85545">
            <w:pPr>
              <w:keepNext w:val="0"/>
              <w:keepLines w:val="0"/>
              <w:widowControl/>
              <w:numPr>
                <w:ilvl w:val="0"/>
                <w:numId w:val="0"/>
              </w:numPr>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1.支持时间、天气以及温度等信息显示。</w:t>
            </w:r>
          </w:p>
          <w:p w14:paraId="3A3AA6FB">
            <w:pPr>
              <w:keepNext w:val="0"/>
              <w:keepLines w:val="0"/>
              <w:widowControl/>
              <w:numPr>
                <w:ilvl w:val="0"/>
                <w:numId w:val="0"/>
              </w:numPr>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2.支持班牌软件背景切换，班级教师可按班级偏好个性设置班牌背景风格。</w:t>
            </w:r>
          </w:p>
          <w:p w14:paraId="6985A21A">
            <w:pPr>
              <w:keepNext w:val="0"/>
              <w:keepLines w:val="0"/>
              <w:widowControl/>
              <w:numPr>
                <w:ilvl w:val="0"/>
                <w:numId w:val="0"/>
              </w:numPr>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3.支持课堂巡课功能，巡课教师在班牌认证身份后可直接在终端查看教室内摄像头拍摄的上课情况。</w:t>
            </w:r>
          </w:p>
          <w:p w14:paraId="3349CE14">
            <w:pPr>
              <w:keepNext w:val="0"/>
              <w:keepLines w:val="0"/>
              <w:widowControl/>
              <w:numPr>
                <w:ilvl w:val="0"/>
                <w:numId w:val="0"/>
              </w:numPr>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4.支持展示学校信息、学校通知、校园资讯、活动日程、校园风采以及校园荣誉墙。管理员及教师可在服务器后台与手机端上完成相关信息的发布和查看。</w:t>
            </w:r>
          </w:p>
          <w:p w14:paraId="03192AB9">
            <w:pPr>
              <w:keepNext w:val="0"/>
              <w:keepLines w:val="0"/>
              <w:widowControl/>
              <w:numPr>
                <w:ilvl w:val="0"/>
                <w:numId w:val="0"/>
              </w:numPr>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5.支持展示班级信息、班级课表、班级通知、班级相册、日常任务以及班级荣誉。管理员及教师可在服务器后台与手机端上完成相关信息的发布和查看。</w:t>
            </w:r>
          </w:p>
          <w:p w14:paraId="49C8AA6F">
            <w:pPr>
              <w:keepNext w:val="0"/>
              <w:keepLines w:val="0"/>
              <w:widowControl/>
              <w:numPr>
                <w:ilvl w:val="0"/>
                <w:numId w:val="0"/>
              </w:numPr>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6.支持上课模式、考试模式等多种模式切换。后台可对模式切换规则进行自定义设置，班牌屏幕将根据规则自动完成模式的切换与展示。</w:t>
            </w:r>
          </w:p>
        </w:tc>
        <w:tc>
          <w:tcPr>
            <w:tcW w:w="780" w:type="dxa"/>
            <w:vMerge w:val="restart"/>
            <w:noWrap w:val="0"/>
            <w:vAlign w:val="center"/>
          </w:tcPr>
          <w:p w14:paraId="5FE7B0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920" w:type="dxa"/>
            <w:vMerge w:val="restart"/>
            <w:noWrap w:val="0"/>
            <w:vAlign w:val="center"/>
          </w:tcPr>
          <w:p w14:paraId="2E5C44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r>
      <w:tr w14:paraId="39A63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0" w:hRule="atLeast"/>
        </w:trPr>
        <w:tc>
          <w:tcPr>
            <w:tcW w:w="750" w:type="dxa"/>
            <w:vMerge w:val="continue"/>
            <w:noWrap w:val="0"/>
            <w:vAlign w:val="center"/>
          </w:tcPr>
          <w:p w14:paraId="4F260EDA">
            <w:pPr>
              <w:jc w:val="center"/>
              <w:rPr>
                <w:rFonts w:hint="eastAsia" w:ascii="宋体" w:hAnsi="宋体" w:eastAsia="宋体" w:cs="宋体"/>
                <w:i w:val="0"/>
                <w:iCs w:val="0"/>
                <w:color w:val="000000"/>
                <w:sz w:val="20"/>
                <w:szCs w:val="20"/>
                <w:u w:val="none"/>
              </w:rPr>
            </w:pPr>
          </w:p>
        </w:tc>
        <w:tc>
          <w:tcPr>
            <w:tcW w:w="1365" w:type="dxa"/>
            <w:vMerge w:val="continue"/>
            <w:noWrap w:val="0"/>
            <w:vAlign w:val="center"/>
          </w:tcPr>
          <w:p w14:paraId="24FB77D4">
            <w:pPr>
              <w:jc w:val="center"/>
              <w:rPr>
                <w:rFonts w:hint="eastAsia" w:ascii="宋体" w:hAnsi="宋体" w:eastAsia="宋体" w:cs="宋体"/>
                <w:i w:val="0"/>
                <w:iCs w:val="0"/>
                <w:color w:val="000000"/>
                <w:sz w:val="20"/>
                <w:szCs w:val="20"/>
                <w:u w:val="none"/>
              </w:rPr>
            </w:pPr>
          </w:p>
        </w:tc>
        <w:tc>
          <w:tcPr>
            <w:tcW w:w="5560" w:type="dxa"/>
            <w:vMerge w:val="continue"/>
            <w:noWrap w:val="0"/>
            <w:vAlign w:val="top"/>
          </w:tcPr>
          <w:p w14:paraId="2E40569A">
            <w:pPr>
              <w:rPr>
                <w:rFonts w:hint="eastAsia" w:ascii="宋体" w:hAnsi="宋体" w:eastAsia="宋体" w:cs="宋体"/>
                <w:i w:val="0"/>
                <w:iCs w:val="0"/>
                <w:color w:val="000000"/>
                <w:sz w:val="18"/>
                <w:szCs w:val="18"/>
                <w:u w:val="none"/>
              </w:rPr>
            </w:pPr>
          </w:p>
        </w:tc>
        <w:tc>
          <w:tcPr>
            <w:tcW w:w="780" w:type="dxa"/>
            <w:vMerge w:val="continue"/>
            <w:noWrap w:val="0"/>
            <w:vAlign w:val="center"/>
          </w:tcPr>
          <w:p w14:paraId="00FDA342">
            <w:pPr>
              <w:jc w:val="center"/>
              <w:rPr>
                <w:rFonts w:hint="eastAsia" w:ascii="宋体" w:hAnsi="宋体" w:eastAsia="宋体" w:cs="宋体"/>
                <w:i w:val="0"/>
                <w:iCs w:val="0"/>
                <w:color w:val="000000"/>
                <w:sz w:val="20"/>
                <w:szCs w:val="20"/>
                <w:u w:val="none"/>
              </w:rPr>
            </w:pPr>
          </w:p>
        </w:tc>
        <w:tc>
          <w:tcPr>
            <w:tcW w:w="920" w:type="dxa"/>
            <w:vMerge w:val="continue"/>
            <w:noWrap w:val="0"/>
            <w:vAlign w:val="center"/>
          </w:tcPr>
          <w:p w14:paraId="39F86FAE">
            <w:pPr>
              <w:jc w:val="center"/>
              <w:rPr>
                <w:rFonts w:hint="eastAsia" w:ascii="宋体" w:hAnsi="宋体" w:eastAsia="宋体" w:cs="宋体"/>
                <w:i w:val="0"/>
                <w:iCs w:val="0"/>
                <w:color w:val="000000"/>
                <w:sz w:val="20"/>
                <w:szCs w:val="20"/>
                <w:u w:val="none"/>
              </w:rPr>
            </w:pPr>
          </w:p>
        </w:tc>
      </w:tr>
      <w:tr w14:paraId="6BF74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trPr>
        <w:tc>
          <w:tcPr>
            <w:tcW w:w="750" w:type="dxa"/>
            <w:vMerge w:val="continue"/>
            <w:noWrap w:val="0"/>
            <w:vAlign w:val="center"/>
          </w:tcPr>
          <w:p w14:paraId="312AB4C8">
            <w:pPr>
              <w:jc w:val="center"/>
              <w:rPr>
                <w:rFonts w:hint="eastAsia" w:ascii="宋体" w:hAnsi="宋体" w:eastAsia="宋体" w:cs="宋体"/>
                <w:i w:val="0"/>
                <w:iCs w:val="0"/>
                <w:color w:val="000000"/>
                <w:sz w:val="20"/>
                <w:szCs w:val="20"/>
                <w:u w:val="none"/>
              </w:rPr>
            </w:pPr>
          </w:p>
        </w:tc>
        <w:tc>
          <w:tcPr>
            <w:tcW w:w="1365" w:type="dxa"/>
            <w:vMerge w:val="continue"/>
            <w:noWrap w:val="0"/>
            <w:vAlign w:val="center"/>
          </w:tcPr>
          <w:p w14:paraId="41CDFBE1">
            <w:pPr>
              <w:jc w:val="center"/>
              <w:rPr>
                <w:rFonts w:hint="eastAsia" w:ascii="宋体" w:hAnsi="宋体" w:eastAsia="宋体" w:cs="宋体"/>
                <w:i w:val="0"/>
                <w:iCs w:val="0"/>
                <w:color w:val="000000"/>
                <w:sz w:val="20"/>
                <w:szCs w:val="20"/>
                <w:u w:val="none"/>
              </w:rPr>
            </w:pPr>
          </w:p>
        </w:tc>
        <w:tc>
          <w:tcPr>
            <w:tcW w:w="5560" w:type="dxa"/>
            <w:vMerge w:val="continue"/>
            <w:noWrap w:val="0"/>
            <w:vAlign w:val="top"/>
          </w:tcPr>
          <w:p w14:paraId="6BF044E2">
            <w:pPr>
              <w:rPr>
                <w:rFonts w:hint="eastAsia" w:ascii="宋体" w:hAnsi="宋体" w:eastAsia="宋体" w:cs="宋体"/>
                <w:i w:val="0"/>
                <w:iCs w:val="0"/>
                <w:color w:val="000000"/>
                <w:sz w:val="18"/>
                <w:szCs w:val="18"/>
                <w:u w:val="none"/>
              </w:rPr>
            </w:pPr>
          </w:p>
        </w:tc>
        <w:tc>
          <w:tcPr>
            <w:tcW w:w="780" w:type="dxa"/>
            <w:vMerge w:val="continue"/>
            <w:noWrap w:val="0"/>
            <w:vAlign w:val="center"/>
          </w:tcPr>
          <w:p w14:paraId="7DBF9335">
            <w:pPr>
              <w:jc w:val="center"/>
              <w:rPr>
                <w:rFonts w:hint="eastAsia" w:ascii="宋体" w:hAnsi="宋体" w:eastAsia="宋体" w:cs="宋体"/>
                <w:i w:val="0"/>
                <w:iCs w:val="0"/>
                <w:color w:val="000000"/>
                <w:sz w:val="20"/>
                <w:szCs w:val="20"/>
                <w:u w:val="none"/>
              </w:rPr>
            </w:pPr>
          </w:p>
        </w:tc>
        <w:tc>
          <w:tcPr>
            <w:tcW w:w="920" w:type="dxa"/>
            <w:vMerge w:val="continue"/>
            <w:noWrap w:val="0"/>
            <w:vAlign w:val="center"/>
          </w:tcPr>
          <w:p w14:paraId="1D3CFC3E">
            <w:pPr>
              <w:jc w:val="center"/>
              <w:rPr>
                <w:rFonts w:hint="eastAsia" w:ascii="宋体" w:hAnsi="宋体" w:eastAsia="宋体" w:cs="宋体"/>
                <w:i w:val="0"/>
                <w:iCs w:val="0"/>
                <w:color w:val="000000"/>
                <w:sz w:val="20"/>
                <w:szCs w:val="20"/>
                <w:u w:val="none"/>
              </w:rPr>
            </w:pPr>
          </w:p>
        </w:tc>
      </w:tr>
      <w:tr w14:paraId="799A1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750" w:type="dxa"/>
            <w:noWrap w:val="0"/>
            <w:vAlign w:val="center"/>
          </w:tcPr>
          <w:p w14:paraId="3198138B">
            <w:pPr>
              <w:keepNext w:val="0"/>
              <w:keepLines w:val="0"/>
              <w:widowControl/>
              <w:suppressLineNumbers w:val="0"/>
              <w:jc w:val="right"/>
              <w:textAlignment w:val="center"/>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kern w:val="0"/>
                <w:sz w:val="20"/>
                <w:szCs w:val="20"/>
                <w:u w:val="none"/>
                <w:lang w:val="en-US" w:eastAsia="zh-CN" w:bidi="ar"/>
              </w:rPr>
              <w:t>18</w:t>
            </w:r>
          </w:p>
        </w:tc>
        <w:tc>
          <w:tcPr>
            <w:tcW w:w="1365" w:type="dxa"/>
            <w:noWrap w:val="0"/>
            <w:vAlign w:val="center"/>
          </w:tcPr>
          <w:p w14:paraId="7CD750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其它</w:t>
            </w:r>
          </w:p>
        </w:tc>
        <w:tc>
          <w:tcPr>
            <w:tcW w:w="5560" w:type="dxa"/>
            <w:noWrap w:val="0"/>
            <w:vAlign w:val="center"/>
          </w:tcPr>
          <w:p w14:paraId="4E40DDE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网线、电源线、线槽、线管、施工等</w:t>
            </w:r>
          </w:p>
        </w:tc>
        <w:tc>
          <w:tcPr>
            <w:tcW w:w="780" w:type="dxa"/>
            <w:noWrap w:val="0"/>
            <w:vAlign w:val="center"/>
          </w:tcPr>
          <w:p w14:paraId="1BC70C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920" w:type="dxa"/>
            <w:noWrap w:val="0"/>
            <w:vAlign w:val="center"/>
          </w:tcPr>
          <w:p w14:paraId="370CC2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r>
    </w:tbl>
    <w:p w14:paraId="54412A18">
      <w:pPr>
        <w:numPr>
          <w:ilvl w:val="0"/>
          <w:numId w:val="0"/>
        </w:numPr>
        <w:autoSpaceDE w:val="0"/>
        <w:autoSpaceDN w:val="0"/>
        <w:adjustRightInd w:val="0"/>
        <w:snapToGrid w:val="0"/>
        <w:spacing w:line="360" w:lineRule="auto"/>
        <w:rPr>
          <w:rFonts w:ascii="仿宋" w:hAnsi="仿宋" w:eastAsia="仿宋"/>
          <w:b/>
          <w:bCs/>
          <w:color w:val="auto"/>
          <w:sz w:val="32"/>
          <w:szCs w:val="32"/>
        </w:rPr>
      </w:pPr>
    </w:p>
    <w:p w14:paraId="5511FAE7">
      <w:pPr>
        <w:autoSpaceDE w:val="0"/>
        <w:autoSpaceDN w:val="0"/>
        <w:adjustRightInd w:val="0"/>
        <w:snapToGrid w:val="0"/>
        <w:spacing w:line="360" w:lineRule="auto"/>
        <w:ind w:firstLine="560" w:firstLineChars="200"/>
        <w:rPr>
          <w:rFonts w:hint="eastAsia" w:ascii="仿宋" w:hAnsi="仿宋" w:eastAsia="仿宋" w:cs="Times New Roman"/>
        </w:rPr>
      </w:pPr>
    </w:p>
    <w:p w14:paraId="2C958606">
      <w:bookmarkStart w:id="0" w:name="_GoBack"/>
      <w:bookmarkEnd w:id="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F297657"/>
    <w:multiLevelType w:val="singleLevel"/>
    <w:tmpl w:val="6F297657"/>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96519F4"/>
    <w:rsid w:val="496519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400" w:lineRule="exact"/>
      <w:jc w:val="both"/>
    </w:pPr>
    <w:rPr>
      <w:rFonts w:ascii="Calibri Light" w:hAnsi="Calibri Light" w:eastAsia="华文仿宋" w:cs="Calibri Light"/>
      <w:kern w:val="2"/>
      <w:sz w:val="28"/>
      <w:szCs w:val="28"/>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2024-12-09T03:26:00Z</dcterms:created>
  <dc:creator>我能吃十个蛋挞</dc:creator>
  <cp:lastModifiedBy>我能吃十个蛋挞</cp:lastModifiedBy>
  <dcterms:modified xsi:type="dcterms:W3CDTF">2024-12-09T03:26:59Z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D78D3FD8FC91423FBA8DF16B8B17F530_11</vt:lpwstr>
  </property>
</Properties>
</file>