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采购需求清单</w:t>
      </w:r>
    </w:p>
    <w:p>
      <w:pPr>
        <w:pStyle w:val="4"/>
        <w:keepNext w:val="0"/>
        <w:keepLines w:val="0"/>
        <w:widowControl/>
        <w:suppressLineNumbers w:val="0"/>
        <w:spacing w:before="0" w:beforeAutospacing="0" w:after="0" w:afterAutospacing="0"/>
        <w:ind w:left="0" w:right="0" w:firstLine="0"/>
        <w:rPr>
          <w:color w:val="auto"/>
        </w:rPr>
      </w:pPr>
    </w:p>
    <w:tbl>
      <w:tblPr>
        <w:tblStyle w:val="5"/>
        <w:tblW w:w="9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7"/>
        <w:gridCol w:w="1768"/>
        <w:gridCol w:w="4928"/>
        <w:gridCol w:w="987"/>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4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2"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签字捺印终端</w:t>
            </w:r>
          </w:p>
        </w:tc>
        <w:tc>
          <w:tcPr>
            <w:tcW w:w="4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CPU：高性能四核CPU</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操作系统：不低于Android 7.1</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TF卡扩展（选配）：支持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显示屏：不小于10.1寸 IPS LCD</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人像单目摄像头：支持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指纹仪：公安部，支持；普通，支持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二代证阅读器：公安部，支持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w:t>
            </w:r>
          </w:p>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通讯模式（选配）WIFI、蓝牙；无源电磁笔</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支持；拾音器，支持；麦克风，支持；电源·9V/2.5A；接口USBX3；工作环境-5℃~+45℃；存储温度-20℃~+60℃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4"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签名中心APP、审判及卷宗系统升级改造</w:t>
            </w:r>
          </w:p>
        </w:tc>
        <w:tc>
          <w:tcPr>
            <w:tcW w:w="4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rPr>
            </w:pPr>
            <w:r>
              <w:rPr>
                <w:rFonts w:hint="eastAsia" w:ascii="宋体" w:hAnsi="宋体" w:eastAsia="宋体" w:cs="宋体"/>
                <w:i w:val="0"/>
                <w:iCs w:val="0"/>
                <w:color w:val="000000"/>
                <w:kern w:val="0"/>
                <w:sz w:val="24"/>
                <w:szCs w:val="24"/>
                <w:u w:val="none"/>
                <w:lang w:val="en-US" w:eastAsia="zh-CN" w:bidi="ar"/>
              </w:rPr>
              <w:t>搭建签名中心、通过签名中心的服务端服务支撑签名捺印终端与业务系统的数据传输。提供身份验证和签批审核的无纸化应用产品。实现签名审批核验一体化，协助无纸化办案。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2.需支持调解、开庭、庭审时，从审判系统内可发送电子签名至签字捺印终端。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3.提供终端APP，实现在终端可以查阅待签名文书、并实现签名和捺印的功能。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4.系统内文书生成后，可从诉讼文书列表选项中选择所需文书，发送至终端进行签名捺印。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5.签名捺印需支持原、被告双方当事人，无需重新发送。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6.双方当事人签字捺印后，终端以PDF文件格式回传给审判系统文书列表。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7.支持拍照功能，签名过程中拍摄的当事人照片可以回传至签名文书中的对应位置。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8.文书转卷宗：已签名的文书会根据文书类型自动转入电子卷宗对应目录内。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9.接口及系统集成：审判系统、电子卷宗系统。</w:t>
            </w:r>
          </w:p>
          <w:p>
            <w:pPr>
              <w:pStyle w:val="2"/>
              <w:ind w:left="0" w:leftChars="0" w:firstLine="0" w:firstLineChars="0"/>
              <w:rPr>
                <w:rFonts w:hint="default" w:eastAsia="宋体"/>
                <w:lang w:val="en-US" w:eastAsia="zh-CN"/>
              </w:rPr>
            </w:pPr>
            <w:r>
              <w:rPr>
                <w:rFonts w:hint="eastAsia" w:ascii="宋体" w:hAnsi="宋体" w:eastAsia="宋体" w:cs="宋体"/>
                <w:b/>
                <w:bCs/>
                <w:i w:val="0"/>
                <w:iCs w:val="0"/>
                <w:color w:val="000000"/>
                <w:kern w:val="0"/>
                <w:sz w:val="24"/>
                <w:szCs w:val="24"/>
                <w:u w:val="none"/>
                <w:lang w:val="en-US" w:eastAsia="zh-CN" w:bidi="ar"/>
              </w:rPr>
              <w:t>⭐与法院现有的审判及卷宗系统进行对接，须提供符合接入许可的证明材料。</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6"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移动执行平台系统</w:t>
            </w:r>
          </w:p>
        </w:tc>
        <w:tc>
          <w:tcPr>
            <w:tcW w:w="4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1主页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需提供用户登录页面，通过用户名和密码登录进移动执行终端系统。功能主要包括警示提醒、待办事宜和业务功能导航。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2基础功能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2.1待办事项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要为用户（院长、庭长、承办人等）提供统一的网上业务流转系统，可实现在移动端进行常用工作流审批工作，主要包括文书审批、期限变更、结案报结，其中文书审批以及期限变更可支持直接在移动端发起，另提供我的待办、我的主办、任务监管、任务查询功能等多入口查看工作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2.2网上消息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需支持网上消息发送与接收。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2.3通讯录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需提供法院内部人员通讯信息查询功能。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2.4警示提醒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支持对超期案件、接近期限案件、长期未结案件的警示提醒功能，中院领导角色拥有全市的警示案件查看权限。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3我的案件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在我的案件页面中，需要支持按照未结、已结分类展示法官个人承办案件，并由案件入口实现移动业务处理。案件标签包括案件基本信息、电子卷宗、执行主体、财产清单、执行日志、流程节点。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支持高级查询功能，实现通过案号、当事人名称、立案日期区间、结案日期区间进行执行案件的搜索查询和办理。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3.1基本信息标签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需展示案件的基本信息，包括案件的收立案信息、执行依据、执行标的、结案等信息。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3.2电子卷宗标签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需支持查看该案件下的电子卷正副卷中的卷宗信息，支持在线预览电子卷内容。支持直接打开转化后的PDF文书。需提供文书编辑的功能，用户可将编辑后的文书回传到执行系统。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3.3执行主体标签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需支持浏览该案件下的不同诉讼地位的当事人详细信息、证件信息以及代理人信息。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3.4财产清单标签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需支持查看改案件下涉及的财产信息，包括网络查控、传统查控发现和反馈的财产信息，另提供财产登记入口，法官可登记常用类型的财产信息。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3.5执行日志标签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分为手动日志和自动日志，手机端填写的日志能实时回传至内网执行流程节点管理系统，无需事后同步。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3.6流程节点标签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法官通过移动端待执案件进入个人办理案件时，针对当前案件提供流程节点标签，此标签下可查看该案件办理的流程节点，其中包含节点名称、节点状态、处理人、开始时间、完成时间等信息。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3.7关联案件标签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法官通过移动端待执案件进入个人办理案件时，针对当前案件提供关联案件标签，此标签下法官可根据当前案件对应的当事人来匹配关联案件的情况，并且对于关联案件，可点击查看关联案件的案件信息、电子卷信息等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4个案功能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4.1笔录制作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需支持笔录文书的制作功能，涉及笔录文书模板包括《谈话笔录》、《现场勘验笔录》、《调查笔录》。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4.2财产调查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需支持法官外出执行时可录入调查内容和调查结果，并可在发现财产时录入该调查关联的财产基本信息。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4.3财产登记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需支持法官通过PAD端登记常用财产，涉及的常用财产类型有现金、银行存款、车辆、房产、土地、其他资金、其他存款。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4.4执行线索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执行法官在外出办案时可登记执行线索相关信息，并支持实体文件、照片的采集录入和关联。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4.5传统查控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法官外出执行时登记查封财产相关信息，可关联查封、冻结、扣押、搜查的财产信息并生成格式化文书，通过便携式WIFI打印机可随时随地打印文书。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需提供证据上传功能。通过手机设备对现场证据进行采集（录音、拍照），实现证据传送到内网执行流程节点管理系统中。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5辅助决策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5.1全院案件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需支持根据用户角色权限对领导开通此功能，查看全院执行案件，并可根据一定高级查询条件进行筛选，并查看具体案件的基本信息（包含卷宗、当事人信息）；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5.2收结存统计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本院收结存统计报表，以柱状图、饼状图的方式展示全院当前收结存情况，并且可点击下钻到具体部门查看收结存比例情况。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⭐与法院现有的执行案件流程管理系统进行对接，共享数据，须提供符合接入许可的证明材料。</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平板电脑</w:t>
            </w:r>
          </w:p>
        </w:tc>
        <w:tc>
          <w:tcPr>
            <w:tcW w:w="4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类型：全网通sim卡版</w:t>
            </w:r>
          </w:p>
          <w:p>
            <w:pPr>
              <w:pStyle w:val="2"/>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尺寸：≥8英寸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内存：≥8GB+128GB</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网络：支持5G网络信号（含2G/月流量）</w:t>
            </w:r>
          </w:p>
          <w:p>
            <w:pPr>
              <w:pStyle w:val="2"/>
              <w:ind w:left="0" w:leftChars="0" w:firstLine="240" w:firstLineChars="100"/>
              <w:rPr>
                <w:rFonts w:hint="default"/>
                <w:lang w:val="en-US"/>
              </w:rPr>
            </w:pPr>
            <w:r>
              <w:rPr>
                <w:rFonts w:hint="eastAsia" w:ascii="宋体" w:hAnsi="宋体" w:eastAsia="宋体" w:cs="宋体"/>
                <w:i w:val="0"/>
                <w:iCs w:val="0"/>
                <w:color w:val="000000"/>
                <w:kern w:val="0"/>
                <w:sz w:val="24"/>
                <w:szCs w:val="24"/>
                <w:u w:val="none"/>
                <w:lang w:val="en-US" w:eastAsia="zh-CN" w:bidi="ar"/>
              </w:rPr>
              <w:t>配件：键盘，触控笔，充电器</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50E7D"/>
    <w:multiLevelType w:val="singleLevel"/>
    <w:tmpl w:val="51C50E7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jEwNTk4MTZlMzY0YzY0N2I3Mzg4OWI4ZDkyNDEifQ=="/>
  </w:docVars>
  <w:rsids>
    <w:rsidRoot w:val="3C2224CE"/>
    <w:rsid w:val="3C22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2024-05-06T04:55:00Z</dcterms:created>
  <dc:creator>WPS_1492229536</dc:creator>
  <cp:lastModifiedBy>WPS_1492229536</cp:lastModifiedBy>
  <dcterms:modified xsi:type="dcterms:W3CDTF">2024-05-06T04:56:03Z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1774BC44BCCF45B29BB72D5AF4AA7A61_11</vt:lpwstr>
  </property>
</Properties>
</file>