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841"/>
        <w:gridCol w:w="1841"/>
        <w:gridCol w:w="840"/>
        <w:gridCol w:w="1395"/>
        <w:gridCol w:w="1600"/>
        <w:gridCol w:w="16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8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3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3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数量（单位）</w:t>
            </w:r>
          </w:p>
        </w:tc>
        <w:tc>
          <w:tcPr>
            <w:tcW w:w="2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其他分析仪器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气相色谱-质谱联用仪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1(台)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1,580,000.00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1,580,000.00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OTc2MTNhODA3MTY2YmFjMWIwN2YyZTMzMDM4YTYifQ=="/>
  </w:docVars>
  <w:rsids>
    <w:rsidRoot w:val="3ED0792D"/>
    <w:rsid w:val="3ED0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2024-04-25T03:20:00Z</dcterms:created>
  <dc:creator>适者生存</dc:creator>
  <cp:lastModifiedBy>适者生存</cp:lastModifiedBy>
  <dcterms:modified xsi:type="dcterms:W3CDTF">2024-04-25T03:20:55Z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1B22DAEAFE044AB29947DBFCB895BB1F_11</vt:lpwstr>
  </property>
</Properties>
</file>