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版本号：YYZFCG竞争性磋商（2025）122号20251022001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巴拉素镇小旭吕村村委会阵地维修工程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YYZFCG竞争性磋商（2025）122号</w:t>
      </w:r>
      <w:r>
        <w:br/>
      </w:r>
      <w:r>
        <w:br/>
      </w:r>
      <w:r>
        <w:br/>
      </w:r>
    </w:p>
    <w:p>
      <w:pPr>
        <w:pStyle w:val="null3"/>
        <w:jc w:val="center"/>
        <w:outlineLvl w:val="2"/>
      </w:pPr>
      <w:r>
        <w:rPr>
          <w:rFonts w:ascii="仿宋_GB2312" w:hAnsi="仿宋_GB2312" w:cs="仿宋_GB2312" w:eastAsia="仿宋_GB2312"/>
          <w:sz w:val="28"/>
          <w:b/>
        </w:rPr>
        <w:t>榆阳区巴拉素镇人民政府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榆阳区巴拉素镇人民政府</w:t>
      </w:r>
      <w:r>
        <w:rPr>
          <w:rFonts w:ascii="仿宋_GB2312" w:hAnsi="仿宋_GB2312" w:cs="仿宋_GB2312" w:eastAsia="仿宋_GB2312"/>
        </w:rPr>
        <w:t>委托，拟对</w:t>
      </w:r>
      <w:r>
        <w:rPr>
          <w:rFonts w:ascii="仿宋_GB2312" w:hAnsi="仿宋_GB2312" w:cs="仿宋_GB2312" w:eastAsia="仿宋_GB2312"/>
        </w:rPr>
        <w:t>巴拉素镇小旭吕村村委会阵地维修工程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YYZFCG竞争性磋商（2025）122号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巴拉素镇小旭吕村村委会阵地维修工程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巴拉素镇小旭吕村村委会阵地维修工程。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采购包1（巴拉素镇小旭吕村村委会阵地维修工程）：属于专门面向小微企业采购。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1、有效的主体资格证明：供应商为响应招标并参加投标的合法注册的企业法人、事业法人或其他组织。企业法 人应提供合法有效的标识有统一社会信用代码的营业执照副本；事业法人应提供事业 单位法人证书；其他组织应提供国家规定合法登记证明文件。</w:t>
      </w:r>
    </w:p>
    <w:p>
      <w:pPr>
        <w:pStyle w:val="null3"/>
      </w:pPr>
      <w:r>
        <w:rPr>
          <w:rFonts w:ascii="仿宋_GB2312" w:hAnsi="仿宋_GB2312" w:cs="仿宋_GB2312" w:eastAsia="仿宋_GB2312"/>
        </w:rPr>
        <w:t>2、法定代表人委托授权书：法定代表人参加投标的，提供本人身份证复印件；法定代表人授权他人参加投标的，提供《法定代表人授权委托书》，格式自拟。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其他禁止性要求：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4、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5、资质要求：具备建筑工程专业总承包三级以上资质,具备有效的安全生产许可证；投标人拟派项目负责人具备建筑工程二级注册建造师及以上执业资格，具备有效的安全生产考核合格证书（建安B证），未担任其他在建工程项目的项目经理且无不良记录（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榆阳区巴拉素镇人民政府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榆阳区巴拉素镇巴拉素村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榆阳区巴拉素镇人民政府经办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18791255566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采购包1：499,652.16元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榆阳区巴拉素镇人民政府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榆阳区巴拉素镇人民政府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榆阳区巴拉素镇人民政府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联系人：李老师</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地址：榆阳区政务服务中心三楼325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499,652.16</w:t>
      </w:r>
    </w:p>
    <w:p>
      <w:pPr>
        <w:pStyle w:val="null3"/>
      </w:pPr>
      <w:r>
        <w:rPr>
          <w:rFonts w:ascii="仿宋_GB2312" w:hAnsi="仿宋_GB2312" w:cs="仿宋_GB2312" w:eastAsia="仿宋_GB2312"/>
        </w:rPr>
        <w:t>采购包最高限价（元）: 499,652.16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499,652.16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工程用料须符合要求、国家标准、行业标准。采暖钢管及散热器</w:t>
            </w:r>
            <w:r>
              <w:rPr>
                <w:rFonts w:ascii="仿宋_GB2312" w:hAnsi="仿宋_GB2312" w:cs="仿宋_GB2312" w:eastAsia="仿宋_GB2312"/>
                <w:sz w:val="21"/>
              </w:rPr>
              <w:t>质量需符合国家标准、行业标</w:t>
            </w:r>
            <w:r>
              <w:rPr>
                <w:rFonts w:ascii="仿宋_GB2312" w:hAnsi="仿宋_GB2312" w:cs="仿宋_GB2312" w:eastAsia="仿宋_GB2312"/>
                <w:sz w:val="21"/>
              </w:rPr>
              <w:t>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按照采购需求和合同执行。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按照采购需求和合同执行。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按照采购需求和合同执行。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 人应提供合法有效的标识有统一社会信用代码的营业执照副本；事业法人应提供事业 单位法人证书；其他组织应提供国家规定合法登记证明文件。</w:t>
            </w:r>
          </w:p>
        </w:tc>
        <w:tc>
          <w:tcPr>
            <w:tcW w:type="dxa" w:w="1661"/>
          </w:tcPr>
          <w:p>
            <w:pPr>
              <w:pStyle w:val="null3"/>
            </w:pPr>
            <w:r>
              <w:rPr>
                <w:rFonts w:ascii="仿宋_GB2312" w:hAnsi="仿宋_GB2312" w:cs="仿宋_GB2312" w:eastAsia="仿宋_GB2312"/>
              </w:rPr>
              <w:t>其他资格证明文件.docx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其他资格证明文件.docx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其他禁止性要求</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筑工程专业总承包三级以上资质,具备有效的安全生产许可证；投标人拟派项目负责人具备建筑工程二级注册建造师及以上执业资格，具备有效的安全生产考核合格证书（建安B证），未担任其他在建工程项目的项目经理且无不良记录（提供承诺）。</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其他资格证明文件.docx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 灰尘、控制噪音等方面）可达到环境保护要求的得6分； 措施基本全面、有一定的可行性 , 能基本满足文明施工等环境保护要求的得4分； 措施存在较大不合理性、内容简单、没 有针对性的简单的得2分；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拟派本项目人员</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 工清晰；②岗位职责制度及考核办法；③人员经验丰富。 二、评审标准 1 、方案须全面、 完整，对评审内容中的各项要求有详细描述； 2 、方案能够紧扣本项目实际情况，针对本 项目内容编写。 三、赋分依据 ①人员职责明确、分工清晰：每完全满足一个评审标准得2 .5分，满分5分； ②岗位职责制度及考核办法：每完全满足一个评审标准得2分，满分4分 ; ③人员经验丰富：每完全满足一个评审标准得1分，满分2分。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质量管理的技术措施</w:t>
            </w:r>
          </w:p>
        </w:tc>
        <w:tc>
          <w:tcPr>
            <w:tcW w:type="dxa" w:w="2492"/>
          </w:tcPr>
          <w:p>
            <w:pPr>
              <w:pStyle w:val="null3"/>
            </w:pPr>
            <w:r>
              <w:rPr>
                <w:rFonts w:ascii="仿宋_GB2312" w:hAnsi="仿宋_GB2312" w:cs="仿宋_GB2312" w:eastAsia="仿宋_GB2312"/>
              </w:rPr>
              <w:t>针对质量控制主要节点（不限于防水层施工、结构加固、水电改造等），有详细技术措施 得6分，不完整、不详细得3分，没有针对性不得分.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 其中（1）有明确的安全 管理人员和责任管理制度得2分； （2）有详细的维修的风险安全措施（如老旧瓷砖坠落 、人行安全通道防护等）得2分； （3）有必要的安全设施设备（包括但不限于安全帽、 安全带、护栏等，并设置清晰的安全警示牌）得1分； （4）有完整的针对本维修工程的 安全交底得1分； 以上不完整、不详细，没有针对性不得分。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针对本项目可能出现的问题及重大故障有详细分析，（包括但不限于因施工造成的水、电 、通信的中断抢修及人为因素等情况）分析全面，应急措施和解决方案具有全面的分析， 应急措施和解决方案较强合理性和可行性的得4分； 针对本项目可能出现的问题及重大故 障有基本全面的分析，但没有针对性的得2分； 未提供或明显不符合本项目施工内容的的 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针对实际需求，在保证完成本项目的基础上，对降低工程造价或缩短施工周期提供实质性 承诺，任意提供一条得3分，满分3分，不提供不得分。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提供近五年（2021年1月1日及以后）同类项目业绩，1个业绩计3分，最高计6分。需附 合同复印件，所提供业绩以合同签订时间为准。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供应商对工期时限、工程质量及进度、实施过程中沟通、协调及管理方案等内容作出质量 承诺书： 承诺书内容全面、且从多个角度明确地做出承诺的得4分； 承诺书简单、不全面 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 ( 1）施工方案及施工工艺；（2）确保文明施工、环境保护的组织措施；（3）确保安全生 产的技术组织措施；（4）确保工程质量的技术组织措施；（5）施工进度表或施工网络图 ；（6）工期保障措施（对工期的技术组织措施及施工进度计划措施，需包括施工进度表 或施工网络图做出详细、具体的说明）。 二、评审标准 1 、方案须全面、完整，对评审 内 容中的各项要求有详细描述； 2 、方案能够紧扣本项目实际情况，针对本项目内容编 写； 3 、方案切合本项目实际情况，提出步骤清晰、合理的方案。 三、赋分依据 ①施工 方案及 施工工艺：每完全满足一个评审标准得2分，基本满足一个评审标准得1 .5分，不 满足一个 评审标准得0分，满分6分； ②确保文明施工、环境保护的组织措施：每完全满 足一个评 审标准得2 .5分，基本满足一个评审标准得2分，不满足一个评审标准得0分， 满分7 .5分 ; ③确保安全生产的技术组织措施：每完全满足一个评审标准得 2.5分，基本 满足一个评 审标准得2分，不满足一个评审标准得0分，满分7 .5分； ④确保工程质量的 技术组织措施 ：每完全满足一个评审标准得 2.5分，基本满足一个评审标准得2分，不满 足一个评审标 准得0分，满分7 .5分； ⑤施工进度表或施工网络图：完全满足评审标准得 2 .5分，基本满 足评审标准得1 .5分，不满足评审标准得0分。 ⑥工期保障措施：每完全 满足一个评审标 准得1分，基本满足一个评审标准得0 .5分，不满足一个评审标准得0分，满分3分。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满足磋商文件要求且最后报价的最低报价（落实政府采购政策进行价 格调整的，以调整后 的价格计算）为基准价得20分，其他各供应商的 报价得分按下列公式计算：（评标基准 价/最后磋商报价） ×20% × 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