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版本号：YYZFCG竞争性磋商（2025）124号20251030001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2025年度榆林中心城区防汛隐患点、内涝治理项目监理服务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YYZFCG竞争性磋商（2025）124号</w:t>
      </w:r>
      <w:r>
        <w:br/>
      </w:r>
      <w:r>
        <w:br/>
      </w:r>
      <w:r>
        <w:br/>
      </w:r>
    </w:p>
    <w:p>
      <w:pPr>
        <w:pStyle w:val="null3"/>
        <w:jc w:val="center"/>
        <w:outlineLvl w:val="2"/>
      </w:pPr>
      <w:r>
        <w:rPr>
          <w:rFonts w:ascii="仿宋_GB2312" w:hAnsi="仿宋_GB2312" w:cs="仿宋_GB2312" w:eastAsia="仿宋_GB2312"/>
          <w:sz w:val="28"/>
          <w:b/>
        </w:rPr>
        <w:t>榆林市榆阳区住房和城乡建设局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榆林市榆阳区住房和城乡建设局</w:t>
      </w:r>
      <w:r>
        <w:rPr>
          <w:rFonts w:ascii="仿宋_GB2312" w:hAnsi="仿宋_GB2312" w:cs="仿宋_GB2312" w:eastAsia="仿宋_GB2312"/>
        </w:rPr>
        <w:t>委托，拟对</w:t>
      </w:r>
      <w:r>
        <w:rPr>
          <w:rFonts w:ascii="仿宋_GB2312" w:hAnsi="仿宋_GB2312" w:cs="仿宋_GB2312" w:eastAsia="仿宋_GB2312"/>
        </w:rPr>
        <w:t>2025年度榆林中心城区防汛隐患点、内涝治理项目监理服务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YYZFCG竞争性磋商（2025）124号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2025年度榆林中心城区防汛隐患点、内涝治理项目监理服务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监督好施工单位做好2025年度榆林中心城区防汛隐患点、内涝治理项目拆除原破损道路，重新敷设路面；拆除并重新建设污水管网；新建雨水管网及通讯管线预留等工程。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采购包1（2025年度榆林中心城区防汛隐患点、内涝治理项目监理服务）：属于专门面向小微企业采购。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法定代表人委托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3、 财务状况报告：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7、本项目不接受联合体投标：单位负责人为同一人或者存在直接控股、管理关系的不同供应商不得参加同一合同项下的政府采购活动。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投标人须具备市政公用工程监理乙级或以上资质，并在人员、技术等方面具备相应的能力。拟派往本项目总监理工程师必须为本单位的注册人员且具备市政公用工程注册监理工程师及以上执业资格，一名注册监理工程师可担任一项工程监理合同的总监理工程师，当需同时担任多项建设工程监理合同的总监理工程师时，应经建设单位书面同意，且最多不得超过三项。</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榆阳区政府410</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13026402663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13289723300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榆林市榆阳区住房和城乡建设局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联系电话：13289723300</w:t>
      </w:r>
    </w:p>
    <w:p>
      <w:pPr>
        <w:pStyle w:val="null3"/>
      </w:pPr>
      <w:r>
        <w:rPr>
          <w:rFonts w:ascii="仿宋_GB2312" w:hAnsi="仿宋_GB2312" w:cs="仿宋_GB2312" w:eastAsia="仿宋_GB2312"/>
        </w:rPr>
        <w:t>地址：榆林市榆阳区政务服务中心325室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监理服务:监督好施工单位做好2025年度榆林中心城区防汛隐患点、内涝治理项目拆除原破损道路，重新敷设路面；拆除并重新建设污水管网；新建雨水管网及通讯管线预留等工程。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310000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监理服务:监督好施工单位做好2025年度榆林中心城区防汛隐患点、内涝治理项目拆除原破损道路，重新敷设路面；拆除并重新建设污水管网；新建雨水管网及通讯管线预留等工程。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监督好施工单位做好2025年度榆林中心城区防汛隐患点、内涝治理项目拆除原破损道路，重新敷设路面；拆除并重新建设污水管网；新建雨水管网及通讯管线预留等工程。</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监督好施工单位做好2025年度榆林中心城区防汛隐患点、内涝治理项目拆除原破损道路，重新敷设路面；拆除并重新建设污水管网；新建雨水管网及通讯管线预留等工程。</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监督好施工单位做好2025年度榆林中心城区防汛隐患点、内涝治理项目拆除原破损道路，重新敷设路面；拆除并重新建设污水管网；新建雨水管网及通讯管线预留等工程。</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施工现场及住建局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符合国家规范，满足相关需求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合同约定及仲裁结果</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监督好施工单位做好2025年度榆林中心城区防汛隐患点、内涝治理项目拆除原破损道路，重新敷设路面；拆除并重新建设污水管网；新建雨水管网及通讯管线预留等工程。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财务状况报告</w:t>
            </w:r>
          </w:p>
        </w:tc>
        <w:tc>
          <w:tcPr>
            <w:tcW w:type="dxa" w:w="3322"/>
          </w:tcPr>
          <w:p>
            <w:pPr>
              <w:pStyle w:val="null3"/>
            </w:pPr>
            <w:r>
              <w:rPr>
                <w:rFonts w:ascii="仿宋_GB2312" w:hAnsi="仿宋_GB2312" w:cs="仿宋_GB2312" w:eastAsia="仿宋_GB2312"/>
              </w:rPr>
              <w:t>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备市政公用工程监理乙级或以上资质，并在人员、技术等方面具备相应的能力。拟派往本项目总监理工程师必须为本单位的注册人员且具备市政公用工程注册监理工程师及以上执业资格，一名注册监理工程师可担任一项工程监理合同的总监理工程师，当需同时担任多项建设工程监理合同的总监理工程师时，应经建设单位书面同意，且最多不得超过三项。</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w:t>
            </w:r>
          </w:p>
        </w:tc>
        <w:tc>
          <w:tcPr>
            <w:tcW w:type="dxa" w:w="3322"/>
          </w:tcPr>
          <w:p>
            <w:pPr>
              <w:pStyle w:val="null3"/>
            </w:pPr>
            <w:r>
              <w:rPr>
                <w:rFonts w:ascii="仿宋_GB2312" w:hAnsi="仿宋_GB2312" w:cs="仿宋_GB2312" w:eastAsia="仿宋_GB2312"/>
              </w:rPr>
              <w:t>投标文件语言符合招标文件要求。</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投标文件应包含以下内容： （1）资格证明文件； （2）符合性证明文件； （3）投标方案。</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完全理解并接受对合格投标人、合格的服务要求，实质性要求没有负偏离。</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服务标准方案</w:t>
            </w:r>
          </w:p>
        </w:tc>
        <w:tc>
          <w:tcPr>
            <w:tcW w:type="dxa" w:w="2492"/>
          </w:tcPr>
          <w:p>
            <w:pPr>
              <w:pStyle w:val="null3"/>
            </w:pPr>
            <w:r>
              <w:rPr>
                <w:rFonts w:ascii="仿宋_GB2312" w:hAnsi="仿宋_GB2312" w:cs="仿宋_GB2312" w:eastAsia="仿宋_GB2312"/>
              </w:rPr>
              <w:t xml:space="preserve"> 监理工程概况（5分）；项目监理机构人员配备及人员岗位职责（10分）； 监理目标（5分）； 质量控制（5分） 进度控制（5分）；费用控制（5分）；组织协调内容（5分）；合同、信息管理（10分）；监理制度（5分）；服务承诺（5分）。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如实提供近期审计报告（3分） 如实提供近期税务机关出具的完税证明（3分）提供开户银行资信证明（5分）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信誉业绩</w:t>
            </w:r>
          </w:p>
        </w:tc>
        <w:tc>
          <w:tcPr>
            <w:tcW w:type="dxa" w:w="2492"/>
          </w:tcPr>
          <w:p>
            <w:pPr>
              <w:pStyle w:val="null3"/>
            </w:pPr>
            <w:r>
              <w:rPr>
                <w:rFonts w:ascii="仿宋_GB2312" w:hAnsi="仿宋_GB2312" w:cs="仿宋_GB2312" w:eastAsia="仿宋_GB2312"/>
              </w:rPr>
              <w:t xml:space="preserve"> 提供同类项目的业绩证明≥三份（5分） 提供同类项目的业绩证明≥二份（2分） 提供同类项目的业绩证明≥一份（1分） 无类似项目业绩单项合同不得分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履约服务</w:t>
            </w:r>
          </w:p>
        </w:tc>
        <w:tc>
          <w:tcPr>
            <w:tcW w:type="dxa" w:w="2492"/>
          </w:tcPr>
          <w:p>
            <w:pPr>
              <w:pStyle w:val="null3"/>
            </w:pPr>
            <w:r>
              <w:rPr>
                <w:rFonts w:ascii="仿宋_GB2312" w:hAnsi="仿宋_GB2312" w:cs="仿宋_GB2312" w:eastAsia="仿宋_GB2312"/>
              </w:rPr>
              <w:t xml:space="preserve"> 提供履约服务标准公约，在项目实施、培训、补救措施等方面，具有明确的承诺。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商务响应，逐条响应</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