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版本号：YYZFCG竞争性谈判（2025）28号20251105001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榆阳数字农业产业服务平台研发测试和服务中心修缮项目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YYZFCG竞争性谈判（2025）28号</w:t>
      </w:r>
      <w:r>
        <w:br/>
      </w:r>
      <w:r>
        <w:br/>
      </w:r>
      <w:r>
        <w:br/>
      </w:r>
    </w:p>
    <w:p>
      <w:pPr>
        <w:pStyle w:val="null3"/>
        <w:jc w:val="center"/>
        <w:outlineLvl w:val="2"/>
      </w:pPr>
      <w:r>
        <w:rPr>
          <w:rFonts w:ascii="仿宋_GB2312" w:hAnsi="仿宋_GB2312" w:cs="仿宋_GB2312" w:eastAsia="仿宋_GB2312"/>
          <w:sz w:val="28"/>
          <w:b/>
        </w:rPr>
        <w:t>榆林市榆阳区现代农业产业园区管理委员会</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榆林市榆阳区现代农业产业园区管理委员会</w:t>
      </w:r>
      <w:r>
        <w:rPr>
          <w:rFonts w:ascii="仿宋_GB2312" w:hAnsi="仿宋_GB2312" w:cs="仿宋_GB2312" w:eastAsia="仿宋_GB2312"/>
        </w:rPr>
        <w:t>委托，拟对</w:t>
      </w:r>
      <w:r>
        <w:rPr>
          <w:rFonts w:ascii="仿宋_GB2312" w:hAnsi="仿宋_GB2312" w:cs="仿宋_GB2312" w:eastAsia="仿宋_GB2312"/>
        </w:rPr>
        <w:t>榆阳数字农业产业服务平台研发测试和服务中心修缮项目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YYZFCG竞争性谈判（2025）28号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榆阳数字农业产业服务平台研发测试和服务中心修缮项目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农业产业园区数字农业服务平台研发和服务中心建设项目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采购包1（榆阳数字农业产业服务平台研发测试和服务中心修缮项目）：属于专门面向小微企业采购。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1、落实政府采购政策需满足的资格雯求:：本项目属于专门面向小微企业采购</w:t>
      </w:r>
    </w:p>
    <w:p>
      <w:pPr>
        <w:pStyle w:val="null3"/>
      </w:pPr>
      <w:r>
        <w:rPr>
          <w:rFonts w:ascii="仿宋_GB2312" w:hAnsi="仿宋_GB2312" w:cs="仿宋_GB2312" w:eastAsia="仿宋_GB2312"/>
        </w:rPr>
        <w:t>2、投标人拟派项目负责人具备【建筑工程二级注册建造师】及以上执业资格及安全生产考核合格证书，且未担任其他在建工程项目的项目负责人：本次资格要求投标人具备【建筑工程施工总承包三级】及以上资质，及安全生产许可证；并在人员、设备、资金等方面具备相应的能力。</w:t>
      </w:r>
    </w:p>
    <w:p>
      <w:pPr>
        <w:pStyle w:val="null3"/>
      </w:pPr>
      <w:r>
        <w:rPr>
          <w:rFonts w:ascii="仿宋_GB2312" w:hAnsi="仿宋_GB2312" w:cs="仿宋_GB2312" w:eastAsia="仿宋_GB2312"/>
        </w:rPr>
        <w:t>3、信用：供应商应具备良好的商业信营，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5、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榆林市榆阳区现代农业产业园区管理委员会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牛家梁镇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李荣荣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15229523322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采购包1：240,890.00元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榆林市榆阳区现代农业产业园区管理委员会</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榆林市榆阳区现代农业产业园区管理委员会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榆林市榆阳区现代农业产业园区管理委员会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标的名称：榆阳数字农业产业服务平台研发测试和服务中心修缮项目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76"/>
              <w:gridCol w:w="446"/>
              <w:gridCol w:w="978"/>
              <w:gridCol w:w="426"/>
              <w:gridCol w:w="426"/>
            </w:tblGrid>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44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9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42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42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地面保护</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铺地石膏板、地面保护膜</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拆除</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砖混墙体</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垃圾清运</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车</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电路改造</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4平方BV线、线管</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电缆</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设备配备三相电（4*25+1*16）</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排风改造</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机房线路整理</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机柜整理</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静电地板</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隔墙</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轻钢龙骨+石膏板</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66</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刮白</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一边石膏找平，两边腻子，一遍乳胶漆</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192</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钢化玻璃隔断</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钢化玻璃</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44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门</w:t>
                  </w:r>
                </w:p>
              </w:tc>
              <w:tc>
                <w:tcPr>
                  <w:tcW w:type="dxa" w:w="97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钢化玻璃门</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吊顶</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石膏板造型</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194</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平米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开关面板</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插座面板</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44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灯</w:t>
                  </w:r>
                </w:p>
              </w:tc>
              <w:tc>
                <w:tcPr>
                  <w:tcW w:type="dxa" w:w="97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吊装LED灯</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44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地脚线</w:t>
                  </w:r>
                </w:p>
              </w:tc>
              <w:tc>
                <w:tcPr>
                  <w:tcW w:type="dxa" w:w="978"/>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123</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地面修补</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r>
            <w:tr>
              <w:tc>
                <w:tcPr>
                  <w:tcW w:type="dxa" w:w="2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卫生保洁</w:t>
                  </w:r>
                </w:p>
              </w:tc>
              <w:tc>
                <w:tcPr>
                  <w:tcW w:type="dxa" w:w="9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42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48"/>
              <w:gridCol w:w="380"/>
              <w:gridCol w:w="1242"/>
              <w:gridCol w:w="290"/>
              <w:gridCol w:w="385"/>
            </w:tblGrid>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类别</w:t>
                  </w: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事项</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1 </w:t>
                  </w:r>
                </w:p>
              </w:tc>
              <w:tc>
                <w:tcPr>
                  <w:tcW w:type="dxa" w:w="3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拆除</w:t>
                  </w: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拆除路面</w:t>
                  </w:r>
                  <w:r>
                    <w:br/>
                  </w:r>
                  <w:r>
                    <w:rPr>
                      <w:rFonts w:ascii="仿宋_GB2312" w:hAnsi="仿宋_GB2312" w:cs="仿宋_GB2312" w:eastAsia="仿宋_GB2312"/>
                      <w:sz w:val="28"/>
                      <w:color w:val="000000"/>
                    </w:rPr>
                    <w:t xml:space="preserve"> 1.材质:混凝土</w:t>
                  </w:r>
                  <w:r>
                    <w:br/>
                  </w:r>
                  <w:r>
                    <w:rPr>
                      <w:rFonts w:ascii="仿宋_GB2312" w:hAnsi="仿宋_GB2312" w:cs="仿宋_GB2312" w:eastAsia="仿宋_GB2312"/>
                      <w:sz w:val="28"/>
                      <w:color w:val="000000"/>
                    </w:rPr>
                    <w:t xml:space="preserve"> 2.厚度:150mm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2 </w:t>
                  </w:r>
                </w:p>
              </w:tc>
              <w:tc>
                <w:tcPr>
                  <w:tcW w:type="dxa" w:w="380"/>
                  <w:vMerge/>
                  <w:tcBorders>
                    <w:top w:val="single" w:color="000000" w:sz="4"/>
                    <w:left w:val="single" w:color="000000" w:sz="4"/>
                    <w:bottom w:val="single" w:color="000000" w:sz="4"/>
                    <w:right w:val="single" w:color="000000" w:sz="4"/>
                  </w:tcBorders>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拆除基层</w:t>
                  </w:r>
                  <w:r>
                    <w:br/>
                  </w:r>
                  <w:r>
                    <w:rPr>
                      <w:rFonts w:ascii="仿宋_GB2312" w:hAnsi="仿宋_GB2312" w:cs="仿宋_GB2312" w:eastAsia="仿宋_GB2312"/>
                      <w:sz w:val="28"/>
                      <w:color w:val="000000"/>
                    </w:rPr>
                    <w:t xml:space="preserve"> 1.材质:灰土</w:t>
                  </w:r>
                  <w:r>
                    <w:br/>
                  </w:r>
                  <w:r>
                    <w:rPr>
                      <w:rFonts w:ascii="仿宋_GB2312" w:hAnsi="仿宋_GB2312" w:cs="仿宋_GB2312" w:eastAsia="仿宋_GB2312"/>
                      <w:sz w:val="28"/>
                      <w:color w:val="000000"/>
                    </w:rPr>
                    <w:t xml:space="preserve"> 2.厚度:200mm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3 </w:t>
                  </w:r>
                </w:p>
              </w:tc>
              <w:tc>
                <w:tcPr>
                  <w:tcW w:type="dxa" w:w="380"/>
                  <w:vMerge/>
                  <w:tcBorders>
                    <w:top w:val="single" w:color="000000" w:sz="4"/>
                    <w:left w:val="single" w:color="000000" w:sz="4"/>
                    <w:bottom w:val="single" w:color="000000" w:sz="4"/>
                    <w:right w:val="single" w:color="000000" w:sz="4"/>
                  </w:tcBorders>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余方弃置</w:t>
                  </w:r>
                  <w:r>
                    <w:br/>
                  </w:r>
                  <w:r>
                    <w:rPr>
                      <w:rFonts w:ascii="仿宋_GB2312" w:hAnsi="仿宋_GB2312" w:cs="仿宋_GB2312" w:eastAsia="仿宋_GB2312"/>
                      <w:sz w:val="28"/>
                      <w:color w:val="000000"/>
                    </w:rPr>
                    <w:t xml:space="preserve"> 1.废弃料品种:拆除建筑垃圾</w:t>
                  </w:r>
                  <w:r>
                    <w:br/>
                  </w:r>
                  <w:r>
                    <w:rPr>
                      <w:rFonts w:ascii="仿宋_GB2312" w:hAnsi="仿宋_GB2312" w:cs="仿宋_GB2312" w:eastAsia="仿宋_GB2312"/>
                      <w:sz w:val="28"/>
                      <w:color w:val="000000"/>
                    </w:rPr>
                    <w:t xml:space="preserve"> 2.运距:15km</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车</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5 </w:t>
                  </w:r>
                </w:p>
              </w:tc>
              <w:tc>
                <w:tcPr>
                  <w:tcW w:type="dxa" w:w="38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混凝土道牙</w:t>
                  </w:r>
                  <w:r>
                    <w:br/>
                  </w:r>
                  <w:r>
                    <w:rPr>
                      <w:rFonts w:ascii="仿宋_GB2312" w:hAnsi="仿宋_GB2312" w:cs="仿宋_GB2312" w:eastAsia="仿宋_GB2312"/>
                      <w:sz w:val="28"/>
                      <w:color w:val="000000"/>
                    </w:rPr>
                    <w:t xml:space="preserve"> 1.预制C30混凝土道牙100x600x300</w:t>
                  </w:r>
                  <w:r>
                    <w:br/>
                  </w:r>
                  <w:r>
                    <w:rPr>
                      <w:rFonts w:ascii="仿宋_GB2312" w:hAnsi="仿宋_GB2312" w:cs="仿宋_GB2312" w:eastAsia="仿宋_GB2312"/>
                      <w:sz w:val="28"/>
                      <w:color w:val="000000"/>
                    </w:rPr>
                    <w:t xml:space="preserve"> 2.30厚1:3水泥砂浆</w:t>
                  </w:r>
                  <w:r>
                    <w:br/>
                  </w:r>
                  <w:r>
                    <w:rPr>
                      <w:rFonts w:ascii="仿宋_GB2312" w:hAnsi="仿宋_GB2312" w:cs="仿宋_GB2312" w:eastAsia="仿宋_GB2312"/>
                      <w:sz w:val="28"/>
                      <w:color w:val="000000"/>
                    </w:rPr>
                    <w:t xml:space="preserve"> 3.150厚灰土夯实</w:t>
                  </w:r>
                  <w:r>
                    <w:br/>
                  </w:r>
                  <w:r>
                    <w:rPr>
                      <w:rFonts w:ascii="仿宋_GB2312" w:hAnsi="仿宋_GB2312" w:cs="仿宋_GB2312" w:eastAsia="仿宋_GB2312"/>
                      <w:sz w:val="28"/>
                      <w:color w:val="000000"/>
                    </w:rPr>
                    <w:t xml:space="preserve"> 4.素土夯实</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m</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65</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6 </w:t>
                  </w:r>
                </w:p>
              </w:tc>
              <w:tc>
                <w:tcPr>
                  <w:tcW w:type="dxa" w:w="380"/>
                  <w:vMerge/>
                  <w:tcBorders>
                    <w:top w:val="none" w:color="000000" w:sz="4"/>
                    <w:left w:val="single" w:color="000000" w:sz="4"/>
                    <w:bottom w:val="single" w:color="000000" w:sz="4"/>
                    <w:right w:val="single" w:color="000000" w:sz="4"/>
                  </w:tcBorders>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工字混凝土预置砖铺面</w:t>
                  </w:r>
                  <w:r>
                    <w:br/>
                  </w:r>
                  <w:r>
                    <w:rPr>
                      <w:rFonts w:ascii="仿宋_GB2312" w:hAnsi="仿宋_GB2312" w:cs="仿宋_GB2312" w:eastAsia="仿宋_GB2312"/>
                      <w:sz w:val="28"/>
                      <w:color w:val="000000"/>
                    </w:rPr>
                    <w:t xml:space="preserve"> 1.200*160混凝土预置砖撒素水泥面(撒适量清水)</w:t>
                  </w:r>
                  <w:r>
                    <w:br/>
                  </w:r>
                  <w:r>
                    <w:rPr>
                      <w:rFonts w:ascii="仿宋_GB2312" w:hAnsi="仿宋_GB2312" w:cs="仿宋_GB2312" w:eastAsia="仿宋_GB2312"/>
                      <w:sz w:val="28"/>
                      <w:color w:val="000000"/>
                    </w:rPr>
                    <w:t xml:space="preserve"> 3.30厚1:3干硬性水泥砂浆粘接层</w:t>
                  </w:r>
                  <w:r>
                    <w:br/>
                  </w:r>
                  <w:r>
                    <w:rPr>
                      <w:rFonts w:ascii="仿宋_GB2312" w:hAnsi="仿宋_GB2312" w:cs="仿宋_GB2312" w:eastAsia="仿宋_GB2312"/>
                      <w:sz w:val="28"/>
                      <w:color w:val="000000"/>
                    </w:rPr>
                    <w:t xml:space="preserve"> 4.素水泥浆一道(内参建筑胶)</w:t>
                  </w:r>
                  <w:r>
                    <w:br/>
                  </w:r>
                  <w:r>
                    <w:rPr>
                      <w:rFonts w:ascii="仿宋_GB2312" w:hAnsi="仿宋_GB2312" w:cs="仿宋_GB2312" w:eastAsia="仿宋_GB2312"/>
                      <w:sz w:val="28"/>
                      <w:color w:val="000000"/>
                    </w:rPr>
                    <w:t xml:space="preserve"> 5.150厚C15混凝土(厚度不包括踏步</w:t>
                  </w:r>
                  <w:r>
                    <w:br/>
                  </w:r>
                  <w:r>
                    <w:rPr>
                      <w:rFonts w:ascii="仿宋_GB2312" w:hAnsi="仿宋_GB2312" w:cs="仿宋_GB2312" w:eastAsia="仿宋_GB2312"/>
                      <w:sz w:val="28"/>
                      <w:color w:val="000000"/>
                    </w:rPr>
                    <w:t xml:space="preserve"> 三角部分)台阶面外坡1%</w:t>
                  </w:r>
                  <w:r>
                    <w:br/>
                  </w:r>
                  <w:r>
                    <w:rPr>
                      <w:rFonts w:ascii="仿宋_GB2312" w:hAnsi="仿宋_GB2312" w:cs="仿宋_GB2312" w:eastAsia="仿宋_GB2312"/>
                      <w:sz w:val="28"/>
                      <w:color w:val="000000"/>
                    </w:rPr>
                    <w:t xml:space="preserve"> 6.素土夯实</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7 </w:t>
                  </w:r>
                </w:p>
              </w:tc>
              <w:tc>
                <w:tcPr>
                  <w:tcW w:type="dxa" w:w="380"/>
                  <w:vMerge/>
                  <w:tcBorders>
                    <w:top w:val="none" w:color="000000" w:sz="4"/>
                    <w:left w:val="single" w:color="000000" w:sz="4"/>
                    <w:bottom w:val="single" w:color="000000" w:sz="4"/>
                    <w:right w:val="single" w:color="000000" w:sz="4"/>
                  </w:tcBorders>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台阶 1.3600*1500cm*300mm红砖造型                   2.石材包面</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5.4</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8 </w:t>
                  </w:r>
                </w:p>
              </w:tc>
              <w:tc>
                <w:tcPr>
                  <w:tcW w:type="dxa" w:w="380"/>
                  <w:vMerge/>
                  <w:tcBorders>
                    <w:top w:val="none" w:color="000000" w:sz="4"/>
                    <w:left w:val="single" w:color="000000" w:sz="4"/>
                    <w:bottom w:val="single" w:color="000000" w:sz="4"/>
                    <w:right w:val="single" w:color="000000" w:sz="4"/>
                  </w:tcBorders>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U型挡车器</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9 </w:t>
                  </w:r>
                </w:p>
              </w:tc>
              <w:tc>
                <w:tcPr>
                  <w:tcW w:type="dxa" w:w="380"/>
                  <w:vMerge/>
                  <w:tcBorders>
                    <w:top w:val="none" w:color="000000" w:sz="4"/>
                    <w:left w:val="single" w:color="000000" w:sz="4"/>
                    <w:bottom w:val="single" w:color="000000" w:sz="4"/>
                    <w:right w:val="single" w:color="000000" w:sz="4"/>
                  </w:tcBorders>
                </w:tcPr>
                <w:p/>
              </w:tc>
              <w:tc>
                <w:tcPr>
                  <w:tcW w:type="dxa" w:w="1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移栽松柏</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棵</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农业产业园区数字农业服务平台研发和服务中心建设项目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农业产业园区数字农业服务平台研发和服务中心建设项目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农业产业园区数字农业服务平台研发和服务中心建设项目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落实政府采购政策需满足的资格雯求:</w:t>
            </w:r>
          </w:p>
        </w:tc>
        <w:tc>
          <w:tcPr>
            <w:tcW w:type="dxa" w:w="3322"/>
          </w:tcPr>
          <w:p>
            <w:pPr>
              <w:pStyle w:val="null3"/>
            </w:pPr>
            <w:r>
              <w:rPr>
                <w:rFonts w:ascii="仿宋_GB2312" w:hAnsi="仿宋_GB2312" w:cs="仿宋_GB2312" w:eastAsia="仿宋_GB2312"/>
              </w:rPr>
              <w:t>本项目属于专门面向小微企业采购</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投标人拟派项目负责人具备【建筑工程二级注册建造师】及以上执业资格及安全生产考核合格证书，且未担任其他在建工程项目的项目负责人</w:t>
            </w:r>
          </w:p>
        </w:tc>
        <w:tc>
          <w:tcPr>
            <w:tcW w:type="dxa" w:w="3322"/>
          </w:tcPr>
          <w:p>
            <w:pPr>
              <w:pStyle w:val="null3"/>
            </w:pPr>
            <w:r>
              <w:rPr>
                <w:rFonts w:ascii="仿宋_GB2312" w:hAnsi="仿宋_GB2312" w:cs="仿宋_GB2312" w:eastAsia="仿宋_GB2312"/>
              </w:rPr>
              <w:t>本次资格要求投标人具备【建筑工程施工总承包三级】及以上资质，及安全生产许可证；并在人员、设备、资金等方面具备相应的能力。</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营，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详见附件：文字文稿(4).docx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