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版本号：YYZFCG竞争性谈判（2025）32号20251119001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金鸡滩3吨清扫车采购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YYZFCG竞争性谈判（2025）32号</w:t>
      </w:r>
      <w:r>
        <w:br/>
      </w:r>
      <w:r>
        <w:br/>
      </w:r>
      <w:r>
        <w:br/>
      </w:r>
    </w:p>
    <w:p>
      <w:pPr>
        <w:pStyle w:val="null3"/>
        <w:jc w:val="center"/>
        <w:outlineLvl w:val="2"/>
      </w:pPr>
      <w:r>
        <w:rPr>
          <w:rFonts w:ascii="仿宋_GB2312" w:hAnsi="仿宋_GB2312" w:cs="仿宋_GB2312" w:eastAsia="仿宋_GB2312"/>
          <w:sz w:val="28"/>
          <w:b/>
        </w:rPr>
        <w:t>榆阳区金鸡滩镇人民政府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榆阳区金鸡滩镇人民政府</w:t>
      </w:r>
      <w:r>
        <w:rPr>
          <w:rFonts w:ascii="仿宋_GB2312" w:hAnsi="仿宋_GB2312" w:cs="仿宋_GB2312" w:eastAsia="仿宋_GB2312"/>
        </w:rPr>
        <w:t>委托，拟对</w:t>
      </w:r>
      <w:r>
        <w:rPr>
          <w:rFonts w:ascii="仿宋_GB2312" w:hAnsi="仿宋_GB2312" w:cs="仿宋_GB2312" w:eastAsia="仿宋_GB2312"/>
        </w:rPr>
        <w:t>金鸡滩3吨清扫车采购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YYZFCG竞争性谈判（2025）32号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金鸡滩3吨清扫车采购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为提升人居环境，金鸡滩镇拟采购3吨清扫车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法定代表人委托授权书：供应商应授权合法的人员参加投标全过程，其中法定代表人/负责人直接投标，须提交法定代表人/负责人身份证明书和身份证、注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社会保障资金缴纳证明：社会保障资金缴纳证明:供应商提供上一年度至开标前已缴存的至少三个月的社会保障资金缴存单据或社保机构开具的社会保险参促缴费情况证明。依法不需要缴纳社会保障资金的供应商应提供相关文件证明。</w:t>
      </w:r>
    </w:p>
    <w:p>
      <w:pPr>
        <w:pStyle w:val="null3"/>
      </w:pPr>
      <w:r>
        <w:rPr>
          <w:rFonts w:ascii="仿宋_GB2312" w:hAnsi="仿宋_GB2312" w:cs="仿宋_GB2312" w:eastAsia="仿宋_GB2312"/>
        </w:rPr>
        <w:t>4、税收缴纳证明：税收缴纳证明:供应商提供上一年度至开标前已缴纳的至少三个月的纳税证明或完税证明，纳税证明或完税证明上应有代收机构或程 务机关的公章。依法免税的供应商应提供相关文件证明。</w:t>
      </w:r>
    </w:p>
    <w:p>
      <w:pPr>
        <w:pStyle w:val="null3"/>
      </w:pPr>
      <w:r>
        <w:rPr>
          <w:rFonts w:ascii="仿宋_GB2312" w:hAnsi="仿宋_GB2312" w:cs="仿宋_GB2312" w:eastAsia="仿宋_GB2312"/>
        </w:rPr>
        <w:t>5、商业信誉：供应商应具备良好的商业信誉，提供参加政府采购活动前3年内在经营活动中没有重大违法记录的书面声明;流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6、财务状况报告：供应商提供近一年经审计的财务报告(至少包括审计报告、资产负债表和利润表;成立时间至提交投标文终看止时间不足一年的可提供成立后任意时段的资产负债表，或其开标前三个月内基本存款账户开户银行出具的资信证明，或财政部门认可的理府采购专业担保机构出具的投标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榆阳区金鸡滩镇人民政府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金鸡滩镇金鸡滩村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榆阳区金鸡滩镇人民政府经办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18729082692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榆林市榆阳区政务服务中心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榆阳区金鸡滩镇人民政府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榆阳区金鸡滩镇人民政府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榆阳区金鸡滩镇人民政府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检验品牌、型号、规格是否与合同一致，技术性能指标是否达标。</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为提升人居环境，金鸡滩镇拟采购3吨清扫车。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388,500.00</w:t>
      </w:r>
    </w:p>
    <w:p>
      <w:pPr>
        <w:pStyle w:val="null3"/>
      </w:pPr>
      <w:r>
        <w:rPr>
          <w:rFonts w:ascii="仿宋_GB2312" w:hAnsi="仿宋_GB2312" w:cs="仿宋_GB2312" w:eastAsia="仿宋_GB2312"/>
        </w:rPr>
        <w:t>采购包最高限价（元）: 388,500.00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金鸡滩3吨清扫车采购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388,500.00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标的名称：金鸡滩3吨清扫车采购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底盘发动机排放标准：国六</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sz w:val="24"/>
              </w:rPr>
              <w:t>最高车速</w:t>
            </w:r>
            <w:r>
              <w:rPr>
                <w:rFonts w:ascii="仿宋_GB2312" w:hAnsi="仿宋_GB2312" w:cs="仿宋_GB2312" w:eastAsia="仿宋_GB2312"/>
                <w:sz w:val="24"/>
              </w:rPr>
              <w:t>(km/h)</w:t>
            </w:r>
            <w:r>
              <w:rPr>
                <w:rFonts w:ascii="仿宋_GB2312" w:hAnsi="仿宋_GB2312" w:cs="仿宋_GB2312" w:eastAsia="仿宋_GB2312"/>
                <w:sz w:val="24"/>
              </w:rPr>
              <w:t>≥</w:t>
            </w:r>
            <w:r>
              <w:rPr>
                <w:rFonts w:ascii="仿宋_GB2312" w:hAnsi="仿宋_GB2312" w:cs="仿宋_GB2312" w:eastAsia="仿宋_GB2312"/>
                <w:sz w:val="24"/>
              </w:rPr>
              <w:t>95</w:t>
            </w:r>
          </w:p>
          <w:p>
            <w:pPr>
              <w:pStyle w:val="null3"/>
              <w:numPr>
                <w:ilvl w:val="0"/>
                <w:numId w:val="1"/>
              </w:numPr>
            </w:pP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7000-8000</w:t>
            </w:r>
          </w:p>
          <w:p>
            <w:pPr>
              <w:pStyle w:val="null3"/>
              <w:numPr>
                <w:ilvl w:val="0"/>
                <w:numId w:val="1"/>
              </w:numPr>
            </w:pPr>
            <w:r>
              <w:rPr>
                <w:rFonts w:ascii="仿宋_GB2312" w:hAnsi="仿宋_GB2312" w:cs="仿宋_GB2312" w:eastAsia="仿宋_GB2312"/>
                <w:sz w:val="24"/>
              </w:rPr>
              <w:t>外型尺寸：长</w:t>
            </w:r>
            <w:r>
              <w:rPr>
                <w:rFonts w:ascii="仿宋_GB2312" w:hAnsi="仿宋_GB2312" w:cs="仿宋_GB2312" w:eastAsia="仿宋_GB2312"/>
                <w:sz w:val="24"/>
              </w:rPr>
              <w:t>×宽×高(mm)：</w:t>
            </w:r>
            <w:r>
              <w:rPr>
                <w:rFonts w:ascii="仿宋_GB2312" w:hAnsi="仿宋_GB2312" w:cs="仿宋_GB2312" w:eastAsia="仿宋_GB2312"/>
                <w:sz w:val="24"/>
              </w:rPr>
              <w:t>6500</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×2050</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±100</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额定载质量</w:t>
            </w:r>
            <w:r>
              <w:rPr>
                <w:rFonts w:ascii="仿宋_GB2312" w:hAnsi="仿宋_GB2312" w:cs="仿宋_GB2312" w:eastAsia="仿宋_GB2312"/>
                <w:sz w:val="24"/>
              </w:rPr>
              <w:t>(</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1200</w:t>
            </w:r>
          </w:p>
          <w:p>
            <w:pPr>
              <w:pStyle w:val="null3"/>
              <w:numPr>
                <w:ilvl w:val="0"/>
                <w:numId w:val="1"/>
              </w:numPr>
            </w:pPr>
            <w:r>
              <w:rPr>
                <w:rFonts w:ascii="仿宋_GB2312" w:hAnsi="仿宋_GB2312" w:cs="仿宋_GB2312" w:eastAsia="仿宋_GB2312"/>
                <w:sz w:val="24"/>
              </w:rPr>
              <w:t>轴距</w:t>
            </w:r>
            <w:r>
              <w:rPr>
                <w:rFonts w:ascii="仿宋_GB2312" w:hAnsi="仿宋_GB2312" w:cs="仿宋_GB2312" w:eastAsia="仿宋_GB2312"/>
                <w:sz w:val="24"/>
              </w:rPr>
              <w:t>(mm)≤</w:t>
            </w:r>
            <w:r>
              <w:rPr>
                <w:rFonts w:ascii="仿宋_GB2312" w:hAnsi="仿宋_GB2312" w:cs="仿宋_GB2312" w:eastAsia="仿宋_GB2312"/>
                <w:sz w:val="24"/>
              </w:rPr>
              <w:t>39</w:t>
            </w:r>
            <w:r>
              <w:rPr>
                <w:rFonts w:ascii="仿宋_GB2312" w:hAnsi="仿宋_GB2312" w:cs="仿宋_GB2312" w:eastAsia="仿宋_GB2312"/>
                <w:sz w:val="24"/>
              </w:rPr>
              <w:t>00</w:t>
            </w:r>
          </w:p>
          <w:p>
            <w:pPr>
              <w:pStyle w:val="null3"/>
              <w:numPr>
                <w:ilvl w:val="0"/>
                <w:numId w:val="1"/>
              </w:numPr>
            </w:pPr>
            <w:r>
              <w:rPr>
                <w:rFonts w:ascii="仿宋_GB2312" w:hAnsi="仿宋_GB2312" w:cs="仿宋_GB2312" w:eastAsia="仿宋_GB2312"/>
                <w:sz w:val="24"/>
              </w:rPr>
              <w:t>接近角</w:t>
            </w:r>
            <w:r>
              <w:rPr>
                <w:rFonts w:ascii="仿宋_GB2312" w:hAnsi="仿宋_GB2312" w:cs="仿宋_GB2312" w:eastAsia="仿宋_GB2312"/>
                <w:sz w:val="24"/>
              </w:rPr>
              <w:t>/离去角(°)≥</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15</w:t>
            </w:r>
          </w:p>
          <w:p>
            <w:pPr>
              <w:pStyle w:val="null3"/>
              <w:numPr>
                <w:ilvl w:val="0"/>
                <w:numId w:val="1"/>
              </w:numPr>
            </w:pPr>
            <w:r>
              <w:rPr>
                <w:rFonts w:ascii="仿宋_GB2312" w:hAnsi="仿宋_GB2312" w:cs="仿宋_GB2312" w:eastAsia="仿宋_GB2312"/>
                <w:sz w:val="24"/>
              </w:rPr>
              <w:t>底盘发动机功率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)≥1</w:t>
            </w:r>
            <w:r>
              <w:rPr>
                <w:rFonts w:ascii="仿宋_GB2312" w:hAnsi="仿宋_GB2312" w:cs="仿宋_GB2312" w:eastAsia="仿宋_GB2312"/>
                <w:sz w:val="24"/>
              </w:rPr>
              <w:t>00</w:t>
            </w:r>
          </w:p>
          <w:p>
            <w:pPr>
              <w:pStyle w:val="null3"/>
              <w:numPr>
                <w:ilvl w:val="0"/>
                <w:numId w:val="1"/>
              </w:numPr>
            </w:pPr>
            <w:r>
              <w:rPr>
                <w:rFonts w:ascii="仿宋_GB2312" w:hAnsi="仿宋_GB2312" w:cs="仿宋_GB2312" w:eastAsia="仿宋_GB2312"/>
                <w:sz w:val="24"/>
              </w:rPr>
              <w:t>副发动机功率</w:t>
            </w:r>
            <w:r>
              <w:rPr>
                <w:rFonts w:ascii="仿宋_GB2312" w:hAnsi="仿宋_GB2312" w:cs="仿宋_GB2312" w:eastAsia="仿宋_GB2312"/>
                <w:sz w:val="24"/>
              </w:rPr>
              <w:t>(k</w:t>
            </w:r>
            <w:r>
              <w:rPr>
                <w:rFonts w:ascii="仿宋_GB2312" w:hAnsi="仿宋_GB2312" w:cs="仿宋_GB2312" w:eastAsia="仿宋_GB2312"/>
                <w:sz w:val="24"/>
              </w:rPr>
              <w:t>W</w:t>
            </w:r>
            <w:r>
              <w:rPr>
                <w:rFonts w:ascii="仿宋_GB2312" w:hAnsi="仿宋_GB2312" w:cs="仿宋_GB2312" w:eastAsia="仿宋_GB2312"/>
                <w:sz w:val="24"/>
              </w:rPr>
              <w:t>)≥35</w:t>
            </w:r>
          </w:p>
          <w:p>
            <w:pPr>
              <w:pStyle w:val="null3"/>
              <w:numPr>
                <w:ilvl w:val="0"/>
                <w:numId w:val="1"/>
              </w:numPr>
            </w:pPr>
            <w:r>
              <w:rPr>
                <w:rFonts w:ascii="仿宋_GB2312" w:hAnsi="仿宋_GB2312" w:cs="仿宋_GB2312" w:eastAsia="仿宋_GB2312"/>
                <w:sz w:val="24"/>
              </w:rPr>
              <w:t>副发动机排放标准：国四</w:t>
            </w:r>
          </w:p>
          <w:p>
            <w:pPr>
              <w:pStyle w:val="null3"/>
              <w:numPr>
                <w:ilvl w:val="0"/>
                <w:numId w:val="1"/>
              </w:numPr>
            </w:pPr>
            <w:r>
              <w:rPr>
                <w:rFonts w:ascii="仿宋_GB2312" w:hAnsi="仿宋_GB2312" w:cs="仿宋_GB2312" w:eastAsia="仿宋_GB2312"/>
                <w:sz w:val="24"/>
              </w:rPr>
              <w:t>清扫宽度</w:t>
            </w:r>
            <w:r>
              <w:rPr>
                <w:rFonts w:ascii="仿宋_GB2312" w:hAnsi="仿宋_GB2312" w:cs="仿宋_GB2312" w:eastAsia="仿宋_GB2312"/>
                <w:sz w:val="24"/>
              </w:rPr>
              <w:t>(m)≥3</w:t>
            </w:r>
          </w:p>
          <w:p>
            <w:pPr>
              <w:pStyle w:val="null3"/>
              <w:numPr>
                <w:ilvl w:val="0"/>
                <w:numId w:val="1"/>
              </w:numPr>
            </w:pPr>
            <w:r>
              <w:rPr>
                <w:rFonts w:ascii="仿宋_GB2312" w:hAnsi="仿宋_GB2312" w:cs="仿宋_GB2312" w:eastAsia="仿宋_GB2312"/>
                <w:sz w:val="24"/>
              </w:rPr>
              <w:t>最大作业能力</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vertAlign w:val="superscript"/>
              </w:rPr>
              <w:t>2</w:t>
            </w:r>
            <w:r>
              <w:rPr>
                <w:rFonts w:ascii="仿宋_GB2312" w:hAnsi="仿宋_GB2312" w:cs="仿宋_GB2312" w:eastAsia="仿宋_GB2312"/>
                <w:sz w:val="24"/>
              </w:rPr>
              <w:t>/h</w:t>
            </w: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000</w:t>
            </w:r>
          </w:p>
          <w:p>
            <w:pPr>
              <w:pStyle w:val="null3"/>
              <w:numPr>
                <w:ilvl w:val="0"/>
                <w:numId w:val="1"/>
              </w:numPr>
            </w:pPr>
            <w:r>
              <w:rPr>
                <w:rFonts w:ascii="仿宋_GB2312" w:hAnsi="仿宋_GB2312" w:cs="仿宋_GB2312" w:eastAsia="仿宋_GB2312"/>
                <w:sz w:val="24"/>
              </w:rPr>
              <w:t>清水箱容积</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³)≥</w:t>
            </w:r>
            <w:r>
              <w:rPr>
                <w:rFonts w:ascii="仿宋_GB2312" w:hAnsi="仿宋_GB2312" w:cs="仿宋_GB2312" w:eastAsia="仿宋_GB2312"/>
                <w:sz w:val="24"/>
              </w:rPr>
              <w:t>4.5</w:t>
            </w:r>
          </w:p>
          <w:p>
            <w:pPr>
              <w:pStyle w:val="null3"/>
              <w:numPr>
                <w:ilvl w:val="0"/>
                <w:numId w:val="1"/>
              </w:numPr>
            </w:pPr>
            <w:r>
              <w:rPr>
                <w:rFonts w:ascii="仿宋_GB2312" w:hAnsi="仿宋_GB2312" w:cs="仿宋_GB2312" w:eastAsia="仿宋_GB2312"/>
                <w:sz w:val="24"/>
              </w:rPr>
              <w:t>垃圾箱容积</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³)≥</w:t>
            </w:r>
            <w:r>
              <w:rPr>
                <w:rFonts w:ascii="仿宋_GB2312" w:hAnsi="仿宋_GB2312" w:cs="仿宋_GB2312" w:eastAsia="仿宋_GB2312"/>
                <w:sz w:val="24"/>
              </w:rPr>
              <w:t>3.5</w:t>
            </w:r>
          </w:p>
          <w:p>
            <w:pPr>
              <w:pStyle w:val="null3"/>
              <w:numPr>
                <w:ilvl w:val="0"/>
                <w:numId w:val="1"/>
              </w:numPr>
            </w:pPr>
            <w:r>
              <w:rPr>
                <w:rFonts w:ascii="仿宋_GB2312" w:hAnsi="仿宋_GB2312" w:cs="仿宋_GB2312" w:eastAsia="仿宋_GB2312"/>
                <w:sz w:val="24"/>
              </w:rPr>
              <w:t>最大</w:t>
            </w:r>
            <w:r>
              <w:rPr>
                <w:rFonts w:ascii="仿宋_GB2312" w:hAnsi="仿宋_GB2312" w:cs="仿宋_GB2312" w:eastAsia="仿宋_GB2312"/>
                <w:sz w:val="24"/>
              </w:rPr>
              <w:t>卸料角</w:t>
            </w:r>
            <w:r>
              <w:rPr>
                <w:rFonts w:ascii="仿宋_GB2312" w:hAnsi="仿宋_GB2312" w:cs="仿宋_GB2312" w:eastAsia="仿宋_GB2312"/>
                <w:sz w:val="24"/>
              </w:rPr>
              <w:t>(°)≥</w:t>
            </w:r>
            <w:r>
              <w:rPr>
                <w:rFonts w:ascii="仿宋_GB2312" w:hAnsi="仿宋_GB2312" w:cs="仿宋_GB2312" w:eastAsia="仿宋_GB2312"/>
                <w:sz w:val="24"/>
              </w:rPr>
              <w:t>45</w:t>
            </w:r>
          </w:p>
          <w:p>
            <w:pPr>
              <w:pStyle w:val="null3"/>
              <w:numPr>
                <w:ilvl w:val="0"/>
                <w:numId w:val="1"/>
              </w:numPr>
            </w:pPr>
            <w:r>
              <w:rPr>
                <w:rFonts w:ascii="仿宋_GB2312" w:hAnsi="仿宋_GB2312" w:cs="仿宋_GB2312" w:eastAsia="仿宋_GB2312"/>
                <w:sz w:val="24"/>
              </w:rPr>
              <w:t>清扫</w:t>
            </w:r>
            <w:r>
              <w:rPr>
                <w:rFonts w:ascii="仿宋_GB2312" w:hAnsi="仿宋_GB2312" w:cs="仿宋_GB2312" w:eastAsia="仿宋_GB2312"/>
                <w:sz w:val="24"/>
              </w:rPr>
              <w:t>效率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95</w:t>
            </w:r>
          </w:p>
          <w:p>
            <w:pPr>
              <w:pStyle w:val="null3"/>
              <w:numPr>
                <w:ilvl w:val="0"/>
                <w:numId w:val="1"/>
              </w:numPr>
            </w:pPr>
            <w:r>
              <w:rPr>
                <w:rFonts w:ascii="仿宋_GB2312" w:hAnsi="仿宋_GB2312" w:cs="仿宋_GB2312" w:eastAsia="仿宋_GB2312"/>
                <w:sz w:val="24"/>
              </w:rPr>
              <w:t>高压水泵额定压力</w:t>
            </w:r>
            <w:r>
              <w:rPr>
                <w:rFonts w:ascii="仿宋_GB2312" w:hAnsi="仿宋_GB2312" w:cs="仿宋_GB2312" w:eastAsia="仿宋_GB2312"/>
                <w:sz w:val="24"/>
              </w:rPr>
              <w:t>(</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15</w:t>
            </w:r>
          </w:p>
          <w:p>
            <w:pPr>
              <w:pStyle w:val="null3"/>
              <w:numPr>
                <w:ilvl w:val="0"/>
                <w:numId w:val="1"/>
              </w:numPr>
            </w:pPr>
            <w:r>
              <w:rPr>
                <w:rFonts w:ascii="仿宋_GB2312" w:hAnsi="仿宋_GB2312" w:cs="仿宋_GB2312" w:eastAsia="仿宋_GB2312"/>
                <w:sz w:val="24"/>
              </w:rPr>
              <w:t>高压水泵额定流量</w:t>
            </w:r>
            <w:r>
              <w:rPr>
                <w:rFonts w:ascii="仿宋_GB2312" w:hAnsi="仿宋_GB2312" w:cs="仿宋_GB2312" w:eastAsia="仿宋_GB2312"/>
                <w:sz w:val="24"/>
              </w:rPr>
              <w:t>(</w:t>
            </w:r>
            <w:r>
              <w:rPr>
                <w:rFonts w:ascii="仿宋_GB2312" w:hAnsi="仿宋_GB2312" w:cs="仿宋_GB2312" w:eastAsia="仿宋_GB2312"/>
                <w:sz w:val="24"/>
              </w:rPr>
              <w:t>L/min</w:t>
            </w:r>
            <w:r>
              <w:rPr>
                <w:rFonts w:ascii="仿宋_GB2312" w:hAnsi="仿宋_GB2312" w:cs="仿宋_GB2312" w:eastAsia="仿宋_GB2312"/>
                <w:sz w:val="24"/>
              </w:rPr>
              <w:t>)≥</w:t>
            </w:r>
            <w:r>
              <w:rPr>
                <w:rFonts w:ascii="仿宋_GB2312" w:hAnsi="仿宋_GB2312" w:cs="仿宋_GB2312" w:eastAsia="仿宋_GB2312"/>
                <w:sz w:val="24"/>
              </w:rPr>
              <w:t>60</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sz w:val="24"/>
              </w:rPr>
              <w:t>与副发动机配套有自动离合器，当副发转速达到设计值后风机和高压水泵将自动运行，可保证副发动机在启动和停机时与风机和高压水泵自动分离。</w:t>
            </w:r>
          </w:p>
          <w:p>
            <w:pPr>
              <w:pStyle w:val="null3"/>
              <w:numPr>
                <w:ilvl w:val="0"/>
                <w:numId w:val="1"/>
              </w:numPr>
            </w:pPr>
            <w:r>
              <w:rPr>
                <w:rFonts w:ascii="仿宋_GB2312" w:hAnsi="仿宋_GB2312" w:cs="仿宋_GB2312" w:eastAsia="仿宋_GB2312"/>
                <w:sz w:val="24"/>
              </w:rPr>
              <w:t>车辆的扫盘需具有防撞避障功能。作业时，当扫盘遇到前方障碍物，可向内收缩避让，越过障碍后自动恢复到正常工作位置。</w:t>
            </w:r>
          </w:p>
          <w:p>
            <w:pPr>
              <w:pStyle w:val="null3"/>
              <w:numPr>
                <w:ilvl w:val="0"/>
                <w:numId w:val="1"/>
              </w:numPr>
            </w:pPr>
            <w:r>
              <w:rPr>
                <w:rFonts w:ascii="仿宋_GB2312" w:hAnsi="仿宋_GB2312" w:cs="仿宋_GB2312" w:eastAsia="仿宋_GB2312"/>
                <w:sz w:val="24"/>
              </w:rPr>
              <w:t>车辆需</w:t>
            </w:r>
            <w:r>
              <w:rPr>
                <w:rFonts w:ascii="仿宋_GB2312" w:hAnsi="仿宋_GB2312" w:cs="仿宋_GB2312" w:eastAsia="仿宋_GB2312"/>
                <w:sz w:val="24"/>
              </w:rPr>
              <w:t>配有</w:t>
            </w:r>
            <w:r>
              <w:rPr>
                <w:rFonts w:ascii="仿宋_GB2312" w:hAnsi="仿宋_GB2312" w:cs="仿宋_GB2312" w:eastAsia="仿宋_GB2312"/>
                <w:sz w:val="24"/>
              </w:rPr>
              <w:t>左、右高压侧喷杆，与吸嘴采用</w:t>
            </w:r>
            <w:r>
              <w:rPr>
                <w:rFonts w:ascii="仿宋_GB2312" w:hAnsi="仿宋_GB2312" w:cs="仿宋_GB2312" w:eastAsia="仿宋_GB2312"/>
                <w:sz w:val="24"/>
              </w:rPr>
              <w:t>V型布置，气控操作收放，并可调整V形角度及高压水喷嘴角度，水流冲击力大，能高效汇集污水，并且喷杆有防撞和自动复位功能。</w:t>
            </w:r>
          </w:p>
          <w:p>
            <w:pPr>
              <w:pStyle w:val="null3"/>
              <w:numPr>
                <w:ilvl w:val="0"/>
                <w:numId w:val="1"/>
              </w:numPr>
            </w:pPr>
            <w:r>
              <w:rPr>
                <w:rFonts w:ascii="仿宋_GB2312" w:hAnsi="仿宋_GB2312" w:cs="仿宋_GB2312" w:eastAsia="仿宋_GB2312"/>
                <w:sz w:val="24"/>
              </w:rPr>
              <w:t>高压水路需采用气控阀组控制高压球阀开关，避免使用液压油缸控制开关发生漏油后的二次污染。</w:t>
            </w:r>
          </w:p>
          <w:p>
            <w:pPr>
              <w:pStyle w:val="null3"/>
              <w:numPr>
                <w:ilvl w:val="0"/>
                <w:numId w:val="1"/>
              </w:numPr>
            </w:pPr>
            <w:r>
              <w:rPr>
                <w:rFonts w:ascii="仿宋_GB2312" w:hAnsi="仿宋_GB2312" w:cs="仿宋_GB2312" w:eastAsia="仿宋_GB2312"/>
                <w:sz w:val="24"/>
              </w:rPr>
              <w:t>高压水路系统中设有卸荷阀、水泵出水管上装有压力表等保护装置。</w:t>
            </w:r>
          </w:p>
          <w:p>
            <w:pPr>
              <w:pStyle w:val="null3"/>
              <w:numPr>
                <w:ilvl w:val="0"/>
                <w:numId w:val="1"/>
              </w:numPr>
            </w:pPr>
            <w:r>
              <w:rPr>
                <w:rFonts w:ascii="仿宋_GB2312" w:hAnsi="仿宋_GB2312" w:cs="仿宋_GB2312" w:eastAsia="仿宋_GB2312"/>
                <w:sz w:val="24"/>
              </w:rPr>
              <w:t>高压水泵进水口前需设有过滤器，避免水中的杂质进入高压水泵，延长水泵的寿命。</w:t>
            </w:r>
          </w:p>
          <w:p>
            <w:pPr>
              <w:pStyle w:val="null3"/>
              <w:numPr>
                <w:ilvl w:val="0"/>
                <w:numId w:val="1"/>
              </w:numPr>
            </w:pPr>
            <w:r>
              <w:rPr>
                <w:rFonts w:ascii="仿宋_GB2312" w:hAnsi="仿宋_GB2312" w:cs="仿宋_GB2312" w:eastAsia="仿宋_GB2312"/>
                <w:sz w:val="24"/>
              </w:rPr>
              <w:t>扫刷前部和两吸管内需配有洒水降尘系统，可有效降低扫路作业中激起的扬尘和扫路作业时防止堵管。</w:t>
            </w:r>
          </w:p>
          <w:p>
            <w:pPr>
              <w:pStyle w:val="null3"/>
              <w:numPr>
                <w:ilvl w:val="0"/>
                <w:numId w:val="1"/>
              </w:numPr>
            </w:pPr>
            <w:r>
              <w:rPr>
                <w:rFonts w:ascii="仿宋_GB2312" w:hAnsi="仿宋_GB2312" w:cs="仿宋_GB2312" w:eastAsia="仿宋_GB2312"/>
                <w:sz w:val="24"/>
              </w:rPr>
              <w:t>垃圾箱体需采用不锈钢板焊接而成，并采用成大圆弧</w:t>
            </w:r>
            <w:r>
              <w:rPr>
                <w:rFonts w:ascii="仿宋_GB2312" w:hAnsi="仿宋_GB2312" w:cs="仿宋_GB2312" w:eastAsia="仿宋_GB2312"/>
                <w:sz w:val="24"/>
              </w:rPr>
              <w:t>+瓦棱的结构，既满足箱体结构强度，又实现轻量化设计。</w:t>
            </w:r>
          </w:p>
          <w:p>
            <w:pPr>
              <w:pStyle w:val="null3"/>
              <w:numPr>
                <w:ilvl w:val="0"/>
                <w:numId w:val="1"/>
              </w:numPr>
            </w:pPr>
            <w:r>
              <w:rPr>
                <w:rFonts w:ascii="仿宋_GB2312" w:hAnsi="仿宋_GB2312" w:cs="仿宋_GB2312" w:eastAsia="仿宋_GB2312"/>
                <w:sz w:val="24"/>
              </w:rPr>
              <w:t>清水箱需设置低水位传感器，污水箱设置高水位传感器；</w:t>
            </w:r>
          </w:p>
          <w:p>
            <w:pPr>
              <w:pStyle w:val="null3"/>
              <w:numPr>
                <w:ilvl w:val="0"/>
                <w:numId w:val="1"/>
              </w:numPr>
            </w:pPr>
            <w:r>
              <w:rPr>
                <w:rFonts w:ascii="仿宋_GB2312" w:hAnsi="仿宋_GB2312" w:cs="仿宋_GB2312" w:eastAsia="仿宋_GB2312"/>
                <w:sz w:val="24"/>
              </w:rPr>
              <w:t>垃圾箱内部需设有滤网，可有效防止树叶、塑料袋等轻飘堵塞风口</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后门需设置有圆形观察孔和排污阀，可通过观察窗实时观察污水箱污水水位，并通过放水阀释放污水到路边下水道，避免频繁往返垃圾场</w:t>
            </w:r>
            <w:r>
              <w:rPr>
                <w:rFonts w:ascii="仿宋_GB2312" w:hAnsi="仿宋_GB2312" w:cs="仿宋_GB2312" w:eastAsia="仿宋_GB2312"/>
                <w:sz w:val="24"/>
              </w:rPr>
              <w:t>。</w:t>
            </w:r>
          </w:p>
          <w:p>
            <w:pPr>
              <w:pStyle w:val="null3"/>
              <w:numPr>
                <w:ilvl w:val="0"/>
                <w:numId w:val="1"/>
              </w:numPr>
            </w:pPr>
            <w:r>
              <w:rPr>
                <w:rFonts w:ascii="仿宋_GB2312" w:hAnsi="仿宋_GB2312" w:cs="仿宋_GB2312" w:eastAsia="仿宋_GB2312"/>
                <w:sz w:val="24"/>
              </w:rPr>
              <w:t>为方便操作</w:t>
            </w:r>
            <w:r>
              <w:rPr>
                <w:rFonts w:ascii="仿宋_GB2312" w:hAnsi="仿宋_GB2312" w:cs="仿宋_GB2312" w:eastAsia="仿宋_GB2312"/>
                <w:sz w:val="24"/>
              </w:rPr>
              <w:t>者</w:t>
            </w:r>
            <w:r>
              <w:rPr>
                <w:rFonts w:ascii="仿宋_GB2312" w:hAnsi="仿宋_GB2312" w:cs="仿宋_GB2312" w:eastAsia="仿宋_GB2312"/>
                <w:sz w:val="24"/>
              </w:rPr>
              <w:t>在夜间或亮度不够的环境下作业时监视扫盘的工作情况，左、右扫盘需配备有照明灯。</w:t>
            </w:r>
          </w:p>
          <w:p>
            <w:pPr>
              <w:pStyle w:val="null3"/>
              <w:numPr>
                <w:ilvl w:val="0"/>
                <w:numId w:val="1"/>
              </w:numPr>
            </w:pPr>
            <w:r>
              <w:rPr>
                <w:rFonts w:ascii="仿宋_GB2312" w:hAnsi="仿宋_GB2312" w:cs="仿宋_GB2312" w:eastAsia="仿宋_GB2312"/>
                <w:sz w:val="24"/>
              </w:rPr>
              <w:t>车辆</w:t>
            </w:r>
            <w:r>
              <w:rPr>
                <w:rFonts w:ascii="仿宋_GB2312" w:hAnsi="仿宋_GB2312" w:cs="仿宋_GB2312" w:eastAsia="仿宋_GB2312"/>
                <w:sz w:val="24"/>
              </w:rPr>
              <w:t>需设有</w:t>
            </w:r>
            <w:r>
              <w:rPr>
                <w:rFonts w:ascii="仿宋_GB2312" w:hAnsi="仿宋_GB2312" w:cs="仿宋_GB2312" w:eastAsia="仿宋_GB2312"/>
                <w:sz w:val="24"/>
              </w:rPr>
              <w:t>全洗扫、全扫、全洗、纯吸或</w:t>
            </w:r>
            <w:r>
              <w:rPr>
                <w:rFonts w:ascii="仿宋_GB2312" w:hAnsi="仿宋_GB2312" w:cs="仿宋_GB2312" w:eastAsia="仿宋_GB2312"/>
                <w:sz w:val="24"/>
              </w:rPr>
              <w:t>更多</w:t>
            </w:r>
            <w:r>
              <w:rPr>
                <w:rFonts w:ascii="仿宋_GB2312" w:hAnsi="仿宋_GB2312" w:cs="仿宋_GB2312" w:eastAsia="仿宋_GB2312"/>
                <w:sz w:val="24"/>
              </w:rPr>
              <w:t>作业模式。用户可根据作业需要，选择合适的作业模式进行作业。作业模式选定后，可实现一键起动作业或一键停机。</w:t>
            </w:r>
          </w:p>
          <w:p>
            <w:pPr>
              <w:pStyle w:val="null3"/>
              <w:numPr>
                <w:ilvl w:val="0"/>
                <w:numId w:val="1"/>
              </w:numPr>
            </w:pPr>
            <w:r>
              <w:rPr>
                <w:rFonts w:ascii="仿宋_GB2312" w:hAnsi="仿宋_GB2312" w:cs="仿宋_GB2312" w:eastAsia="仿宋_GB2312"/>
                <w:sz w:val="24"/>
              </w:rPr>
              <w:t>车辆右侧后轮附件需</w:t>
            </w:r>
            <w:r>
              <w:rPr>
                <w:rFonts w:ascii="仿宋_GB2312" w:hAnsi="仿宋_GB2312" w:cs="仿宋_GB2312" w:eastAsia="仿宋_GB2312"/>
                <w:sz w:val="24"/>
              </w:rPr>
              <w:t>配有</w:t>
            </w:r>
            <w:r>
              <w:rPr>
                <w:rFonts w:ascii="仿宋_GB2312" w:hAnsi="仿宋_GB2312" w:cs="仿宋_GB2312" w:eastAsia="仿宋_GB2312"/>
                <w:sz w:val="24"/>
              </w:rPr>
              <w:t>操作面板，主要用于垃圾箱的卸料、调试维修等操作。</w:t>
            </w:r>
          </w:p>
          <w:p>
            <w:pPr>
              <w:pStyle w:val="null3"/>
              <w:numPr>
                <w:ilvl w:val="0"/>
                <w:numId w:val="1"/>
              </w:numPr>
            </w:pPr>
            <w:r>
              <w:rPr>
                <w:rFonts w:ascii="仿宋_GB2312" w:hAnsi="仿宋_GB2312" w:cs="仿宋_GB2312" w:eastAsia="仿宋_GB2312"/>
                <w:sz w:val="24"/>
              </w:rPr>
              <w:t>副发转速需可根据路面情况进行数字化、可视化设置；并且选定作业模式并启动后，可自动记忆上一次作业转速并开启相应作业模式，省去重新设置副发转速的操作。</w:t>
            </w:r>
          </w:p>
          <w:p>
            <w:pPr>
              <w:pStyle w:val="null3"/>
              <w:numPr>
                <w:ilvl w:val="0"/>
                <w:numId w:val="1"/>
              </w:numPr>
            </w:pPr>
            <w:r>
              <w:rPr>
                <w:rFonts w:ascii="仿宋_GB2312" w:hAnsi="仿宋_GB2312" w:cs="仿宋_GB2312" w:eastAsia="仿宋_GB2312"/>
                <w:sz w:val="24"/>
              </w:rPr>
              <w:t>需配备语音报警系统，能在作业和卸车时发出多种语音报警和提示信息。</w:t>
            </w:r>
          </w:p>
          <w:p>
            <w:pPr>
              <w:pStyle w:val="null3"/>
              <w:numPr>
                <w:ilvl w:val="0"/>
                <w:numId w:val="1"/>
              </w:numPr>
            </w:pPr>
            <w:r>
              <w:rPr>
                <w:rFonts w:ascii="仿宋_GB2312" w:hAnsi="仿宋_GB2312" w:cs="仿宋_GB2312" w:eastAsia="仿宋_GB2312"/>
                <w:sz w:val="24"/>
              </w:rPr>
              <w:t>车辆需</w:t>
            </w:r>
            <w:r>
              <w:rPr>
                <w:rFonts w:ascii="仿宋_GB2312" w:hAnsi="仿宋_GB2312" w:cs="仿宋_GB2312" w:eastAsia="仿宋_GB2312"/>
                <w:sz w:val="24"/>
              </w:rPr>
              <w:t>具有</w:t>
            </w:r>
            <w:r>
              <w:rPr>
                <w:rFonts w:ascii="仿宋_GB2312" w:hAnsi="仿宋_GB2312" w:cs="仿宋_GB2312" w:eastAsia="仿宋_GB2312"/>
                <w:sz w:val="24"/>
              </w:rPr>
              <w:t>一键停水功能，作业时遇红绿灯或其他情况，可按下操作屏主界面的</w:t>
            </w:r>
            <w:r>
              <w:rPr>
                <w:rFonts w:ascii="仿宋_GB2312" w:hAnsi="仿宋_GB2312" w:cs="仿宋_GB2312" w:eastAsia="仿宋_GB2312"/>
                <w:sz w:val="24"/>
              </w:rPr>
              <w:t>“作业暂停”键，可紧急停止喷水作业。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金鸡滩镇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收到货物并且验收合格</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产品质量符合国家标准，产品合格证等证件齐全，车辆可正常上户。</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双方协商，协商无果后通过司法程序解决。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为提升人居环境，金鸡滩镇拟采购3吨清扫车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注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社会保障资金缴纳证明:供应商提供上一年度至开标前已缴存的至少三个月的社会保障资金缴存单据或社保机构开具的社会保险参促缴费情况证明。依法不需要缴纳社会保障资金的供应商应提供相关文件证明。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税收缴纳证明:供应商提供上一年度至开标前已缴纳的至少三个月的纳税证明或完税证明，纳税证明或完税证明上应有代收机构或程 务机关的公章。依法免税的供应商应提供相关文件证明。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流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终看止时间不足一年的可提供成立后任意时段的资产负债表，或其开标前三个月内基本存款账户开户银行出具的资信证明，或财政部门认可的理府采购专业担保机构出具的投标担保函)。</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详见附件：金鸡滩环卫设施采购合同(1).docx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