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版本号：YYZFCG竞争性谈判（2025）36号20251204001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第九小学机房提升改造项目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YYZFCG竞争性谈判（2025）36号</w:t>
      </w:r>
      <w:r>
        <w:br/>
      </w:r>
      <w:r>
        <w:br/>
      </w:r>
      <w:r>
        <w:br/>
      </w:r>
    </w:p>
    <w:p>
      <w:pPr>
        <w:pStyle w:val="null3"/>
        <w:jc w:val="center"/>
        <w:outlineLvl w:val="2"/>
      </w:pPr>
      <w:r>
        <w:rPr>
          <w:rFonts w:ascii="仿宋_GB2312" w:hAnsi="仿宋_GB2312" w:cs="仿宋_GB2312" w:eastAsia="仿宋_GB2312"/>
          <w:sz w:val="28"/>
          <w:b/>
        </w:rPr>
        <w:t>榆林市第九小学</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榆林市第九小学</w:t>
      </w:r>
      <w:r>
        <w:rPr>
          <w:rFonts w:ascii="仿宋_GB2312" w:hAnsi="仿宋_GB2312" w:cs="仿宋_GB2312" w:eastAsia="仿宋_GB2312"/>
        </w:rPr>
        <w:t>委托，拟对</w:t>
      </w:r>
      <w:r>
        <w:rPr>
          <w:rFonts w:ascii="仿宋_GB2312" w:hAnsi="仿宋_GB2312" w:cs="仿宋_GB2312" w:eastAsia="仿宋_GB2312"/>
        </w:rPr>
        <w:t>第九小学机房提升改造项目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YYZFCG竞争性谈判（2025）36号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第九小学机房提升改造项目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采购1、台式计算机；2、国产正版操作系统；3、计算机教室系统软件；4、学生桌椅；5、教师桌椅；6、交换机；7、插座；8、电源线；9、网线；10、稳压电源；11、辅材；12、拆除及安装。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1、本项目的特定资格要求：有效的主体资格:营业执照等主体资格证明文件。</w:t>
      </w:r>
    </w:p>
    <w:p>
      <w:pPr>
        <w:pStyle w:val="null3"/>
      </w:pPr>
      <w:r>
        <w:rPr>
          <w:rFonts w:ascii="仿宋_GB2312" w:hAnsi="仿宋_GB2312" w:cs="仿宋_GB2312" w:eastAsia="仿宋_GB2312"/>
        </w:rPr>
        <w:t>2、合法授权：法定代表人参加投标的，提供本人身份证复印件:法定代表人授权他人参加投标的，提供《法定代表人授权委托书》，格式自拟。</w:t>
      </w:r>
    </w:p>
    <w:p>
      <w:pPr>
        <w:pStyle w:val="null3"/>
      </w:pPr>
      <w:r>
        <w:rPr>
          <w:rFonts w:ascii="仿宋_GB2312" w:hAnsi="仿宋_GB2312" w:cs="仿宋_GB2312" w:eastAsia="仿宋_GB2312"/>
        </w:rPr>
        <w:t>3、信用：供应商应具备良好的商业信誉，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发现供应商存在不良记录的，不认定为资格审查错误，将依照有关规定进行调查处理。</w:t>
      </w:r>
    </w:p>
    <w:p>
      <w:pPr>
        <w:pStyle w:val="null3"/>
      </w:pPr>
      <w:r>
        <w:rPr>
          <w:rFonts w:ascii="仿宋_GB2312" w:hAnsi="仿宋_GB2312" w:cs="仿宋_GB2312" w:eastAsia="仿宋_GB2312"/>
        </w:rPr>
        <w:t>4、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榆林市第九小学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榆阳区航宇路交通工程公司北侧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榆林市第九小学经办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13571220988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榆林市第九小学</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榆林市第九小学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榆林市第九小学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榆林市第九小学</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1、台式计算机；2、国产正版操作系统；3、计算机教室系统软件；4、学生桌椅；5、教师桌椅；6、交换机；7、插座；8、电源线；9、网线；10、稳压电源；11、辅材；12、拆除及安装费用。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台式计算机、国产正版操作系统、计算机教室系统软件、学生桌椅、教师桌椅、交换机、插座、电源线、网线、稳压电源、辅材、拆除及安装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标的名称：台式计算机、国产正版操作系统、计算机教室系统软件、学生桌椅、教师桌椅、交换机、插座、电源线、网线、稳压电源、辅材、拆除及安装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榆林市第九小学机房提升改造项目采购清单</w:t>
            </w:r>
          </w:p>
          <w:tbl>
            <w:tblPr>
              <w:tblInd w:type="dxa" w:w="90"/>
              <w:tblBorders>
                <w:top w:val="none" w:color="000000" w:sz="4"/>
                <w:left w:val="none" w:color="000000" w:sz="4"/>
                <w:bottom w:val="none" w:color="000000" w:sz="4"/>
                <w:right w:val="none" w:color="000000" w:sz="4"/>
                <w:insideH w:val="none"/>
                <w:insideV w:val="none"/>
              </w:tblBorders>
            </w:tblPr>
            <w:tblGrid>
              <w:gridCol w:w="109"/>
              <w:gridCol w:w="224"/>
              <w:gridCol w:w="1529"/>
              <w:gridCol w:w="109"/>
              <w:gridCol w:w="109"/>
              <w:gridCol w:w="133"/>
              <w:gridCol w:w="157"/>
              <w:gridCol w:w="171"/>
            </w:tblGrid>
            <w:tr>
              <w:tc>
                <w:tcPr>
                  <w:tcW w:type="dxa" w:w="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单价（元）</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合计</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计算机</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国产化自主品牌：</w:t>
                  </w:r>
                  <w:r>
                    <w:br/>
                  </w:r>
                  <w:r>
                    <w:rPr>
                      <w:rFonts w:ascii="仿宋_GB2312" w:hAnsi="仿宋_GB2312" w:cs="仿宋_GB2312" w:eastAsia="仿宋_GB2312"/>
                      <w:sz w:val="18"/>
                      <w:color w:val="000000"/>
                    </w:rPr>
                    <w:t xml:space="preserve">1、处理器：采用国产处理器，≥8 核，主频≥2.7GHz。 </w:t>
                  </w:r>
                  <w:r>
                    <w:br/>
                  </w:r>
                  <w:r>
                    <w:rPr>
                      <w:rFonts w:ascii="仿宋_GB2312" w:hAnsi="仿宋_GB2312" w:cs="仿宋_GB2312" w:eastAsia="仿宋_GB2312"/>
                      <w:sz w:val="18"/>
                      <w:color w:val="000000"/>
                    </w:rPr>
                    <w:t xml:space="preserve">2、内存：配置≥16GB 内存，配置≥2 个内存插槽。 </w:t>
                  </w:r>
                  <w:r>
                    <w:br/>
                  </w:r>
                  <w:r>
                    <w:rPr>
                      <w:rFonts w:ascii="仿宋_GB2312" w:hAnsi="仿宋_GB2312" w:cs="仿宋_GB2312" w:eastAsia="仿宋_GB2312"/>
                      <w:sz w:val="18"/>
                      <w:color w:val="000000"/>
                    </w:rPr>
                    <w:t xml:space="preserve">3、显卡：集成显卡，支持 VGA+HDMI 输出接口。 </w:t>
                  </w:r>
                  <w:r>
                    <w:br/>
                  </w:r>
                  <w:r>
                    <w:rPr>
                      <w:rFonts w:ascii="仿宋_GB2312" w:hAnsi="仿宋_GB2312" w:cs="仿宋_GB2312" w:eastAsia="仿宋_GB2312"/>
                      <w:sz w:val="18"/>
                      <w:color w:val="000000"/>
                    </w:rPr>
                    <w:t>4、硬盘： ≥512GB M.2 接口 NVME 协议 SSD，最高可支持 1TB SSD；</w:t>
                  </w:r>
                  <w:r>
                    <w:br/>
                  </w:r>
                  <w:r>
                    <w:rPr>
                      <w:rFonts w:ascii="仿宋_GB2312" w:hAnsi="仿宋_GB2312" w:cs="仿宋_GB2312" w:eastAsia="仿宋_GB2312"/>
                      <w:sz w:val="18"/>
                      <w:color w:val="000000"/>
                    </w:rPr>
                    <w:t xml:space="preserve">5、主板:国产。 </w:t>
                  </w:r>
                  <w:r>
                    <w:br/>
                  </w:r>
                  <w:r>
                    <w:rPr>
                      <w:rFonts w:ascii="仿宋_GB2312" w:hAnsi="仿宋_GB2312" w:cs="仿宋_GB2312" w:eastAsia="仿宋_GB2312"/>
                      <w:sz w:val="18"/>
                      <w:color w:val="000000"/>
                    </w:rPr>
                    <w:t xml:space="preserve">6、网口：1 个 RJ45 10/100/1000 自适应以太网口。 </w:t>
                  </w:r>
                  <w:r>
                    <w:br/>
                  </w:r>
                  <w:r>
                    <w:rPr>
                      <w:rFonts w:ascii="仿宋_GB2312" w:hAnsi="仿宋_GB2312" w:cs="仿宋_GB2312" w:eastAsia="仿宋_GB2312"/>
                      <w:sz w:val="18"/>
                      <w:color w:val="000000"/>
                    </w:rPr>
                    <w:t xml:space="preserve">7、接口：1 个 PCIe x16，2 个 PCIe x1 扩展槽；USB接口≥8 个（其中前置 USB3.0 数量≥4 个，后置 USB3.0数量≥2 个，USB2.0 数量≥2 个），音频接口：前端麦克风 1 个，耳机 1 个；后端 3 个 Audio 音频接口； </w:t>
                  </w:r>
                  <w:r>
                    <w:br/>
                  </w:r>
                  <w:r>
                    <w:rPr>
                      <w:rFonts w:ascii="仿宋_GB2312" w:hAnsi="仿宋_GB2312" w:cs="仿宋_GB2312" w:eastAsia="仿宋_GB2312"/>
                      <w:sz w:val="18"/>
                      <w:color w:val="000000"/>
                    </w:rPr>
                    <w:t xml:space="preserve">8、电源： 电源功率≤180W； 电源通过 80PLUS 认证。 </w:t>
                  </w:r>
                  <w:r>
                    <w:br/>
                  </w:r>
                  <w:r>
                    <w:rPr>
                      <w:rFonts w:ascii="仿宋_GB2312" w:hAnsi="仿宋_GB2312" w:cs="仿宋_GB2312" w:eastAsia="仿宋_GB2312"/>
                      <w:sz w:val="18"/>
                      <w:color w:val="000000"/>
                    </w:rPr>
                    <w:t>9、键鼠：USB 有线键盘鼠标，与主机同品牌。</w:t>
                  </w:r>
                  <w:r>
                    <w:br/>
                  </w:r>
                  <w:r>
                    <w:rPr>
                      <w:rFonts w:ascii="仿宋_GB2312" w:hAnsi="仿宋_GB2312" w:cs="仿宋_GB2312" w:eastAsia="仿宋_GB2312"/>
                      <w:sz w:val="18"/>
                      <w:color w:val="000000"/>
                    </w:rPr>
                    <w:t xml:space="preserve">10、数据安全：（1）BIOS级 USB 屏蔽及智能 USB 数据保护：USB 支持BIOS 下全部接口一键开关，前后分组开关；针对存储设备支持全部 USB 接口一键切换禁止访问模式/只读模式。 </w:t>
                  </w:r>
                  <w:r>
                    <w:br/>
                  </w:r>
                  <w:r>
                    <w:rPr>
                      <w:rFonts w:ascii="仿宋_GB2312" w:hAnsi="仿宋_GB2312" w:cs="仿宋_GB2312" w:eastAsia="仿宋_GB2312"/>
                      <w:sz w:val="18"/>
                      <w:color w:val="000000"/>
                    </w:rPr>
                    <w:t xml:space="preserve">11、操作系统：支持国产银河麒麟或 UOS 操作系统。 </w:t>
                  </w:r>
                  <w:r>
                    <w:br/>
                  </w:r>
                  <w:r>
                    <w:rPr>
                      <w:rFonts w:ascii="仿宋_GB2312" w:hAnsi="仿宋_GB2312" w:cs="仿宋_GB2312" w:eastAsia="仿宋_GB2312"/>
                      <w:sz w:val="18"/>
                      <w:color w:val="000000"/>
                    </w:rPr>
                    <w:t>12、显示器：≥23.8 寸 LED 显示器，分辨率≥ 1920*1080，刷新频率≥75Hz，对比度≥3000:1，视频接口VGA+HDMI。</w:t>
                  </w:r>
                  <w:r>
                    <w:br/>
                  </w:r>
                  <w:r>
                    <w:rPr>
                      <w:rFonts w:ascii="仿宋_GB2312" w:hAnsi="仿宋_GB2312" w:cs="仿宋_GB2312" w:eastAsia="仿宋_GB2312"/>
                      <w:sz w:val="18"/>
                      <w:color w:val="000000"/>
                    </w:rPr>
                    <w:t>13、质控水平（1）静音舒适性：考虑工作环境的静音舒适，要求设备的噪声声功率 3.08Bel，噪声声压级≤23.07dB，提供证书证明文件；（2）环境适应性：考虑使用环境差异，要求设备通过温度 0~40℃/低气压 61.6kPa（4000m）的环境适应性认证，提供证书证明文件（加盖原厂公章）； （3）磁兼容性：考虑设备工作稳定：要求设备通过浪涌（冲击）抗扰度的适应性认证，提供证书证明文件（加盖原厂公章）；（4）★MTBF≥1000000 小时。</w:t>
                  </w:r>
                  <w:r>
                    <w:br/>
                  </w:r>
                  <w:r>
                    <w:rPr>
                      <w:rFonts w:ascii="仿宋_GB2312" w:hAnsi="仿宋_GB2312" w:cs="仿宋_GB2312" w:eastAsia="仿宋_GB2312"/>
                      <w:sz w:val="18"/>
                      <w:color w:val="000000"/>
                    </w:rPr>
                    <w:t>14、售后服务：整机提供≥6年免费上门原厂质保。要求出具所投产品原厂商售后服务承诺函。 要求提供所投产品原厂400技术支持电话；厂家的售后服务经过CCCS钻石五星认证(客户联络中心标准体系认证)，提供证书扫描件。</w:t>
                  </w:r>
                  <w:r>
                    <w:br/>
                  </w:r>
                  <w:r>
                    <w:rPr>
                      <w:rFonts w:ascii="仿宋_GB2312" w:hAnsi="仿宋_GB2312" w:cs="仿宋_GB2312" w:eastAsia="仿宋_GB2312"/>
                      <w:sz w:val="18"/>
                      <w:color w:val="000000"/>
                    </w:rPr>
                    <w:t>15、正版杀毒软件：病毒/木马防护：基于云查杀引擎、鲲鹏引擎、 QVM人工智能引擎、QEX脚本检测引擎、EAV引擎（ELF文件专杀引擎）等多引擎检测架构， 有效遏制内外部威胁，保障国产化终端安全运行。</w:t>
                  </w:r>
                  <w:r>
                    <w:br/>
                  </w:r>
                  <w:r>
                    <w:rPr>
                      <w:rFonts w:ascii="仿宋_GB2312" w:hAnsi="仿宋_GB2312" w:cs="仿宋_GB2312" w:eastAsia="仿宋_GB2312"/>
                      <w:sz w:val="18"/>
                      <w:color w:val="000000"/>
                    </w:rPr>
                    <w:t>桌面安全加固：桌面安全加固能帮助企业的</w:t>
                  </w:r>
                  <w:r>
                    <w:rPr>
                      <w:rFonts w:ascii="仿宋_GB2312" w:hAnsi="仿宋_GB2312" w:cs="仿宋_GB2312" w:eastAsia="仿宋_GB2312"/>
                      <w:sz w:val="18"/>
                      <w:color w:val="000000"/>
                    </w:rPr>
                    <w:t>IT管理员对终端桌面系统的账号密码强度，密码有效期限等进行统一管控，并支持账号安全检测，降低恶意代码进行内部弱口令爆破的风险。</w:t>
                  </w:r>
                  <w:r>
                    <w:br/>
                  </w:r>
                  <w:r>
                    <w:rPr>
                      <w:rFonts w:ascii="仿宋_GB2312" w:hAnsi="仿宋_GB2312" w:cs="仿宋_GB2312" w:eastAsia="仿宋_GB2312"/>
                      <w:sz w:val="18"/>
                      <w:color w:val="000000"/>
                    </w:rPr>
                    <w:t>资产管理：终端资产身份信息自助登记，硬件资产信息采集上报。</w:t>
                  </w:r>
                  <w:r>
                    <w:br/>
                  </w:r>
                  <w:r>
                    <w:rPr>
                      <w:rFonts w:ascii="仿宋_GB2312" w:hAnsi="仿宋_GB2312" w:cs="仿宋_GB2312" w:eastAsia="仿宋_GB2312"/>
                      <w:sz w:val="18"/>
                      <w:color w:val="000000"/>
                    </w:rPr>
                    <w:t>违规外联：对终端外联能力进行探测，发现并处置正在进行违规外联行为。</w:t>
                  </w:r>
                </w:p>
                <w:p>
                  <w:pPr>
                    <w:pStyle w:val="null3"/>
                    <w:jc w:val="left"/>
                  </w:pPr>
                  <w:r>
                    <w:rPr>
                      <w:rFonts w:ascii="仿宋_GB2312" w:hAnsi="仿宋_GB2312" w:cs="仿宋_GB2312" w:eastAsia="仿宋_GB2312"/>
                      <w:sz w:val="18"/>
                      <w:color w:val="000000"/>
                    </w:rPr>
                    <w:t>16、关键部件安全要求：CPU和操作系统等关键部件符合安全可靠测评要求。</w:t>
                  </w:r>
                </w:p>
                <w:p>
                  <w:pPr>
                    <w:pStyle w:val="null3"/>
                    <w:jc w:val="left"/>
                  </w:pPr>
                  <w:r>
                    <w:rPr>
                      <w:rFonts w:ascii="仿宋_GB2312" w:hAnsi="仿宋_GB2312" w:cs="仿宋_GB2312" w:eastAsia="仿宋_GB2312"/>
                      <w:sz w:val="19"/>
                    </w:rPr>
                    <w:t>该产品为核心产品</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国产正版操作系统</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1、CPU支持：支持AMD64、ARM64、Mips64、LoongArch等CPU架构;支持海光、兆芯、鲲鹏、海思麒麟、飞腾、龙芯、瑞芯微等CPU型号，提供截图证明。</w:t>
                  </w:r>
                  <w:r>
                    <w:br/>
                  </w:r>
                  <w:r>
                    <w:rPr>
                      <w:rFonts w:ascii="仿宋_GB2312" w:hAnsi="仿宋_GB2312" w:cs="仿宋_GB2312" w:eastAsia="仿宋_GB2312"/>
                      <w:sz w:val="18"/>
                      <w:color w:val="000000"/>
                    </w:rPr>
                    <w:t>2、产品需满足国家密码管理局商用密码检测中心《密码模块安全技术要求》第二级要求，提供《商用密码产品认证证书》。</w:t>
                  </w:r>
                  <w:r>
                    <w:br/>
                  </w:r>
                  <w:r>
                    <w:rPr>
                      <w:rFonts w:ascii="仿宋_GB2312" w:hAnsi="仿宋_GB2312" w:cs="仿宋_GB2312" w:eastAsia="仿宋_GB2312"/>
                      <w:sz w:val="18"/>
                      <w:color w:val="000000"/>
                    </w:rPr>
                    <w:t>3、青少年上网保护：支持通过自研浏览器上网，拦截网页中恶意弹窗，诱导点击跳转至不良内容、低俗庸俗等有害页面的行为，在线查阅拦截报表统计、用户举报，提供系统功能截图证明及软件著作权登记证书登记证书。</w:t>
                  </w:r>
                  <w:r>
                    <w:br/>
                  </w:r>
                  <w:r>
                    <w:rPr>
                      <w:rFonts w:ascii="仿宋_GB2312" w:hAnsi="仿宋_GB2312" w:cs="仿宋_GB2312" w:eastAsia="仿宋_GB2312"/>
                      <w:sz w:val="18"/>
                      <w:color w:val="000000"/>
                    </w:rPr>
                    <w:t>4、应用商店：操作系统产品具有应用商店，应用商店可针对教育行业提供教育专属应用，并可以提供各地方的智慧教育云平台应用，提供系统截图证明。</w:t>
                  </w:r>
                  <w:r>
                    <w:br/>
                  </w:r>
                  <w:r>
                    <w:rPr>
                      <w:rFonts w:ascii="仿宋_GB2312" w:hAnsi="仿宋_GB2312" w:cs="仿宋_GB2312" w:eastAsia="仿宋_GB2312"/>
                      <w:sz w:val="18"/>
                      <w:color w:val="000000"/>
                    </w:rPr>
                    <w:t>5、浏览器支持：操作系统预装同品牌自研浏览器，同时支持360安全浏览器、奇安信可信浏览器、红莲花安全浏览器等浏览器等，提供浏览器运行截图以及软件著作权登记证书。</w:t>
                  </w:r>
                  <w:r>
                    <w:br/>
                  </w:r>
                  <w:r>
                    <w:rPr>
                      <w:rFonts w:ascii="仿宋_GB2312" w:hAnsi="仿宋_GB2312" w:cs="仿宋_GB2312" w:eastAsia="仿宋_GB2312"/>
                      <w:sz w:val="18"/>
                      <w:color w:val="000000"/>
                    </w:rPr>
                    <w:t>6、开发者模式：为保障系统不被误操作损坏，保障系统安全，操作系统产品需支持开发者模式的用户鉴权能力，用以限制root、sudo等高级权限和安装未签名的软件，提供功能截图证明。</w:t>
                  </w:r>
                  <w:r>
                    <w:br/>
                  </w:r>
                  <w:r>
                    <w:rPr>
                      <w:rFonts w:ascii="仿宋_GB2312" w:hAnsi="仿宋_GB2312" w:cs="仿宋_GB2312" w:eastAsia="仿宋_GB2312"/>
                      <w:sz w:val="18"/>
                      <w:color w:val="000000"/>
                    </w:rPr>
                    <w:t>7、系统安全中心深度集成杀毒引擎，用户无需单独下载，至少提供两个杀毒库供用户自行选择（提供安全中心杀毒引擎截图证明）。</w:t>
                  </w:r>
                  <w:r>
                    <w:br/>
                  </w:r>
                  <w:r>
                    <w:rPr>
                      <w:rFonts w:ascii="仿宋_GB2312" w:hAnsi="仿宋_GB2312" w:cs="仿宋_GB2312" w:eastAsia="仿宋_GB2312"/>
                      <w:sz w:val="18"/>
                      <w:color w:val="000000"/>
                    </w:rPr>
                    <w:t>8、磁盘检查：系统支持磁盘健康检测、磁盘分区表错误检测、磁盘坏道修复检测，提供功能截图证明。</w:t>
                  </w:r>
                  <w:r>
                    <w:br/>
                  </w:r>
                  <w:r>
                    <w:rPr>
                      <w:rFonts w:ascii="仿宋_GB2312" w:hAnsi="仿宋_GB2312" w:cs="仿宋_GB2312" w:eastAsia="仿宋_GB2312"/>
                      <w:sz w:val="18"/>
                      <w:color w:val="000000"/>
                    </w:rPr>
                    <w:t>9、备份与恢复：系统支持保障安全升级的自动主备双根分区以及备份分区，并且在系统中有双根分区和备份分区标识（如：RootA和RootB、Recovery/Backup标识符），在系统升级后支持回滚、备份还原，并保留用户个人数据，提供功能截图证明。</w:t>
                  </w:r>
                  <w:r>
                    <w:br/>
                  </w:r>
                  <w:r>
                    <w:rPr>
                      <w:rFonts w:ascii="仿宋_GB2312" w:hAnsi="仿宋_GB2312" w:cs="仿宋_GB2312" w:eastAsia="仿宋_GB2312"/>
                      <w:sz w:val="18"/>
                      <w:color w:val="000000"/>
                    </w:rPr>
                    <w:t>10、提供操作系统核心组件的完整性保护功能，当受保护文件被破坏时，会自动执行禁止或警告策略。提供系统功能截图证明。</w:t>
                  </w:r>
                  <w:r>
                    <w:br/>
                  </w:r>
                  <w:r>
                    <w:rPr>
                      <w:rFonts w:ascii="仿宋_GB2312" w:hAnsi="仿宋_GB2312" w:cs="仿宋_GB2312" w:eastAsia="仿宋_GB2312"/>
                      <w:sz w:val="18"/>
                      <w:color w:val="000000"/>
                    </w:rPr>
                    <w:t>11、软件签名机制：系统具备应用软件数字签名的安全保护机制，确保安装应用软件来源可信，未签名的软件包无法正安装成功，提供功能截图证明。</w:t>
                  </w:r>
                  <w:r>
                    <w:br/>
                  </w:r>
                  <w:r>
                    <w:rPr>
                      <w:rFonts w:ascii="仿宋_GB2312" w:hAnsi="仿宋_GB2312" w:cs="仿宋_GB2312" w:eastAsia="仿宋_GB2312"/>
                      <w:sz w:val="18"/>
                      <w:color w:val="000000"/>
                    </w:rPr>
                    <w:t>12、系统安装：集成自研系统安装器，具备中文图形化安装引导界面；支持全盘、手动、无人值守等多种安装方式；支持本地存储介质、网络方式等多种安装方式；支持光盘、U盘、PXE安装。</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计算机教室系统软件</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至少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需提供软件功能截图，并加盖原厂商公章）</w:t>
                  </w:r>
                  <w:r>
                    <w:br/>
                  </w:r>
                  <w:r>
                    <w:rPr>
                      <w:rFonts w:ascii="仿宋_GB2312" w:hAnsi="仿宋_GB2312" w:cs="仿宋_GB2312" w:eastAsia="仿宋_GB2312"/>
                      <w:sz w:val="18"/>
                      <w:color w:val="000000"/>
                    </w:rPr>
                    <w:t>2、软件提供标准安装方式以外，支持免显卡驱动下的无感安装方式，能够提供无感安装文件；</w:t>
                  </w:r>
                  <w:r>
                    <w:br/>
                  </w:r>
                  <w:r>
                    <w:rPr>
                      <w:rFonts w:ascii="仿宋_GB2312" w:hAnsi="仿宋_GB2312" w:cs="仿宋_GB2312" w:eastAsia="仿宋_GB2312"/>
                      <w:sz w:val="18"/>
                      <w:color w:val="000000"/>
                    </w:rPr>
                    <w:t>3、全面支持Windows系列操作系统，包括Windows 11（32位、64位）操作系统、支持MAC系统及众多Linux发行版本，兼容虚拟机。</w:t>
                  </w:r>
                  <w:r>
                    <w:br/>
                  </w:r>
                  <w:r>
                    <w:rPr>
                      <w:rFonts w:ascii="仿宋_GB2312" w:hAnsi="仿宋_GB2312" w:cs="仿宋_GB2312" w:eastAsia="仿宋_GB2312"/>
                      <w:sz w:val="18"/>
                      <w:color w:val="000000"/>
                    </w:rPr>
                    <w:t>▲4、支持多达24种语言界面版本，满足不同外语教师灵活使用软件。（需提供相关证明材料，并加盖原厂商公章）</w:t>
                  </w:r>
                  <w:r>
                    <w:br/>
                  </w:r>
                  <w:r>
                    <w:rPr>
                      <w:rFonts w:ascii="仿宋_GB2312" w:hAnsi="仿宋_GB2312" w:cs="仿宋_GB2312" w:eastAsia="仿宋_GB2312"/>
                      <w:sz w:val="18"/>
                      <w:color w:val="000000"/>
                    </w:rPr>
                    <w:t>▲5、软件的加密方式支持：加密狗加密、服务器端授权、在线序列号加密、离线文件加密、自定义短码激活、mac地址预置激活等多种方式的激活方式。（需提供软件功能截图，并加盖原厂商公章）</w:t>
                  </w:r>
                  <w:r>
                    <w:br/>
                  </w:r>
                  <w:r>
                    <w:rPr>
                      <w:rFonts w:ascii="仿宋_GB2312" w:hAnsi="仿宋_GB2312" w:cs="仿宋_GB2312" w:eastAsia="仿宋_GB2312"/>
                      <w:sz w:val="18"/>
                      <w:color w:val="000000"/>
                    </w:rPr>
                    <w:t>6、屏幕广播：将教师机屏幕和教师讲话实时广播给单一、部分或全体学生，可选择全屏或窗口方式。窗口模式下或教师机与学生机分辨率不同情况下，学生机可以以“缩放模式”、“平移”或者“智能滚动”的窗口方式接收广播，广播窗口所在的屏幕位置有“居中”、“偏右”、“偏左”三种方式选择，此时学生可跟着教师操作，边看边练，以增加教学的直观性；支持教师根据需要选择屏幕的某个部分广播给学生，给教师留有一定的私人空间；屏幕广播的同时，支持教师指定学生演示教师机屏幕；广播多媒体课件，可使用屏幕笔添加批注，广播同时可进行屏幕录制; 支持教师选定本机的全屏画面或者屏幕的任意区域画面广播给单一、部分或全体学生，支持窗口接收。</w:t>
                  </w:r>
                  <w:r>
                    <w:br/>
                  </w:r>
                  <w:r>
                    <w:rPr>
                      <w:rFonts w:ascii="仿宋_GB2312" w:hAnsi="仿宋_GB2312" w:cs="仿宋_GB2312" w:eastAsia="仿宋_GB2312"/>
                      <w:sz w:val="18"/>
                      <w:color w:val="000000"/>
                    </w:rPr>
                    <w:t>7、网络影院：实现教师机播放的视频同步广播到学生机，支持几乎所有常见的媒体音视频格式， Windows Media文件，VCD文件，DVD文件，Real文件，AVI文件，MP3等主流文件格式，支持720p、1080p的高清视频。</w:t>
                  </w:r>
                  <w:r>
                    <w:br/>
                  </w:r>
                  <w:r>
                    <w:rPr>
                      <w:rFonts w:ascii="仿宋_GB2312" w:hAnsi="仿宋_GB2312" w:cs="仿宋_GB2312" w:eastAsia="仿宋_GB2312"/>
                      <w:sz w:val="18"/>
                      <w:color w:val="000000"/>
                    </w:rPr>
                    <w:t>8、视频直播：通过USB摄像头将教师的画面实时广播到学生机，达到更形象的教学效果，具有引导客户选择视频设备的提示画面，以便客户快速完成摄像头设备的设置。</w:t>
                  </w:r>
                  <w:r>
                    <w:br/>
                  </w:r>
                  <w:r>
                    <w:rPr>
                      <w:rFonts w:ascii="仿宋_GB2312" w:hAnsi="仿宋_GB2312" w:cs="仿宋_GB2312" w:eastAsia="仿宋_GB2312"/>
                      <w:sz w:val="18"/>
                      <w:color w:val="000000"/>
                    </w:rPr>
                    <w:t>9、学生演示：教师选定一台学生机作为示范，由此学生代替教师进行示范教学。</w:t>
                  </w:r>
                  <w:r>
                    <w:br/>
                  </w:r>
                  <w:r>
                    <w:rPr>
                      <w:rFonts w:ascii="仿宋_GB2312" w:hAnsi="仿宋_GB2312" w:cs="仿宋_GB2312" w:eastAsia="仿宋_GB2312"/>
                      <w:sz w:val="18"/>
                      <w:color w:val="000000"/>
                    </w:rPr>
                    <w:t>10、分组教学：通过分组教学，将学生分成几个组进行合作学习。小组长可使用多种功能来辅导同伴，例如：广播教学、监视、文件分发和网络影院。</w:t>
                  </w:r>
                  <w:r>
                    <w:br/>
                  </w:r>
                  <w:r>
                    <w:rPr>
                      <w:rFonts w:ascii="仿宋_GB2312" w:hAnsi="仿宋_GB2312" w:cs="仿宋_GB2312" w:eastAsia="仿宋_GB2312"/>
                      <w:sz w:val="18"/>
                      <w:color w:val="000000"/>
                    </w:rPr>
                    <w:t>11、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r>
                    <w:br/>
                  </w:r>
                  <w:r>
                    <w:rPr>
                      <w:rFonts w:ascii="仿宋_GB2312" w:hAnsi="仿宋_GB2312" w:cs="仿宋_GB2312" w:eastAsia="仿宋_GB2312"/>
                      <w:sz w:val="18"/>
                      <w:color w:val="000000"/>
                    </w:rPr>
                    <w:t>12、支持文件分发和文件收集功能；支持拖拽添加文件，可限制学生提交文件的数目和大小。</w:t>
                  </w:r>
                  <w:r>
                    <w:br/>
                  </w:r>
                  <w:r>
                    <w:rPr>
                      <w:rFonts w:ascii="仿宋_GB2312" w:hAnsi="仿宋_GB2312" w:cs="仿宋_GB2312" w:eastAsia="仿宋_GB2312"/>
                      <w:sz w:val="18"/>
                      <w:color w:val="000000"/>
                    </w:rPr>
                    <w:t>13、屏幕监视：教师机可以监视单一、部分、全体学生机的屏幕，教师机每屏可监视多个学生屏幕。可以控制教师机监控的同屏幕各窗口间、屏幕与屏幕间的切换速度。可手动或自动循环监视。</w:t>
                  </w:r>
                  <w:r>
                    <w:br/>
                  </w:r>
                  <w:r>
                    <w:rPr>
                      <w:rFonts w:ascii="仿宋_GB2312" w:hAnsi="仿宋_GB2312" w:cs="仿宋_GB2312" w:eastAsia="仿宋_GB2312"/>
                      <w:sz w:val="18"/>
                      <w:color w:val="000000"/>
                    </w:rPr>
                    <w:t>14、课堂策略控制：在课堂上，教师可以设置上网策略、应用程序策略、USB、CD使用、打印限制策略，对不同学生设置不同策略，查看当前的学生策略，上网限制支持多浏览器，IE、Chrome、QQ、Firefox、360等都可以限制。</w:t>
                  </w:r>
                  <w:r>
                    <w:br/>
                  </w:r>
                  <w:r>
                    <w:rPr>
                      <w:rFonts w:ascii="仿宋_GB2312" w:hAnsi="仿宋_GB2312" w:cs="仿宋_GB2312" w:eastAsia="仿宋_GB2312"/>
                      <w:sz w:val="18"/>
                      <w:color w:val="000000"/>
                    </w:rPr>
                    <w:t>▲15、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需提供相关证明材料，并加盖原厂商公章）</w:t>
                  </w:r>
                  <w:r>
                    <w:br/>
                  </w:r>
                  <w:r>
                    <w:rPr>
                      <w:rFonts w:ascii="仿宋_GB2312" w:hAnsi="仿宋_GB2312" w:cs="仿宋_GB2312" w:eastAsia="仿宋_GB2312"/>
                      <w:sz w:val="18"/>
                      <w:color w:val="000000"/>
                    </w:rPr>
                    <w:t>16、抢答和竞赛：作答正确给予“星星”奖励，星星奖励不设上限。答题方式有：口头回答、文字输入作答、学生桌面演示作答。</w:t>
                  </w:r>
                  <w:r>
                    <w:br/>
                  </w:r>
                  <w:r>
                    <w:rPr>
                      <w:rFonts w:ascii="仿宋_GB2312" w:hAnsi="仿宋_GB2312" w:cs="仿宋_GB2312" w:eastAsia="仿宋_GB2312"/>
                      <w:sz w:val="18"/>
                      <w:color w:val="000000"/>
                    </w:rPr>
                    <w:t>17、随堂小考：教师启动快速的单题考试（可在试题中添加图片）或随堂调查，限定考试时间，学生答题后立即给出结果，结果显示学生答案柱状图分析和答题时间，可作为抢答依据。</w:t>
                  </w:r>
                  <w:r>
                    <w:br/>
                  </w:r>
                  <w:r>
                    <w:rPr>
                      <w:rFonts w:ascii="仿宋_GB2312" w:hAnsi="仿宋_GB2312" w:cs="仿宋_GB2312" w:eastAsia="仿宋_GB2312"/>
                      <w:sz w:val="18"/>
                      <w:color w:val="000000"/>
                    </w:rPr>
                    <w:t>18、标准化考试：教师将试卷分发给学生即可开始考试，教师导入word、ppt、excel、pdf等文档类型的考试内容共享给学生，直接生成答题卡用于学生作答，包含多种不同的题型：多选题，判断题，填空题和论述题等。考试过程中，可以看到学生答题的进度，答题情况。考试过程中可以教师如有问题补充，可暂停考试，在特殊情况下，可以暂挂考试，下次启动系统后可继续考试；考试过程中如有断电、关机等意外情况学生机可断线重连，考试结束后学生可提交或时间到自动提交。自动评分，柱状图分析统计结果，将评分结果发送给学生，考试结果统一导出 为.html/xml 形式，方便数据后期的整合利用。</w:t>
                  </w:r>
                  <w:r>
                    <w:br/>
                  </w:r>
                  <w:r>
                    <w:rPr>
                      <w:rFonts w:ascii="仿宋_GB2312" w:hAnsi="仿宋_GB2312" w:cs="仿宋_GB2312" w:eastAsia="仿宋_GB2312"/>
                      <w:sz w:val="18"/>
                      <w:color w:val="000000"/>
                    </w:rPr>
                    <w:t>19、学生端属性查看：教师可以获取学生端计算机的名称、登录名和其它常用信息，并可以列出学生端的应用程序、进程和进程 ID，教师还可以远程终止学生端的进程。</w:t>
                  </w:r>
                  <w:r>
                    <w:br/>
                  </w:r>
                  <w:r>
                    <w:rPr>
                      <w:rFonts w:ascii="仿宋_GB2312" w:hAnsi="仿宋_GB2312" w:cs="仿宋_GB2312" w:eastAsia="仿宋_GB2312"/>
                      <w:sz w:val="18"/>
                      <w:color w:val="000000"/>
                    </w:rPr>
                    <w:t>20、班级模型：有单独的管理界面，实现对班级模型的统一管理，并能够导入、导出，调用不同网络教室中的班级模型。</w:t>
                  </w:r>
                  <w:r>
                    <w:br/>
                  </w:r>
                  <w:r>
                    <w:rPr>
                      <w:rFonts w:ascii="仿宋_GB2312" w:hAnsi="仿宋_GB2312" w:cs="仿宋_GB2312" w:eastAsia="仿宋_GB2312"/>
                      <w:sz w:val="18"/>
                      <w:color w:val="000000"/>
                    </w:rPr>
                    <w:t>21、签到：提供学生名单管理工具，为软件和考试模块提供实名验证。提供点名功能，支持保留学生多次登录记录、考勤统计、签到信息的导出与对比。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18"/>
                      <w:color w:val="000000"/>
                    </w:rPr>
                    <w:t>22、弹幕互动：教师可开启弹幕功能，教师和学生所发送的文字消息将以全屏弹幕的形式滚动呈现。</w:t>
                  </w:r>
                  <w:r>
                    <w:br/>
                  </w:r>
                  <w:r>
                    <w:rPr>
                      <w:rFonts w:ascii="仿宋_GB2312" w:hAnsi="仿宋_GB2312" w:cs="仿宋_GB2312" w:eastAsia="仿宋_GB2312"/>
                      <w:sz w:val="18"/>
                      <w:color w:val="000000"/>
                    </w:rPr>
                    <w:t>23、具备语音广播、语音对讲、电子点名、远程开关机、远程命令、远程设置、远程登录、支持远程为学生端安装/卸载应用程序、登录windows前接受广播、请求帮助、举手、发言、自动锁屏、防杀进程、黑屏肃静等功能。</w:t>
                  </w:r>
                  <w:r>
                    <w:br/>
                  </w:r>
                  <w:r>
                    <w:rPr>
                      <w:rFonts w:ascii="仿宋_GB2312" w:hAnsi="仿宋_GB2312" w:cs="仿宋_GB2312" w:eastAsia="仿宋_GB2312"/>
                      <w:sz w:val="18"/>
                      <w:color w:val="000000"/>
                    </w:rPr>
                    <w:t>▲24.提供来源渠道合法证明文件（包括但不限于销售协议、代理协议、原厂授权等）。</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学生桌椅</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1.整体选用优质冷轧钢板作为原材料，板材厚度达到1.0~1.2mm；</w:t>
                  </w:r>
                  <w:r>
                    <w:br/>
                  </w:r>
                  <w:r>
                    <w:rPr>
                      <w:rFonts w:ascii="仿宋_GB2312" w:hAnsi="仿宋_GB2312" w:cs="仿宋_GB2312" w:eastAsia="仿宋_GB2312"/>
                      <w:sz w:val="18"/>
                      <w:color w:val="000000"/>
                    </w:rPr>
                    <w:t>2.采用全自动数控机床裁板，二氧化碳保护焊工艺制作，表面经酸洗、磷化防腐防锈处理后防静电喷塑，产品耐腐蚀性强，经久耐用;</w:t>
                  </w:r>
                  <w:r>
                    <w:br/>
                  </w:r>
                  <w:r>
                    <w:rPr>
                      <w:rFonts w:ascii="仿宋_GB2312" w:hAnsi="仿宋_GB2312" w:cs="仿宋_GB2312" w:eastAsia="仿宋_GB2312"/>
                      <w:sz w:val="18"/>
                      <w:color w:val="000000"/>
                    </w:rPr>
                    <w:t>二、外形尺寸：长</w:t>
                  </w:r>
                  <w:r>
                    <w:rPr>
                      <w:rFonts w:ascii="仿宋_GB2312" w:hAnsi="仿宋_GB2312" w:cs="仿宋_GB2312" w:eastAsia="仿宋_GB2312"/>
                      <w:sz w:val="18"/>
                      <w:color w:val="000000"/>
                    </w:rPr>
                    <w:t>1600mm宽600mm高750mm；</w:t>
                  </w:r>
                  <w:r>
                    <w:br/>
                  </w:r>
                  <w:r>
                    <w:rPr>
                      <w:rFonts w:ascii="仿宋_GB2312" w:hAnsi="仿宋_GB2312" w:cs="仿宋_GB2312" w:eastAsia="仿宋_GB2312"/>
                      <w:sz w:val="18"/>
                      <w:color w:val="000000"/>
                    </w:rPr>
                    <w:t>三、设计优势：</w:t>
                  </w:r>
                  <w:r>
                    <w:br/>
                  </w:r>
                  <w:r>
                    <w:rPr>
                      <w:rFonts w:ascii="仿宋_GB2312" w:hAnsi="仿宋_GB2312" w:cs="仿宋_GB2312" w:eastAsia="仿宋_GB2312"/>
                      <w:sz w:val="18"/>
                      <w:color w:val="000000"/>
                    </w:rPr>
                    <w:t>1.采用人体工程学原理设计：产品能同时隐藏：显示器+键盘+鼠标。</w:t>
                  </w:r>
                  <w:r>
                    <w:br/>
                  </w:r>
                  <w:r>
                    <w:rPr>
                      <w:rFonts w:ascii="仿宋_GB2312" w:hAnsi="仿宋_GB2312" w:cs="仿宋_GB2312" w:eastAsia="仿宋_GB2312"/>
                      <w:sz w:val="18"/>
                      <w:color w:val="000000"/>
                    </w:rPr>
                    <w:t>2.左右侧板外侧采用从上到下R10圆弧过渡，防止对学生造成不必要的伤害，工艺美观大方。</w:t>
                  </w:r>
                  <w:r>
                    <w:br/>
                  </w:r>
                  <w:r>
                    <w:rPr>
                      <w:rFonts w:ascii="仿宋_GB2312" w:hAnsi="仿宋_GB2312" w:cs="仿宋_GB2312" w:eastAsia="仿宋_GB2312"/>
                      <w:sz w:val="18"/>
                      <w:color w:val="000000"/>
                    </w:rPr>
                    <w:t>3.具有符合国家安全标准的隐藏式组合布线系统，使布线规范整齐。</w:t>
                  </w:r>
                  <w:r>
                    <w:br/>
                  </w:r>
                  <w:r>
                    <w:rPr>
                      <w:rFonts w:ascii="仿宋_GB2312" w:hAnsi="仿宋_GB2312" w:cs="仿宋_GB2312" w:eastAsia="仿宋_GB2312"/>
                      <w:sz w:val="18"/>
                      <w:color w:val="000000"/>
                    </w:rPr>
                    <w:t>4.整体采用一把锁控制,使用方便，利于管理。</w:t>
                  </w:r>
                  <w:r>
                    <w:br/>
                  </w:r>
                  <w:r>
                    <w:rPr>
                      <w:rFonts w:ascii="仿宋_GB2312" w:hAnsi="仿宋_GB2312" w:cs="仿宋_GB2312" w:eastAsia="仿宋_GB2312"/>
                      <w:sz w:val="18"/>
                      <w:color w:val="000000"/>
                    </w:rPr>
                    <w:t>5.结构设计合理：一侧留有主机托架，,加厚导轨抽屉式键盘设计，不用再担心键盘导轨会经常损坏、</w:t>
                  </w:r>
                  <w:r>
                    <w:br/>
                  </w:r>
                  <w:r>
                    <w:rPr>
                      <w:rFonts w:ascii="仿宋_GB2312" w:hAnsi="仿宋_GB2312" w:cs="仿宋_GB2312" w:eastAsia="仿宋_GB2312"/>
                      <w:sz w:val="18"/>
                      <w:color w:val="000000"/>
                    </w:rPr>
                    <w:t>6.台面可安装15-23寸不同规格液晶显示器；适用于需要用电脑的电脑室或语音室使用。</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教师桌椅</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教师桌椅：尺寸</w:t>
                  </w:r>
                  <w:r>
                    <w:rPr>
                      <w:rFonts w:ascii="仿宋_GB2312" w:hAnsi="仿宋_GB2312" w:cs="仿宋_GB2312" w:eastAsia="仿宋_GB2312"/>
                      <w:sz w:val="18"/>
                      <w:color w:val="000000"/>
                    </w:rPr>
                    <w:t>1400*600*750，材质同学生桌，含弓形网面座椅。</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产品类型：千兆以太网交换机</w:t>
                  </w:r>
                  <w:r>
                    <w:br/>
                  </w:r>
                  <w:r>
                    <w:rPr>
                      <w:rFonts w:ascii="仿宋_GB2312" w:hAnsi="仿宋_GB2312" w:cs="仿宋_GB2312" w:eastAsia="仿宋_GB2312"/>
                      <w:sz w:val="18"/>
                      <w:color w:val="000000"/>
                    </w:rPr>
                    <w:t>应用层级：三层</w:t>
                  </w:r>
                  <w:r>
                    <w:br/>
                  </w:r>
                  <w:r>
                    <w:rPr>
                      <w:rFonts w:ascii="仿宋_GB2312" w:hAnsi="仿宋_GB2312" w:cs="仿宋_GB2312" w:eastAsia="仿宋_GB2312"/>
                      <w:sz w:val="18"/>
                      <w:color w:val="000000"/>
                    </w:rPr>
                    <w:t>传输速率：</w:t>
                  </w:r>
                  <w:r>
                    <w:rPr>
                      <w:rFonts w:ascii="仿宋_GB2312" w:hAnsi="仿宋_GB2312" w:cs="仿宋_GB2312" w:eastAsia="仿宋_GB2312"/>
                      <w:sz w:val="18"/>
                      <w:color w:val="000000"/>
                    </w:rPr>
                    <w:t>10/100/1000Mbps</w:t>
                  </w:r>
                  <w:r>
                    <w:br/>
                  </w:r>
                  <w:r>
                    <w:rPr>
                      <w:rFonts w:ascii="仿宋_GB2312" w:hAnsi="仿宋_GB2312" w:cs="仿宋_GB2312" w:eastAsia="仿宋_GB2312"/>
                      <w:sz w:val="18"/>
                      <w:color w:val="000000"/>
                    </w:rPr>
                    <w:t>交换方式：存储</w:t>
                  </w:r>
                  <w:r>
                    <w:rPr>
                      <w:rFonts w:ascii="仿宋_GB2312" w:hAnsi="仿宋_GB2312" w:cs="仿宋_GB2312" w:eastAsia="仿宋_GB2312"/>
                      <w:sz w:val="18"/>
                      <w:color w:val="000000"/>
                    </w:rPr>
                    <w:t>-转发</w:t>
                  </w:r>
                  <w:r>
                    <w:br/>
                  </w:r>
                  <w:r>
                    <w:rPr>
                      <w:rFonts w:ascii="仿宋_GB2312" w:hAnsi="仿宋_GB2312" w:cs="仿宋_GB2312" w:eastAsia="仿宋_GB2312"/>
                      <w:sz w:val="18"/>
                      <w:color w:val="000000"/>
                    </w:rPr>
                    <w:t>背板带宽：</w:t>
                  </w:r>
                  <w:r>
                    <w:rPr>
                      <w:rFonts w:ascii="仿宋_GB2312" w:hAnsi="仿宋_GB2312" w:cs="仿宋_GB2312" w:eastAsia="仿宋_GB2312"/>
                      <w:sz w:val="18"/>
                      <w:color w:val="000000"/>
                    </w:rPr>
                    <w:t>336Gbps/3.36Tbps</w:t>
                  </w:r>
                  <w:r>
                    <w:br/>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96/126Mpps</w:t>
                  </w:r>
                  <w:r>
                    <w:br/>
                  </w:r>
                  <w:r>
                    <w:rPr>
                      <w:rFonts w:ascii="仿宋_GB2312" w:hAnsi="仿宋_GB2312" w:cs="仿宋_GB2312" w:eastAsia="仿宋_GB2312"/>
                      <w:sz w:val="18"/>
                      <w:color w:val="000000"/>
                    </w:rPr>
                    <w:t>MAC地址表：16K</w:t>
                  </w:r>
                  <w:r>
                    <w:br/>
                  </w:r>
                  <w:r>
                    <w:rPr>
                      <w:rFonts w:ascii="仿宋_GB2312" w:hAnsi="仿宋_GB2312" w:cs="仿宋_GB2312" w:eastAsia="仿宋_GB2312"/>
                      <w:sz w:val="18"/>
                      <w:color w:val="000000"/>
                    </w:rPr>
                    <w:t>端口数量：</w:t>
                  </w:r>
                  <w:r>
                    <w:rPr>
                      <w:rFonts w:ascii="仿宋_GB2312" w:hAnsi="仿宋_GB2312" w:cs="仿宋_GB2312" w:eastAsia="仿宋_GB2312"/>
                      <w:sz w:val="18"/>
                      <w:color w:val="000000"/>
                    </w:rPr>
                    <w:t>28个</w:t>
                  </w:r>
                  <w:r>
                    <w:br/>
                  </w:r>
                  <w:r>
                    <w:rPr>
                      <w:rFonts w:ascii="仿宋_GB2312" w:hAnsi="仿宋_GB2312" w:cs="仿宋_GB2312" w:eastAsia="仿宋_GB2312"/>
                      <w:sz w:val="18"/>
                      <w:color w:val="000000"/>
                    </w:rPr>
                    <w:t>端口描述：</w:t>
                  </w:r>
                  <w:r>
                    <w:rPr>
                      <w:rFonts w:ascii="仿宋_GB2312" w:hAnsi="仿宋_GB2312" w:cs="仿宋_GB2312" w:eastAsia="仿宋_GB2312"/>
                      <w:sz w:val="18"/>
                      <w:color w:val="000000"/>
                    </w:rPr>
                    <w:t>24个10/100/1000BASE-T以太网端口，4个千兆SFP，含 1个交流电源</w:t>
                  </w:r>
                  <w:r>
                    <w:br/>
                  </w:r>
                  <w:r>
                    <w:rPr>
                      <w:rFonts w:ascii="仿宋_GB2312" w:hAnsi="仿宋_GB2312" w:cs="仿宋_GB2312" w:eastAsia="仿宋_GB2312"/>
                      <w:sz w:val="18"/>
                      <w:color w:val="000000"/>
                    </w:rPr>
                    <w:t>传输模式：全双工</w:t>
                  </w:r>
                  <w:r>
                    <w:rPr>
                      <w:rFonts w:ascii="仿宋_GB2312" w:hAnsi="仿宋_GB2312" w:cs="仿宋_GB2312" w:eastAsia="仿宋_GB2312"/>
                      <w:sz w:val="18"/>
                      <w:color w:val="000000"/>
                    </w:rPr>
                    <w:t>/半双工自适应</w:t>
                  </w:r>
                  <w:r>
                    <w:br/>
                  </w:r>
                  <w:r>
                    <w:rPr>
                      <w:rFonts w:ascii="仿宋_GB2312" w:hAnsi="仿宋_GB2312" w:cs="仿宋_GB2312" w:eastAsia="仿宋_GB2312"/>
                      <w:sz w:val="18"/>
                      <w:color w:val="000000"/>
                    </w:rPr>
                    <w:t>管理和维护：支持智能堆叠</w:t>
                  </w:r>
                  <w:r>
                    <w:rPr>
                      <w:rFonts w:ascii="仿宋_GB2312" w:hAnsi="仿宋_GB2312" w:cs="仿宋_GB2312" w:eastAsia="仿宋_GB2312"/>
                      <w:sz w:val="18"/>
                      <w:color w:val="000000"/>
                    </w:rPr>
                    <w:t>iStack、支持Telnet远程配置、维护、支持基于 Netconf/Yang 的云管理</w:t>
                  </w:r>
                  <w:r>
                    <w:br/>
                  </w:r>
                  <w:r>
                    <w:rPr>
                      <w:rFonts w:ascii="仿宋_GB2312" w:hAnsi="仿宋_GB2312" w:cs="仿宋_GB2312" w:eastAsia="仿宋_GB2312"/>
                      <w:sz w:val="18"/>
                      <w:color w:val="000000"/>
                    </w:rPr>
                    <w:t>VLAN：支持4K个VLAN、支持Guest VLAN、Voice VLAN、支持GVRP协议、支持MUX VLAN功能、支持基于MAC/协议/IP子网/策略/端口的VLAN、支持1:1和N:1 VLAN Mapping功能</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插座</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电插板</w:t>
                  </w:r>
                  <w:r>
                    <w:rPr>
                      <w:rFonts w:ascii="仿宋_GB2312" w:hAnsi="仿宋_GB2312" w:cs="仿宋_GB2312" w:eastAsia="仿宋_GB2312"/>
                      <w:sz w:val="18"/>
                      <w:color w:val="000000"/>
                    </w:rPr>
                    <w:t>8位总控开关全长3米，新国标防过载;额定电压:250V</w:t>
                  </w:r>
                  <w:r>
                    <w:br/>
                  </w:r>
                  <w:r>
                    <w:rPr>
                      <w:rFonts w:ascii="仿宋_GB2312" w:hAnsi="仿宋_GB2312" w:cs="仿宋_GB2312" w:eastAsia="仿宋_GB2312"/>
                      <w:sz w:val="18"/>
                      <w:color w:val="000000"/>
                    </w:rPr>
                    <w:t>最大电流</w:t>
                  </w:r>
                  <w:r>
                    <w:rPr>
                      <w:rFonts w:ascii="仿宋_GB2312" w:hAnsi="仿宋_GB2312" w:cs="仿宋_GB2312" w:eastAsia="仿宋_GB2312"/>
                      <w:sz w:val="18"/>
                      <w:color w:val="000000"/>
                    </w:rPr>
                    <w:t>:10A</w:t>
                  </w:r>
                  <w:r>
                    <w:br/>
                  </w:r>
                  <w:r>
                    <w:rPr>
                      <w:rFonts w:ascii="仿宋_GB2312" w:hAnsi="仿宋_GB2312" w:cs="仿宋_GB2312" w:eastAsia="仿宋_GB2312"/>
                      <w:sz w:val="18"/>
                      <w:color w:val="000000"/>
                    </w:rPr>
                    <w:t>最大功率</w:t>
                  </w:r>
                  <w:r>
                    <w:rPr>
                      <w:rFonts w:ascii="仿宋_GB2312" w:hAnsi="仿宋_GB2312" w:cs="仿宋_GB2312" w:eastAsia="仿宋_GB2312"/>
                      <w:sz w:val="18"/>
                      <w:color w:val="000000"/>
                    </w:rPr>
                    <w:t>:2500W</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电源线</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护套材料：聚氯乙烯</w:t>
                  </w:r>
                  <w:r>
                    <w:rPr>
                      <w:rFonts w:ascii="仿宋_GB2312" w:hAnsi="仿宋_GB2312" w:cs="仿宋_GB2312" w:eastAsia="仿宋_GB2312"/>
                      <w:sz w:val="18"/>
                      <w:color w:val="000000"/>
                    </w:rPr>
                    <w:t>(PVC)</w:t>
                  </w:r>
                  <w:r>
                    <w:br/>
                  </w:r>
                  <w:r>
                    <w:rPr>
                      <w:rFonts w:ascii="仿宋_GB2312" w:hAnsi="仿宋_GB2312" w:cs="仿宋_GB2312" w:eastAsia="仿宋_GB2312"/>
                      <w:sz w:val="18"/>
                      <w:color w:val="000000"/>
                    </w:rPr>
                    <w:t>屏蔽类型：非屏蔽</w:t>
                  </w:r>
                  <w:r>
                    <w:br/>
                  </w:r>
                  <w:r>
                    <w:rPr>
                      <w:rFonts w:ascii="仿宋_GB2312" w:hAnsi="仿宋_GB2312" w:cs="仿宋_GB2312" w:eastAsia="仿宋_GB2312"/>
                      <w:sz w:val="18"/>
                      <w:color w:val="000000"/>
                    </w:rPr>
                    <w:t>绝缘材料：聚氯乙烯</w:t>
                  </w:r>
                  <w:r>
                    <w:br/>
                  </w:r>
                  <w:r>
                    <w:rPr>
                      <w:rFonts w:ascii="仿宋_GB2312" w:hAnsi="仿宋_GB2312" w:cs="仿宋_GB2312" w:eastAsia="仿宋_GB2312"/>
                      <w:sz w:val="18"/>
                      <w:color w:val="000000"/>
                    </w:rPr>
                    <w:t>导体结构：软结构</w:t>
                  </w:r>
                  <w:r>
                    <w:br/>
                  </w:r>
                  <w:r>
                    <w:rPr>
                      <w:rFonts w:ascii="仿宋_GB2312" w:hAnsi="仿宋_GB2312" w:cs="仿宋_GB2312" w:eastAsia="仿宋_GB2312"/>
                      <w:sz w:val="18"/>
                      <w:color w:val="000000"/>
                    </w:rPr>
                    <w:t>导体材质：铜</w:t>
                  </w:r>
                  <w:r>
                    <w:br/>
                  </w:r>
                  <w:r>
                    <w:rPr>
                      <w:rFonts w:ascii="仿宋_GB2312" w:hAnsi="仿宋_GB2312" w:cs="仿宋_GB2312" w:eastAsia="仿宋_GB2312"/>
                      <w:sz w:val="18"/>
                      <w:color w:val="000000"/>
                    </w:rPr>
                    <w:t>品名：</w:t>
                  </w:r>
                  <w:r>
                    <w:rPr>
                      <w:rFonts w:ascii="仿宋_GB2312" w:hAnsi="仿宋_GB2312" w:cs="仿宋_GB2312" w:eastAsia="仿宋_GB2312"/>
                      <w:sz w:val="18"/>
                      <w:color w:val="000000"/>
                    </w:rPr>
                    <w:t>RVV</w:t>
                  </w:r>
                  <w:r>
                    <w:br/>
                  </w:r>
                  <w:r>
                    <w:rPr>
                      <w:rFonts w:ascii="仿宋_GB2312" w:hAnsi="仿宋_GB2312" w:cs="仿宋_GB2312" w:eastAsia="仿宋_GB2312"/>
                      <w:sz w:val="18"/>
                      <w:color w:val="000000"/>
                    </w:rPr>
                    <w:t>截面：</w:t>
                  </w:r>
                  <w:r>
                    <w:rPr>
                      <w:rFonts w:ascii="仿宋_GB2312" w:hAnsi="仿宋_GB2312" w:cs="仿宋_GB2312" w:eastAsia="仿宋_GB2312"/>
                      <w:sz w:val="18"/>
                      <w:color w:val="000000"/>
                    </w:rPr>
                    <w:t>2.5</w:t>
                  </w:r>
                  <w:r>
                    <w:br/>
                  </w:r>
                  <w:r>
                    <w:rPr>
                      <w:rFonts w:ascii="仿宋_GB2312" w:hAnsi="仿宋_GB2312" w:cs="仿宋_GB2312" w:eastAsia="仿宋_GB2312"/>
                      <w:sz w:val="18"/>
                      <w:color w:val="000000"/>
                    </w:rPr>
                    <w:t>芯数：</w:t>
                  </w:r>
                  <w:r>
                    <w:rPr>
                      <w:rFonts w:ascii="仿宋_GB2312" w:hAnsi="仿宋_GB2312" w:cs="仿宋_GB2312" w:eastAsia="仿宋_GB2312"/>
                      <w:sz w:val="18"/>
                      <w:color w:val="000000"/>
                    </w:rPr>
                    <w:t>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类别</w:t>
                  </w:r>
                  <w:r>
                    <w:rPr>
                      <w:rFonts w:ascii="仿宋_GB2312" w:hAnsi="仿宋_GB2312" w:cs="仿宋_GB2312" w:eastAsia="仿宋_GB2312"/>
                      <w:sz w:val="18"/>
                      <w:color w:val="000000"/>
                    </w:rPr>
                    <w:t>:六类千兆</w:t>
                  </w:r>
                  <w:r>
                    <w:br/>
                  </w:r>
                  <w:r>
                    <w:rPr>
                      <w:rFonts w:ascii="仿宋_GB2312" w:hAnsi="仿宋_GB2312" w:cs="仿宋_GB2312" w:eastAsia="仿宋_GB2312"/>
                      <w:sz w:val="18"/>
                      <w:color w:val="000000"/>
                    </w:rPr>
                    <w:t>导体直径：</w:t>
                  </w:r>
                  <w:r>
                    <w:rPr>
                      <w:rFonts w:ascii="仿宋_GB2312" w:hAnsi="仿宋_GB2312" w:cs="仿宋_GB2312" w:eastAsia="仿宋_GB2312"/>
                      <w:sz w:val="18"/>
                      <w:color w:val="000000"/>
                    </w:rPr>
                    <w:t>0.57±0.008mm纯铜线芯</w:t>
                  </w:r>
                  <w:r>
                    <w:br/>
                  </w:r>
                  <w:r>
                    <w:rPr>
                      <w:rFonts w:ascii="仿宋_GB2312" w:hAnsi="仿宋_GB2312" w:cs="仿宋_GB2312" w:eastAsia="仿宋_GB2312"/>
                      <w:sz w:val="18"/>
                      <w:color w:val="000000"/>
                    </w:rPr>
                    <w:t>导体绝缘外径：</w:t>
                  </w:r>
                  <w:r>
                    <w:rPr>
                      <w:rFonts w:ascii="仿宋_GB2312" w:hAnsi="仿宋_GB2312" w:cs="仿宋_GB2312" w:eastAsia="仿宋_GB2312"/>
                      <w:sz w:val="18"/>
                      <w:color w:val="000000"/>
                    </w:rPr>
                    <w:t>1.1±0.1mm</w:t>
                  </w:r>
                  <w:r>
                    <w:br/>
                  </w:r>
                  <w:r>
                    <w:rPr>
                      <w:rFonts w:ascii="仿宋_GB2312" w:hAnsi="仿宋_GB2312" w:cs="仿宋_GB2312" w:eastAsia="仿宋_GB2312"/>
                      <w:sz w:val="18"/>
                      <w:color w:val="000000"/>
                    </w:rPr>
                    <w:t>外护套材质：常规</w:t>
                  </w:r>
                  <w:r>
                    <w:rPr>
                      <w:rFonts w:ascii="仿宋_GB2312" w:hAnsi="仿宋_GB2312" w:cs="仿宋_GB2312" w:eastAsia="仿宋_GB2312"/>
                      <w:sz w:val="18"/>
                      <w:color w:val="000000"/>
                    </w:rPr>
                    <w:t>pvc</w:t>
                  </w:r>
                  <w:r>
                    <w:br/>
                  </w:r>
                  <w:r>
                    <w:rPr>
                      <w:rFonts w:ascii="仿宋_GB2312" w:hAnsi="仿宋_GB2312" w:cs="仿宋_GB2312" w:eastAsia="仿宋_GB2312"/>
                      <w:sz w:val="18"/>
                      <w:color w:val="000000"/>
                    </w:rPr>
                    <w:t>成品外径：</w:t>
                  </w:r>
                  <w:r>
                    <w:rPr>
                      <w:rFonts w:ascii="仿宋_GB2312" w:hAnsi="仿宋_GB2312" w:cs="仿宋_GB2312" w:eastAsia="仿宋_GB2312"/>
                      <w:sz w:val="18"/>
                      <w:color w:val="000000"/>
                    </w:rPr>
                    <w:t>6.6±0.2mm</w:t>
                  </w:r>
                  <w:r>
                    <w:br/>
                  </w:r>
                  <w:r>
                    <w:rPr>
                      <w:rFonts w:ascii="仿宋_GB2312" w:hAnsi="仿宋_GB2312" w:cs="仿宋_GB2312" w:eastAsia="仿宋_GB2312"/>
                      <w:sz w:val="18"/>
                      <w:color w:val="000000"/>
                    </w:rPr>
                    <w:t>单根导体最大电阻</w:t>
                  </w:r>
                  <w:r>
                    <w:rPr>
                      <w:rFonts w:ascii="仿宋_GB2312" w:hAnsi="仿宋_GB2312" w:cs="仿宋_GB2312" w:eastAsia="仿宋_GB2312"/>
                      <w:sz w:val="18"/>
                      <w:color w:val="000000"/>
                    </w:rPr>
                    <w:t>:≤9.5/100m</w:t>
                  </w:r>
                  <w:r>
                    <w:br/>
                  </w:r>
                  <w:r>
                    <w:rPr>
                      <w:rFonts w:ascii="仿宋_GB2312" w:hAnsi="仿宋_GB2312" w:cs="仿宋_GB2312" w:eastAsia="仿宋_GB2312"/>
                      <w:sz w:val="18"/>
                      <w:color w:val="000000"/>
                    </w:rPr>
                    <w:t>线对直流电阻不平衡型</w:t>
                  </w:r>
                  <w:r>
                    <w:rPr>
                      <w:rFonts w:ascii="仿宋_GB2312" w:hAnsi="仿宋_GB2312" w:cs="仿宋_GB2312" w:eastAsia="仿宋_GB2312"/>
                      <w:sz w:val="18"/>
                      <w:color w:val="000000"/>
                    </w:rPr>
                    <w:t>:≤2.5%</w:t>
                  </w:r>
                  <w:r>
                    <w:br/>
                  </w:r>
                  <w:r>
                    <w:rPr>
                      <w:rFonts w:ascii="仿宋_GB2312" w:hAnsi="仿宋_GB2312" w:cs="仿宋_GB2312" w:eastAsia="仿宋_GB2312"/>
                      <w:sz w:val="18"/>
                      <w:color w:val="000000"/>
                    </w:rPr>
                    <w:t>导体间介电强度，</w:t>
                  </w:r>
                  <w:r>
                    <w:rPr>
                      <w:rFonts w:ascii="仿宋_GB2312" w:hAnsi="仿宋_GB2312" w:cs="仿宋_GB2312" w:eastAsia="仿宋_GB2312"/>
                      <w:sz w:val="18"/>
                      <w:color w:val="000000"/>
                    </w:rPr>
                    <w:t>DC,1min:1Kv/1min</w:t>
                  </w:r>
                  <w:r>
                    <w:br/>
                  </w:r>
                  <w:r>
                    <w:rPr>
                      <w:rFonts w:ascii="仿宋_GB2312" w:hAnsi="仿宋_GB2312" w:cs="仿宋_GB2312" w:eastAsia="仿宋_GB2312"/>
                      <w:sz w:val="18"/>
                      <w:color w:val="000000"/>
                    </w:rPr>
                    <w:t>工作电容最大值</w:t>
                  </w:r>
                  <w:r>
                    <w:rPr>
                      <w:rFonts w:ascii="仿宋_GB2312" w:hAnsi="仿宋_GB2312" w:cs="仿宋_GB2312" w:eastAsia="仿宋_GB2312"/>
                      <w:sz w:val="18"/>
                      <w:color w:val="000000"/>
                    </w:rPr>
                    <w:t>:≤5.6nF/100m</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稳压电源</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30KVA,输入电压范围277V~433V，输出电压：220V/380V，额定频率50/60Hz，稳压精度：≤±3%，过压保护值：250V±5V，欠压保护值：183V±5V,效率：≥96%，响应时间：±10%变化&lt;1S，工作方式：连续。</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不锈钢线槽</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拆除及安装费用</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前期设备的拆除，新设备的安装、布线、桌椅等</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大写：肆拾万元整</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榆阳区城区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设备交付，验收合格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按国家相关标准及采购清单要求的技术参数。</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有效的主体资格:营业执照等主体资格证明文件。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法定代表人参加投标的，提供本人身份证复印件:法定代表人授权他人参加投标的，提供《法定代表人授权委托书》，格式自拟。</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具备良好的商业信誉，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发现供应商存在不良记录的，不认定为资格审查错误，将依照有关规定进行调查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8.无其他谈判文件或法规明确规定响应无效的事项 9.合同条款响应。10.承诺</w:t>
            </w:r>
          </w:p>
        </w:tc>
        <w:tc>
          <w:tcPr>
            <w:tcW w:type="dxa" w:w="3322"/>
          </w:tcPr>
          <w:p>
            <w:pPr>
              <w:pStyle w:val="null3"/>
            </w:pPr>
            <w:r>
              <w:rPr>
                <w:rFonts w:ascii="仿宋_GB2312" w:hAnsi="仿宋_GB2312" w:cs="仿宋_GB2312" w:eastAsia="仿宋_GB2312"/>
              </w:rPr>
              <w:t>1.响应文件语言符合谈判文件要求。 2.三处均无遗漏，且与所投项目名称、项目编号、标段（如有）一致。 3.均按谈判文件要求盖章（评分标准中要求提供的证明材料除外）。 4.响应文件应包含以下内容： （1）资格证明文件； （2）符合性证明文件； （3）投标方案。 5.响应文件有效期符合谈判文件的要求。 6.（1）投标报价符合唯一性要求： （2）开标一览表填写符合要求； （3）计量单位、报价货币均符合谈判文件要求； （4）未超出采购预算或谈判文件规定的最高限价。 7.完全理解并接受对合格投标人、合格的服务要求，实质性要求没有负偏离。 8.没有不符合谈判文件规定的被视为无效响应的其他条款。 9.有完全理解并接受谈判文件合同基本条款要求的描述。10.理解并作出承诺</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