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版本号：YYZFCG单一来源（2025）11号20251209001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中国经济信息社在榆阳区信息发布项目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YYZFCG单一来源（2025）11号</w:t>
      </w:r>
      <w:r>
        <w:br/>
      </w:r>
      <w:r>
        <w:br/>
      </w:r>
      <w:r>
        <w:br/>
      </w:r>
    </w:p>
    <w:p>
      <w:pPr>
        <w:pStyle w:val="null3"/>
        <w:jc w:val="center"/>
        <w:outlineLvl w:val="5"/>
      </w:pPr>
      <w:r>
        <w:rPr>
          <w:rFonts w:ascii="仿宋_GB2312" w:hAnsi="仿宋_GB2312" w:cs="仿宋_GB2312" w:eastAsia="仿宋_GB2312"/>
          <w:sz w:val="15"/>
          <w:b/>
        </w:rPr>
        <w:t>中共榆林市榆阳区委宣传部</w:t>
      </w:r>
    </w:p>
    <w:p>
      <w:pPr>
        <w:pStyle w:val="null3"/>
        <w:jc w:val="center"/>
        <w:outlineLvl w:val="5"/>
      </w:pPr>
      <w:r>
        <w:rPr>
          <w:rFonts w:ascii="仿宋_GB2312" w:hAnsi="仿宋_GB2312" w:cs="仿宋_GB2312" w:eastAsia="仿宋_GB2312"/>
          <w:sz w:val="15"/>
          <w:b/>
        </w:rPr>
        <w:t>榆林市榆阳区政府采购中心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中共榆林市榆阳区委宣传部</w:t>
      </w:r>
      <w:r>
        <w:rPr>
          <w:rFonts w:ascii="仿宋_GB2312" w:hAnsi="仿宋_GB2312" w:cs="仿宋_GB2312" w:eastAsia="仿宋_GB2312"/>
        </w:rPr>
        <w:t>委托，拟对</w:t>
      </w:r>
      <w:r>
        <w:rPr>
          <w:rFonts w:ascii="仿宋_GB2312" w:hAnsi="仿宋_GB2312" w:cs="仿宋_GB2312" w:eastAsia="仿宋_GB2312"/>
        </w:rPr>
        <w:t>中国经济信息社在榆阳区信息发布项目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YYZFCG单一来源（2025）11号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中国经济信息社在榆阳区信息发布项目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榆阳区将通过国家级主流媒体传播优势、国家级高端智库优势，为榆阳区提供了多样化的服务，带来区域传播和社会效益的双丰收。组织经济分析师围绕榆阳区在“新质生产力”“创新驱动”“数字经济”“乡村振兴”等方面的做法和亮点展开调研，形成信息稿件或分析报告等智库成果并在新华社平台进行对外发布。 (一)社会热点跟踪分析服务（二）信息稿件发布（三）开展智库调研形成深度稿件进行推送</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1、本项目的特定资格要求：有效的主体资格：营业执照等主体资格证明文件。</w:t>
      </w:r>
    </w:p>
    <w:p>
      <w:pPr>
        <w:pStyle w:val="null3"/>
      </w:pPr>
      <w:r>
        <w:rPr>
          <w:rFonts w:ascii="仿宋_GB2312" w:hAnsi="仿宋_GB2312" w:cs="仿宋_GB2312" w:eastAsia="仿宋_GB2312"/>
        </w:rPr>
        <w:t>2、合法授权：法定代表人参加投标的，提供本人身份证复印件；法定代表人授权他人参加的供应商应提交的相关资格证明材料加投标的，提供《法定代表人授权委托书》，格式自拟。</w:t>
      </w:r>
    </w:p>
    <w:p>
      <w:pPr>
        <w:pStyle w:val="null3"/>
      </w:pPr>
      <w:r>
        <w:rPr>
          <w:rFonts w:ascii="仿宋_GB2312" w:hAnsi="仿宋_GB2312" w:cs="仿宋_GB2312" w:eastAsia="仿宋_GB2312"/>
        </w:rPr>
        <w:t>3、信用：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中共榆林市榆阳区委宣传部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榆林市上郡北路256号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中共榆林市榆阳区委宣传部经办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17719658883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乔震宇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18991083162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采购包1：499,460.00元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采购包1：499,460.00元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中共榆林市榆阳区委宣传部</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中共榆林市榆阳区委宣传部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履约验收内容应涵盖项目所涉及的所有技术指标和参数，包括但不限于宣传服务的具体内容、宣传渠道、宣传频次、宣传效果评估方法等。验收小组需依据采购合同及技术规格书，逐一核对供应商所提供服务的技术细节，确保其完全符合合同约定的技术要求。对于宣传内容的准确性、时效性以及创新性，验收小组应进行重点审查，确保宣传服务能够达到预期的宣传效果和社会影响力。同时，验收小组还应关注供应商在技术实施过程中的合规性，包括但不限于版权使用、数据安全等方面，确保项目技术履约的合法性和规范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榆阳区将通过国家级主流媒体传播优势、国家级高端智库优势，为榆阳区提供了多样化的服务，带来区域传播和社会效益的双丰收。组织经济分析师围绕榆阳区在“新质生产力”“创新驱动”“数字经济”“乡村振兴”等方面的做法和亮点展开调研，形成信息稿件或分析报告等智库成果并在新华社平台进行对外发布。 (一)社会热点跟踪分析服务（二）信息稿件发布（三）开展智库调研形成深度稿件进行推送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499,460.00</w:t>
      </w:r>
    </w:p>
    <w:p>
      <w:pPr>
        <w:pStyle w:val="null3"/>
      </w:pPr>
      <w:r>
        <w:rPr>
          <w:rFonts w:ascii="仿宋_GB2312" w:hAnsi="仿宋_GB2312" w:cs="仿宋_GB2312" w:eastAsia="仿宋_GB2312"/>
        </w:rPr>
        <w:t>采购包最高限价（元）: 499,460.00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(一)社会热点跟踪分析服务（二）信息稿件发布（三）开展智库调研形成深度稿件进行推送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499,460.00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标的名称：(一)社会热点跟踪分析服务（二）信息稿件发布（三）开展智库调研形成深度稿件进行推送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558"/>
              <w:gridCol w:w="558"/>
              <w:gridCol w:w="558"/>
              <w:gridCol w:w="558"/>
              <w:gridCol w:w="317"/>
            </w:tblGrid>
            <w:tr>
              <w:tc>
                <w:tcPr>
                  <w:tcW w:type="dxa" w:w="5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服务形式</w:t>
                  </w:r>
                </w:p>
              </w:tc>
              <w:tc>
                <w:tcPr>
                  <w:tcW w:type="dxa" w:w="5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规格参数</w:t>
                  </w:r>
                </w:p>
              </w:tc>
              <w:tc>
                <w:tcPr>
                  <w:tcW w:type="dxa" w:w="5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服务内容</w:t>
                  </w:r>
                </w:p>
              </w:tc>
              <w:tc>
                <w:tcPr>
                  <w:tcW w:type="dxa" w:w="5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服务流程</w:t>
                  </w:r>
                </w:p>
              </w:tc>
              <w:tc>
                <w:tcPr>
                  <w:tcW w:type="dxa" w:w="3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r>
            <w:tr>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新华社中国经济信息社电子版报告</w:t>
                  </w: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每篇万字以上研究分析成果。涵盖榆阳区季度社会热点跟踪分析事件综述、社会焦点新闻解析、社会监督类新闻解析、社会或与榆阳区相关的网络言论解析、榆阳区重大关切事件解析等内容。</w:t>
                  </w: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按季度发送报告一篇电子版报告。内容包括榆阳区的社会热点跟踪分析监测、分析、研判和社会热点跟踪分析风险管理咨询。</w:t>
                  </w: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1、由新华社中国经济信息社所属社会热点跟踪分析风控系统24小时不间断监测有关榆阳区相关社会热点跟踪分析风险。</w:t>
                  </w:r>
                  <w:r>
                    <w:br/>
                  </w:r>
                  <w:r>
                    <w:rPr>
                      <w:rFonts w:ascii="仿宋_GB2312" w:hAnsi="仿宋_GB2312" w:cs="仿宋_GB2312" w:eastAsia="仿宋_GB2312"/>
                      <w:sz w:val="22"/>
                      <w:color w:val="000000"/>
                    </w:rPr>
                    <w:t xml:space="preserve"> 2、新华社中国经济信息社专业分析师根据监测情况及榆阳区相关需求，结合同期内相似区县重大社会热点跟踪分析事件，形成报告初稿。3、新华社中国经济信息社专家团队审校、润色、签发。4、专业编辑根据签发内容改写电子版报告，并根据榆阳区需求进行版式上的美化加工。</w:t>
                  </w:r>
                </w:p>
              </w:tc>
              <w:tc>
                <w:tcPr>
                  <w:tcW w:type="dxa" w:w="31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社会热点跟踪分析专报根据采购方需求，有重大社会热点跟踪分析及时提供报告，合作期内未发生重大社会热点跟踪分析则不提供。</w:t>
                  </w: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赠送</w:t>
                  </w:r>
                </w:p>
              </w:tc>
              <w:tc>
                <w:tcPr>
                  <w:tcW w:type="dxa" w:w="5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每篇万字以上研究分析成果。涵盖社会热点跟踪分析概况、社会热点跟踪分析分析、社会热点跟踪分析观点、社会热点跟踪分析处置建议等内容，以社会热点跟踪分析发展热力图、关键词分析图、文字分析结论等作为技术输出。</w:t>
                  </w:r>
                </w:p>
              </w:tc>
              <w:tc>
                <w:tcPr>
                  <w:tcW w:type="dxa" w:w="5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对有较大社会热点跟踪分析风险的负面社会热点跟踪分析随时跟踪监测，及时提供《重点社会热点跟踪分析监测分析报告》</w:t>
                  </w: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新媒体服务</w:t>
                  </w: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图文信息内容发布，每条300至1200字，图片1至9张。</w:t>
                  </w: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根据榆阳区的推广需求，聚焦榆阳区产业建设、经济发展、特色人文、乡村振兴等社会发展关键要素。在新华网、新华社客户端、新华财经、新华丝路等平台进行图文信息推广。</w:t>
                  </w: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新华社中国经济信息社编辑得到素材进行把关、编辑、修改或者二次沟通补充素材或更换素材。2、信息编辑上报至部门负责人进行复核、审校、润色。3、经部门负责人签批后发送新华社内相关平台进行审签，填送稿签并报告留档。4、信息编辑在不改变文意前提下，根据所属平台风格进行二次调整加工。5、新华社内相关平台刊登稿件</w:t>
                  </w: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视频内容发布，每条30秒至90秒。</w:t>
                  </w: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根据榆阳区的推广需求，聚焦榆阳区榆阳区产业建设、经济发展、特色人文、乡村振兴等社会发展关键要素。在新华网、新华财经、新华丝路等平台进行推广</w:t>
                  </w: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海报、长图信息内容发布。</w:t>
                  </w: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根据榆阳区的推广需求，聚焦榆阳区榆阳区产业建设、经济发展、特色人文、乡村振兴等社会发展关键要素。在新华网、新华社客户端、新华财经、新华丝路等平台进行推广</w:t>
                  </w: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纸质报刊</w:t>
                  </w: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纸质刊物《高管信息》内2-3页版面（一页尺寸183mm*257mm），2000字以上调研分析类信息内容发布。</w:t>
                  </w: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聚焦榆阳区各领域工作创新实践，形成信息稿件或分析报告等智库成果并在新华社纸质刊物《高管信息》发布。</w:t>
                  </w:r>
                </w:p>
              </w:tc>
              <w:tc>
                <w:tcPr>
                  <w:tcW w:type="dxa" w:w="5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由新华社中国经济信息社经济分析师与榆阳区相关负责同志沟通选题及调研时间。2、新华社中国经济信息社经济分析师根据前期沟通内容形成信息稿件编写提纲、大纲或采访问题，发送至榆阳区相关负责同志了解。3、纸质报刊呈现的内容、主题、期数等确定后，由新华社中国经济信息社向榆阳区发函，申明调研选题及调研目的。4、新华社中国经济信息社派出1至2位经济分析师，赴榆阳区开展实地调研，了解相关情况，调研时长1至5个工作日。5、根据前期沟通情况及调研结果，撰写调研信息稿件，不少于2000字，在15个工作日内完成。6、根据前期沟通情况及调研稿成稿情况，30个工作日内在新华社纸质刊物《高管信息》发布。</w:t>
                  </w: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r>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558"/>
                  <w:vMerge/>
                  <w:tcBorders>
                    <w:top w:val="singl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2-4人</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能达到规格要求的电脑，摄像器材及照相器材等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榆林市榆阳区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达到合同约定及预算明细中参数要求及数量</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1.乙方为甲方提供服务所交付的相关文件材料及载体，其知识产权、商业秘密及非公开信息等合法权益归乙方所有。 2.甲方应尊重和保护本协议项下服务成果、载体等方面涉及的知识产权。 3.甲乙双方均应就有关本协议项下一切相关事宜进行保密，不得披露双方合作内容、方式以及过程等。需要对外披露的，必须经双方共同协商书面同意后方可进行。双方上述保密义务不因协议的终止和无效而解除。 4.甲方应建立自查机制，发现部门单位及个人有违背本协议约定行为的，应3个工作日内纠正。如上述问题存在超过5个工作日，乙方有权在书面通知甲方后暂停提供服务，直至确认上述行为已纠正则恢复提供服务，纠正期间服务期的计算不中止。</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有效的主体资格：营业执照等主体资格证明文件。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法定代表人参加投标的，提供本人身份证复印件；法定代表人授权他人参加的供应商应提交的相关资格证明材料加投标的，提供《法定代表人授权委托书》，格式自拟。</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投标文件语言</w:t>
            </w:r>
          </w:p>
        </w:tc>
        <w:tc>
          <w:tcPr>
            <w:tcW w:type="dxa" w:w="3322"/>
          </w:tcPr>
          <w:p>
            <w:pPr>
              <w:pStyle w:val="null3"/>
            </w:pPr>
            <w:r>
              <w:rPr>
                <w:rFonts w:ascii="仿宋_GB2312" w:hAnsi="仿宋_GB2312" w:cs="仿宋_GB2312" w:eastAsia="仿宋_GB2312"/>
              </w:rPr>
              <w:t>投标文件语言符合招标文件要求。</w:t>
            </w:r>
          </w:p>
        </w:tc>
        <w:tc>
          <w:tcPr>
            <w:tcW w:type="dxa" w:w="1661"/>
          </w:tcPr>
          <w:p>
            <w:pPr>
              <w:pStyle w:val="null3"/>
            </w:pPr>
            <w:r>
              <w:rPr>
                <w:rFonts w:ascii="仿宋_GB2312" w:hAnsi="仿宋_GB2312" w:cs="仿宋_GB2312" w:eastAsia="仿宋_GB2312"/>
              </w:rPr>
              <w:t>商务应答表 服务方案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投标文件应包含以下内容： （1）资格证明文件； （2）符合性证明文件； （3）投标方案。</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完全理解并接受对合格投标人、合格的服务要求，实质性要求没有负偏离。</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详见附件：中共榆阳区委宣传部2025.docx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