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2A9BB">
      <w:pPr>
        <w:spacing w:line="500" w:lineRule="exact"/>
        <w:ind w:right="19" w:rightChars="9" w:firstLine="840" w:firstLineChars="350"/>
        <w:jc w:val="left"/>
        <w:rPr>
          <w:rFonts w:ascii="宋体"/>
          <w:u w:val="single"/>
        </w:rPr>
      </w:pPr>
      <w:r>
        <w:rPr>
          <w:rFonts w:ascii="楷体_GB2312" w:eastAsia="楷体_GB2312" w:cs="楷体_GB2312"/>
          <w:sz w:val="24"/>
          <w:szCs w:val="24"/>
        </w:rPr>
        <w:t xml:space="preserve">   </w:t>
      </w:r>
      <w:r>
        <w:rPr>
          <w:rFonts w:ascii="宋体" w:hAnsi="宋体" w:cs="宋体"/>
          <w:sz w:val="28"/>
          <w:szCs w:val="28"/>
        </w:rPr>
        <w:t xml:space="preserve">                             </w:t>
      </w:r>
      <w:r>
        <w:rPr>
          <w:rFonts w:hint="eastAsia" w:ascii="宋体" w:hAnsi="宋体" w:cs="宋体"/>
          <w:u w:val="single"/>
        </w:rPr>
        <w:t>编号：</w:t>
      </w:r>
      <w:r>
        <w:rPr>
          <w:rFonts w:ascii="宋体" w:hAnsi="宋体" w:cs="宋体"/>
          <w:u w:val="single"/>
        </w:rPr>
        <w:t xml:space="preserve">                 </w:t>
      </w:r>
    </w:p>
    <w:p w14:paraId="6F02EDF0">
      <w:pPr>
        <w:spacing w:before="156" w:beforeLines="50" w:line="480" w:lineRule="auto"/>
        <w:jc w:val="center"/>
        <w:rPr>
          <w:rFonts w:ascii="黑体" w:hAnsi="黑体" w:eastAsia="黑体"/>
          <w:b/>
          <w:bCs/>
          <w:sz w:val="44"/>
          <w:szCs w:val="44"/>
        </w:rPr>
      </w:pPr>
    </w:p>
    <w:p w14:paraId="46635B8E">
      <w:pPr>
        <w:spacing w:before="156" w:beforeLines="50" w:line="480" w:lineRule="auto"/>
        <w:jc w:val="center"/>
        <w:rPr>
          <w:rFonts w:ascii="黑体" w:hAnsi="黑体" w:eastAsia="黑体"/>
          <w:b/>
          <w:bCs/>
          <w:sz w:val="44"/>
          <w:szCs w:val="44"/>
        </w:rPr>
      </w:pPr>
      <w:r>
        <w:rPr>
          <w:rFonts w:hint="eastAsia" w:ascii="黑体" w:hAnsi="黑体" w:eastAsia="黑体" w:cs="黑体"/>
          <w:b/>
          <w:bCs/>
          <w:sz w:val="44"/>
          <w:szCs w:val="44"/>
        </w:rPr>
        <w:t>信息服务协议</w:t>
      </w:r>
    </w:p>
    <w:p w14:paraId="3520950A">
      <w:pPr>
        <w:spacing w:before="156" w:beforeLines="50" w:line="480" w:lineRule="auto"/>
        <w:jc w:val="center"/>
        <w:rPr>
          <w:rFonts w:ascii="黑体" w:hAnsi="黑体" w:eastAsia="黑体"/>
          <w:b/>
          <w:bCs/>
          <w:sz w:val="44"/>
          <w:szCs w:val="44"/>
        </w:rPr>
      </w:pPr>
    </w:p>
    <w:p w14:paraId="23AACE8D">
      <w:pPr>
        <w:spacing w:before="156" w:beforeLines="50" w:line="480" w:lineRule="auto"/>
        <w:jc w:val="center"/>
        <w:rPr>
          <w:rFonts w:ascii="仿宋_GB2312" w:hAnsi="黑体" w:eastAsia="仿宋_GB2312"/>
          <w:b/>
          <w:bCs/>
          <w:sz w:val="44"/>
          <w:szCs w:val="44"/>
        </w:rPr>
      </w:pPr>
    </w:p>
    <w:p w14:paraId="6B4B4DCE">
      <w:pPr>
        <w:pStyle w:val="5"/>
        <w:spacing w:after="156" w:afterLines="50" w:line="500" w:lineRule="exact"/>
        <w:ind w:left="0" w:leftChars="0"/>
        <w:rPr>
          <w:rFonts w:ascii="仿宋_GB2312" w:hAnsi="宋体" w:eastAsia="仿宋_GB2312"/>
          <w:sz w:val="28"/>
          <w:szCs w:val="28"/>
          <w:lang w:val="zh-CN"/>
        </w:rPr>
      </w:pPr>
      <w:r>
        <w:rPr>
          <w:rFonts w:hint="eastAsia" w:ascii="仿宋_GB2312" w:hAnsi="宋体" w:eastAsia="仿宋_GB2312" w:cs="仿宋_GB2312"/>
          <w:sz w:val="28"/>
          <w:szCs w:val="28"/>
          <w:lang w:val="zh-CN"/>
        </w:rPr>
        <w:t>甲</w:t>
      </w:r>
      <w:r>
        <w:rPr>
          <w:rFonts w:ascii="仿宋_GB2312" w:hAnsi="宋体" w:eastAsia="仿宋_GB2312" w:cs="仿宋_GB2312"/>
          <w:sz w:val="28"/>
          <w:szCs w:val="28"/>
        </w:rPr>
        <w:t xml:space="preserve">    </w:t>
      </w:r>
      <w:r>
        <w:rPr>
          <w:rFonts w:hint="eastAsia" w:ascii="仿宋_GB2312" w:hAnsi="宋体" w:eastAsia="仿宋_GB2312" w:cs="仿宋_GB2312"/>
          <w:sz w:val="28"/>
          <w:szCs w:val="28"/>
          <w:lang w:val="zh-CN"/>
        </w:rPr>
        <w:t>方：</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中共榆阳区委宣传部</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lang w:val="zh-CN"/>
        </w:rPr>
        <w:t>（以下简称“甲方”）</w:t>
      </w:r>
    </w:p>
    <w:p w14:paraId="32486C16">
      <w:pPr>
        <w:autoSpaceDE w:val="0"/>
        <w:autoSpaceDN w:val="0"/>
        <w:adjustRightInd w:val="0"/>
        <w:spacing w:after="156" w:afterLines="50" w:line="500" w:lineRule="exact"/>
        <w:jc w:val="left"/>
        <w:rPr>
          <w:rFonts w:ascii="仿宋_GB2312" w:hAnsi="宋体" w:eastAsia="仿宋_GB2312"/>
          <w:kern w:val="0"/>
          <w:sz w:val="28"/>
          <w:szCs w:val="28"/>
        </w:rPr>
      </w:pPr>
      <w:r>
        <w:rPr>
          <w:rFonts w:hint="eastAsia" w:ascii="仿宋_GB2312" w:hAnsi="宋体" w:eastAsia="仿宋_GB2312" w:cs="仿宋_GB2312"/>
          <w:kern w:val="0"/>
          <w:sz w:val="28"/>
          <w:szCs w:val="28"/>
          <w:lang w:val="zh-CN"/>
        </w:rPr>
        <w:t>地</w:t>
      </w:r>
      <w:r>
        <w:rPr>
          <w:rFonts w:ascii="仿宋_GB2312" w:hAnsi="宋体" w:eastAsia="仿宋_GB2312" w:cs="仿宋_GB2312"/>
          <w:kern w:val="0"/>
          <w:sz w:val="28"/>
          <w:szCs w:val="28"/>
          <w:lang w:val="zh-CN"/>
        </w:rPr>
        <w:t xml:space="preserve">   </w:t>
      </w:r>
      <w:r>
        <w:rPr>
          <w:rFonts w:ascii="仿宋_GB2312" w:hAnsi="宋体" w:eastAsia="仿宋_GB2312" w:cs="仿宋_GB2312"/>
          <w:kern w:val="0"/>
          <w:sz w:val="28"/>
          <w:szCs w:val="28"/>
        </w:rPr>
        <w:t xml:space="preserve"> </w:t>
      </w:r>
      <w:r>
        <w:rPr>
          <w:rFonts w:hint="eastAsia" w:ascii="仿宋_GB2312" w:hAnsi="宋体" w:eastAsia="仿宋_GB2312" w:cs="仿宋_GB2312"/>
          <w:kern w:val="0"/>
          <w:sz w:val="28"/>
          <w:szCs w:val="28"/>
          <w:lang w:val="zh-CN"/>
        </w:rPr>
        <w:t>址：</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榆林市榆阳区上郡路256号榆阳区委</w:t>
      </w:r>
    </w:p>
    <w:p w14:paraId="000742EF">
      <w:pPr>
        <w:autoSpaceDE w:val="0"/>
        <w:autoSpaceDN w:val="0"/>
        <w:adjustRightInd w:val="0"/>
        <w:spacing w:after="156" w:afterLines="50" w:line="500" w:lineRule="exact"/>
        <w:jc w:val="left"/>
        <w:rPr>
          <w:rFonts w:ascii="仿宋_GB2312" w:hAnsi="宋体" w:eastAsia="仿宋_GB2312"/>
          <w:kern w:val="0"/>
          <w:sz w:val="28"/>
          <w:szCs w:val="28"/>
        </w:rPr>
      </w:pPr>
      <w:r>
        <w:rPr>
          <w:rFonts w:hint="eastAsia" w:ascii="仿宋_GB2312" w:hAnsi="宋体" w:eastAsia="仿宋_GB2312" w:cs="仿宋_GB2312"/>
          <w:kern w:val="0"/>
          <w:sz w:val="28"/>
          <w:szCs w:val="28"/>
          <w:lang w:val="zh-CN"/>
        </w:rPr>
        <w:t>联</w:t>
      </w:r>
      <w:r>
        <w:rPr>
          <w:rFonts w:ascii="仿宋_GB2312" w:hAnsi="宋体" w:eastAsia="仿宋_GB2312" w:cs="仿宋_GB2312"/>
          <w:kern w:val="0"/>
          <w:sz w:val="28"/>
          <w:szCs w:val="28"/>
          <w:lang w:val="zh-CN"/>
        </w:rPr>
        <w:t xml:space="preserve"> </w:t>
      </w:r>
      <w:r>
        <w:rPr>
          <w:rFonts w:hint="eastAsia" w:ascii="仿宋_GB2312" w:hAnsi="宋体" w:eastAsia="仿宋_GB2312" w:cs="仿宋_GB2312"/>
          <w:kern w:val="0"/>
          <w:sz w:val="28"/>
          <w:szCs w:val="28"/>
          <w:lang w:val="zh-CN"/>
        </w:rPr>
        <w:t>系</w:t>
      </w:r>
      <w:r>
        <w:rPr>
          <w:rFonts w:ascii="仿宋_GB2312" w:hAnsi="宋体" w:eastAsia="仿宋_GB2312" w:cs="仿宋_GB2312"/>
          <w:kern w:val="0"/>
          <w:sz w:val="28"/>
          <w:szCs w:val="28"/>
          <w:lang w:val="zh-CN"/>
        </w:rPr>
        <w:t xml:space="preserve"> </w:t>
      </w:r>
      <w:r>
        <w:rPr>
          <w:rFonts w:hint="eastAsia" w:ascii="仿宋_GB2312" w:hAnsi="宋体" w:eastAsia="仿宋_GB2312" w:cs="仿宋_GB2312"/>
          <w:kern w:val="0"/>
          <w:sz w:val="28"/>
          <w:szCs w:val="28"/>
          <w:lang w:val="zh-CN"/>
        </w:rPr>
        <w:t>人：</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 xml:space="preserve">              </w:t>
      </w:r>
    </w:p>
    <w:p w14:paraId="64128C5B">
      <w:pPr>
        <w:autoSpaceDE w:val="0"/>
        <w:autoSpaceDN w:val="0"/>
        <w:adjustRightInd w:val="0"/>
        <w:spacing w:after="156" w:afterLines="50" w:line="500" w:lineRule="exact"/>
        <w:jc w:val="left"/>
        <w:rPr>
          <w:rFonts w:ascii="仿宋_GB2312" w:hAnsi="宋体" w:eastAsia="仿宋_GB2312"/>
          <w:kern w:val="0"/>
          <w:sz w:val="28"/>
          <w:szCs w:val="28"/>
          <w:u w:val="single"/>
        </w:rPr>
      </w:pPr>
      <w:r>
        <w:rPr>
          <w:rFonts w:hint="eastAsia" w:ascii="仿宋_GB2312" w:hAnsi="宋体" w:eastAsia="仿宋_GB2312" w:cs="仿宋_GB2312"/>
          <w:kern w:val="0"/>
          <w:sz w:val="28"/>
          <w:szCs w:val="28"/>
          <w:lang w:val="zh-CN"/>
        </w:rPr>
        <w:t>电</w:t>
      </w:r>
      <w:r>
        <w:rPr>
          <w:rFonts w:ascii="仿宋_GB2312" w:hAnsi="宋体" w:eastAsia="仿宋_GB2312" w:cs="仿宋_GB2312"/>
          <w:kern w:val="0"/>
          <w:sz w:val="28"/>
          <w:szCs w:val="28"/>
          <w:lang w:val="zh-CN"/>
        </w:rPr>
        <w:t xml:space="preserve">    </w:t>
      </w:r>
      <w:r>
        <w:rPr>
          <w:rFonts w:hint="eastAsia" w:ascii="仿宋_GB2312" w:hAnsi="宋体" w:eastAsia="仿宋_GB2312" w:cs="仿宋_GB2312"/>
          <w:kern w:val="0"/>
          <w:sz w:val="28"/>
          <w:szCs w:val="28"/>
          <w:lang w:val="zh-CN"/>
        </w:rPr>
        <w:t>话：</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 xml:space="preserve">             </w:t>
      </w:r>
    </w:p>
    <w:p w14:paraId="50D13327">
      <w:pPr>
        <w:autoSpaceDE w:val="0"/>
        <w:autoSpaceDN w:val="0"/>
        <w:adjustRightInd w:val="0"/>
        <w:spacing w:after="156" w:afterLines="50" w:line="500" w:lineRule="exact"/>
        <w:jc w:val="left"/>
        <w:rPr>
          <w:rFonts w:ascii="仿宋_GB2312" w:hAnsi="宋体" w:eastAsia="仿宋_GB2312"/>
          <w:kern w:val="0"/>
          <w:sz w:val="28"/>
          <w:szCs w:val="28"/>
          <w:u w:val="single"/>
        </w:rPr>
      </w:pPr>
      <w:r>
        <w:rPr>
          <w:rFonts w:hint="eastAsia" w:ascii="仿宋_GB2312" w:hAnsi="宋体" w:eastAsia="仿宋_GB2312" w:cs="仿宋_GB2312"/>
          <w:kern w:val="0"/>
          <w:sz w:val="28"/>
          <w:szCs w:val="28"/>
          <w:lang w:val="zh-CN"/>
        </w:rPr>
        <w:t>传</w:t>
      </w:r>
      <w:r>
        <w:rPr>
          <w:rFonts w:ascii="仿宋_GB2312" w:hAnsi="宋体" w:eastAsia="仿宋_GB2312" w:cs="仿宋_GB2312"/>
          <w:kern w:val="0"/>
          <w:sz w:val="28"/>
          <w:szCs w:val="28"/>
        </w:rPr>
        <w:t xml:space="preserve">    </w:t>
      </w:r>
      <w:r>
        <w:rPr>
          <w:rFonts w:hint="eastAsia" w:ascii="仿宋_GB2312" w:hAnsi="宋体" w:eastAsia="仿宋_GB2312" w:cs="仿宋_GB2312"/>
          <w:kern w:val="0"/>
          <w:sz w:val="28"/>
          <w:szCs w:val="28"/>
        </w:rPr>
        <w:t>真：</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 xml:space="preserve">             </w:t>
      </w:r>
    </w:p>
    <w:p w14:paraId="0DA92DDA">
      <w:pPr>
        <w:autoSpaceDE w:val="0"/>
        <w:autoSpaceDN w:val="0"/>
        <w:adjustRightInd w:val="0"/>
        <w:spacing w:after="156" w:afterLines="50" w:line="500" w:lineRule="exact"/>
        <w:jc w:val="left"/>
        <w:rPr>
          <w:rFonts w:ascii="仿宋_GB2312" w:hAnsi="宋体" w:eastAsia="仿宋_GB2312"/>
          <w:sz w:val="28"/>
          <w:szCs w:val="28"/>
          <w:u w:val="single"/>
        </w:rPr>
      </w:pPr>
      <w:r>
        <w:rPr>
          <w:rFonts w:hint="eastAsia" w:ascii="仿宋_GB2312" w:hAnsi="宋体" w:eastAsia="仿宋_GB2312" w:cs="仿宋_GB2312"/>
          <w:sz w:val="28"/>
          <w:szCs w:val="28"/>
          <w:lang w:val="zh-CN"/>
        </w:rPr>
        <w:t>电子邮箱</w:t>
      </w:r>
      <w:r>
        <w:rPr>
          <w:rFonts w:hint="eastAsia" w:ascii="仿宋_GB2312" w:hAnsi="宋体" w:eastAsia="仿宋_GB2312" w:cs="仿宋_GB2312"/>
          <w:kern w:val="0"/>
          <w:sz w:val="28"/>
          <w:szCs w:val="28"/>
          <w:lang w:val="zh-CN"/>
        </w:rPr>
        <w:t>：</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rPr>
        <w:t xml:space="preserve">             </w:t>
      </w:r>
    </w:p>
    <w:p w14:paraId="1884CAE1">
      <w:pPr>
        <w:autoSpaceDE w:val="0"/>
        <w:autoSpaceDN w:val="0"/>
        <w:adjustRightInd w:val="0"/>
        <w:spacing w:after="156" w:afterLines="50" w:line="500" w:lineRule="exact"/>
        <w:jc w:val="left"/>
        <w:rPr>
          <w:rFonts w:ascii="仿宋_GB2312" w:hAnsi="宋体" w:eastAsia="仿宋_GB2312"/>
          <w:kern w:val="0"/>
          <w:sz w:val="28"/>
          <w:szCs w:val="28"/>
          <w:lang w:val="zh-CN"/>
        </w:rPr>
      </w:pPr>
    </w:p>
    <w:p w14:paraId="5A5AA67F">
      <w:pPr>
        <w:pStyle w:val="5"/>
        <w:spacing w:after="156" w:afterLines="50" w:line="500" w:lineRule="exact"/>
        <w:ind w:left="0" w:leftChars="0"/>
        <w:rPr>
          <w:rFonts w:ascii="仿宋_GB2312" w:hAnsi="宋体" w:eastAsia="仿宋_GB2312"/>
          <w:sz w:val="28"/>
          <w:szCs w:val="28"/>
          <w:lang w:val="zh-CN"/>
        </w:rPr>
      </w:pPr>
    </w:p>
    <w:p w14:paraId="48B53B01">
      <w:pPr>
        <w:pStyle w:val="5"/>
        <w:spacing w:after="156" w:afterLines="50" w:line="500" w:lineRule="exact"/>
        <w:ind w:left="0" w:leftChars="0"/>
        <w:rPr>
          <w:rFonts w:ascii="仿宋_GB2312" w:hAnsi="宋体" w:eastAsia="仿宋_GB2312"/>
          <w:sz w:val="28"/>
          <w:szCs w:val="28"/>
          <w:lang w:val="zh-CN"/>
        </w:rPr>
      </w:pPr>
      <w:r>
        <w:rPr>
          <w:rFonts w:hint="eastAsia" w:ascii="仿宋_GB2312" w:hAnsi="宋体" w:eastAsia="仿宋_GB2312" w:cs="仿宋_GB2312"/>
          <w:sz w:val="28"/>
          <w:szCs w:val="28"/>
          <w:lang w:val="zh-CN"/>
        </w:rPr>
        <w:t>乙</w:t>
      </w:r>
      <w:r>
        <w:rPr>
          <w:rFonts w:ascii="仿宋_GB2312" w:hAnsi="宋体" w:eastAsia="仿宋_GB2312" w:cs="仿宋_GB2312"/>
          <w:sz w:val="28"/>
          <w:szCs w:val="28"/>
          <w:lang w:val="zh-CN"/>
        </w:rPr>
        <w:t xml:space="preserve"> </w:t>
      </w:r>
      <w:r>
        <w:rPr>
          <w:rFonts w:ascii="仿宋_GB2312" w:hAnsi="宋体" w:eastAsia="仿宋_GB2312" w:cs="仿宋_GB2312"/>
          <w:sz w:val="28"/>
          <w:szCs w:val="28"/>
        </w:rPr>
        <w:t xml:space="preserve">  </w:t>
      </w:r>
      <w:r>
        <w:rPr>
          <w:rFonts w:hint="eastAsia" w:ascii="仿宋_GB2312" w:hAnsi="宋体" w:eastAsia="仿宋_GB2312" w:cs="仿宋_GB2312"/>
          <w:sz w:val="28"/>
          <w:szCs w:val="28"/>
          <w:lang w:val="zh-CN"/>
        </w:rPr>
        <w:t>方：</w:t>
      </w:r>
      <w:r>
        <w:rPr>
          <w:rFonts w:hint="eastAsia" w:ascii="仿宋_GB2312" w:hAnsi="宋体" w:eastAsia="仿宋_GB2312" w:cs="仿宋_GB2312"/>
          <w:sz w:val="28"/>
          <w:szCs w:val="28"/>
          <w:lang w:val="en-US" w:eastAsia="zh-CN"/>
        </w:rPr>
        <w:t xml:space="preserve">                                  </w:t>
      </w:r>
      <w:r>
        <w:rPr>
          <w:rFonts w:hint="eastAsia" w:ascii="仿宋_GB2312" w:hAnsi="宋体" w:eastAsia="仿宋_GB2312" w:cs="仿宋_GB2312"/>
          <w:sz w:val="28"/>
          <w:szCs w:val="28"/>
          <w:lang w:val="zh-CN"/>
        </w:rPr>
        <w:t>（以下简称“乙方”）</w:t>
      </w:r>
    </w:p>
    <w:p w14:paraId="6FBAB3F9">
      <w:pPr>
        <w:autoSpaceDE w:val="0"/>
        <w:autoSpaceDN w:val="0"/>
        <w:adjustRightInd w:val="0"/>
        <w:spacing w:after="156" w:afterLines="50" w:line="500" w:lineRule="exact"/>
        <w:jc w:val="left"/>
        <w:rPr>
          <w:rFonts w:ascii="仿宋_GB2312" w:hAnsi="宋体" w:eastAsia="仿宋_GB2312"/>
          <w:kern w:val="0"/>
          <w:sz w:val="28"/>
          <w:szCs w:val="28"/>
          <w:u w:val="single"/>
          <w:lang w:val="zh-CN"/>
        </w:rPr>
      </w:pPr>
      <w:r>
        <w:rPr>
          <w:rFonts w:hint="eastAsia" w:ascii="仿宋_GB2312" w:hAnsi="宋体" w:eastAsia="仿宋_GB2312" w:cs="仿宋_GB2312"/>
          <w:kern w:val="0"/>
          <w:sz w:val="28"/>
          <w:szCs w:val="28"/>
          <w:lang w:val="zh-CN"/>
        </w:rPr>
        <w:t>地</w:t>
      </w:r>
      <w:r>
        <w:rPr>
          <w:rFonts w:ascii="仿宋_GB2312" w:hAnsi="宋体" w:eastAsia="仿宋_GB2312" w:cs="仿宋_GB2312"/>
          <w:kern w:val="0"/>
          <w:sz w:val="28"/>
          <w:szCs w:val="28"/>
          <w:lang w:val="zh-CN"/>
        </w:rPr>
        <w:t xml:space="preserve">    </w:t>
      </w:r>
      <w:r>
        <w:rPr>
          <w:rFonts w:hint="eastAsia" w:ascii="仿宋_GB2312" w:hAnsi="宋体" w:eastAsia="仿宋_GB2312" w:cs="仿宋_GB2312"/>
          <w:kern w:val="0"/>
          <w:sz w:val="28"/>
          <w:szCs w:val="28"/>
          <w:lang w:val="zh-CN"/>
        </w:rPr>
        <w:t>址</w:t>
      </w:r>
      <w:r>
        <w:rPr>
          <w:rFonts w:hint="eastAsia" w:ascii="仿宋_GB2312" w:hAnsi="宋体" w:eastAsia="仿宋_GB2312" w:cs="仿宋_GB2312"/>
          <w:sz w:val="28"/>
          <w:szCs w:val="28"/>
          <w:lang w:val="zh-CN"/>
        </w:rPr>
        <w:t>：</w:t>
      </w:r>
      <w:r>
        <w:rPr>
          <w:rFonts w:ascii="仿宋_GB2312" w:hAnsi="宋体" w:eastAsia="仿宋_GB2312" w:cs="仿宋_GB2312"/>
          <w:sz w:val="28"/>
          <w:szCs w:val="28"/>
          <w:u w:val="single"/>
        </w:rPr>
        <w:t xml:space="preserve">     </w:t>
      </w:r>
    </w:p>
    <w:p w14:paraId="0ED86D7D">
      <w:pPr>
        <w:pStyle w:val="5"/>
        <w:spacing w:after="156" w:afterLines="50" w:line="500" w:lineRule="exact"/>
        <w:ind w:left="0" w:leftChars="0"/>
        <w:rPr>
          <w:rFonts w:ascii="仿宋_GB2312" w:hAnsi="宋体" w:eastAsia="仿宋_GB2312"/>
          <w:sz w:val="28"/>
          <w:szCs w:val="28"/>
          <w:u w:val="single"/>
          <w:lang w:val="zh-CN"/>
        </w:rPr>
      </w:pPr>
      <w:r>
        <w:rPr>
          <w:rFonts w:hint="eastAsia" w:ascii="仿宋_GB2312" w:hAnsi="宋体" w:eastAsia="仿宋_GB2312" w:cs="仿宋_GB2312"/>
          <w:sz w:val="28"/>
          <w:szCs w:val="28"/>
          <w:lang w:val="zh-CN"/>
        </w:rPr>
        <w:t>联</w:t>
      </w:r>
      <w:r>
        <w:rPr>
          <w:rFonts w:ascii="仿宋_GB2312" w:hAnsi="宋体" w:eastAsia="仿宋_GB2312" w:cs="仿宋_GB2312"/>
          <w:sz w:val="28"/>
          <w:szCs w:val="28"/>
          <w:lang w:val="zh-CN"/>
        </w:rPr>
        <w:t xml:space="preserve"> </w:t>
      </w:r>
      <w:r>
        <w:rPr>
          <w:rFonts w:hint="eastAsia" w:ascii="仿宋_GB2312" w:hAnsi="宋体" w:eastAsia="仿宋_GB2312" w:cs="仿宋_GB2312"/>
          <w:sz w:val="28"/>
          <w:szCs w:val="28"/>
          <w:lang w:val="zh-CN"/>
        </w:rPr>
        <w:t>系</w:t>
      </w:r>
      <w:r>
        <w:rPr>
          <w:rFonts w:ascii="仿宋_GB2312" w:hAnsi="宋体" w:eastAsia="仿宋_GB2312" w:cs="仿宋_GB2312"/>
          <w:sz w:val="28"/>
          <w:szCs w:val="28"/>
          <w:lang w:val="zh-CN"/>
        </w:rPr>
        <w:t xml:space="preserve"> </w:t>
      </w:r>
      <w:r>
        <w:rPr>
          <w:rFonts w:hint="eastAsia" w:ascii="仿宋_GB2312" w:hAnsi="宋体" w:eastAsia="仿宋_GB2312" w:cs="仿宋_GB2312"/>
          <w:sz w:val="28"/>
          <w:szCs w:val="28"/>
          <w:lang w:val="zh-CN"/>
        </w:rPr>
        <w:t>人：</w:t>
      </w:r>
      <w:r>
        <w:rPr>
          <w:rFonts w:ascii="仿宋_GB2312" w:hAnsi="宋体" w:eastAsia="仿宋_GB2312" w:cs="仿宋_GB2312"/>
          <w:sz w:val="28"/>
          <w:szCs w:val="28"/>
          <w:u w:val="single"/>
        </w:rPr>
        <w:t xml:space="preserve">                      </w:t>
      </w:r>
    </w:p>
    <w:p w14:paraId="2F0E329E">
      <w:pPr>
        <w:pStyle w:val="5"/>
        <w:spacing w:after="156" w:afterLines="50" w:line="500" w:lineRule="exact"/>
        <w:ind w:left="0" w:leftChars="0"/>
        <w:rPr>
          <w:rFonts w:ascii="仿宋_GB2312" w:hAnsi="宋体" w:eastAsia="仿宋_GB2312"/>
          <w:sz w:val="28"/>
          <w:szCs w:val="28"/>
          <w:u w:val="single"/>
          <w:lang w:val="zh-CN"/>
        </w:rPr>
      </w:pPr>
      <w:r>
        <w:rPr>
          <w:rFonts w:hint="eastAsia" w:ascii="仿宋_GB2312" w:hAnsi="宋体" w:eastAsia="仿宋_GB2312" w:cs="仿宋_GB2312"/>
          <w:sz w:val="28"/>
          <w:szCs w:val="28"/>
          <w:lang w:val="zh-CN"/>
        </w:rPr>
        <w:t>电</w:t>
      </w:r>
      <w:r>
        <w:rPr>
          <w:rFonts w:ascii="仿宋_GB2312" w:hAnsi="宋体" w:eastAsia="仿宋_GB2312" w:cs="仿宋_GB2312"/>
          <w:sz w:val="28"/>
          <w:szCs w:val="28"/>
          <w:lang w:val="zh-CN"/>
        </w:rPr>
        <w:t xml:space="preserve">    </w:t>
      </w:r>
      <w:r>
        <w:rPr>
          <w:rFonts w:hint="eastAsia" w:ascii="仿宋_GB2312" w:hAnsi="宋体" w:eastAsia="仿宋_GB2312" w:cs="仿宋_GB2312"/>
          <w:sz w:val="28"/>
          <w:szCs w:val="28"/>
          <w:lang w:val="zh-CN"/>
        </w:rPr>
        <w:t>话：</w:t>
      </w:r>
      <w:r>
        <w:rPr>
          <w:rFonts w:ascii="仿宋_GB2312" w:hAnsi="宋体" w:eastAsia="仿宋_GB2312" w:cs="仿宋_GB2312"/>
          <w:sz w:val="28"/>
          <w:szCs w:val="28"/>
          <w:u w:val="single"/>
        </w:rPr>
        <w:t xml:space="preserve">             </w:t>
      </w:r>
    </w:p>
    <w:p w14:paraId="0DEA4571">
      <w:pPr>
        <w:autoSpaceDE w:val="0"/>
        <w:autoSpaceDN w:val="0"/>
        <w:adjustRightInd w:val="0"/>
        <w:spacing w:after="156" w:afterLines="50" w:line="500" w:lineRule="exact"/>
        <w:jc w:val="left"/>
        <w:rPr>
          <w:rFonts w:ascii="仿宋_GB2312" w:hAnsi="宋体" w:eastAsia="仿宋_GB2312"/>
          <w:kern w:val="0"/>
          <w:sz w:val="28"/>
          <w:szCs w:val="28"/>
          <w:u w:val="single"/>
          <w:lang w:val="zh-CN"/>
        </w:rPr>
      </w:pPr>
      <w:r>
        <w:rPr>
          <w:rFonts w:hint="eastAsia" w:ascii="仿宋_GB2312" w:hAnsi="宋体" w:eastAsia="仿宋_GB2312" w:cs="仿宋_GB2312"/>
          <w:kern w:val="0"/>
          <w:sz w:val="28"/>
          <w:szCs w:val="28"/>
          <w:lang w:val="zh-CN"/>
        </w:rPr>
        <w:t>传</w:t>
      </w:r>
      <w:r>
        <w:rPr>
          <w:rFonts w:ascii="仿宋_GB2312" w:hAnsi="宋体" w:eastAsia="仿宋_GB2312" w:cs="仿宋_GB2312"/>
          <w:kern w:val="0"/>
          <w:sz w:val="28"/>
          <w:szCs w:val="28"/>
        </w:rPr>
        <w:t xml:space="preserve">    </w:t>
      </w:r>
      <w:r>
        <w:rPr>
          <w:rFonts w:hint="eastAsia" w:ascii="仿宋_GB2312" w:hAnsi="宋体" w:eastAsia="仿宋_GB2312" w:cs="仿宋_GB2312"/>
          <w:kern w:val="0"/>
          <w:sz w:val="28"/>
          <w:szCs w:val="28"/>
        </w:rPr>
        <w:t>真：</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ascii="仿宋_GB2312" w:hAnsi="宋体" w:eastAsia="仿宋_GB2312" w:cs="仿宋_GB2312"/>
          <w:sz w:val="28"/>
          <w:szCs w:val="28"/>
          <w:u w:val="single"/>
        </w:rPr>
        <w:t xml:space="preserve">    </w:t>
      </w:r>
    </w:p>
    <w:p w14:paraId="4B4CD4E0">
      <w:pPr>
        <w:pStyle w:val="5"/>
        <w:spacing w:line="500" w:lineRule="exact"/>
        <w:ind w:left="0" w:leftChars="0"/>
        <w:rPr>
          <w:rFonts w:ascii="仿宋_GB2312" w:hAnsi="宋体" w:eastAsia="仿宋_GB2312"/>
          <w:sz w:val="28"/>
          <w:szCs w:val="28"/>
        </w:rPr>
      </w:pPr>
      <w:r>
        <w:rPr>
          <w:rFonts w:hint="eastAsia" w:ascii="仿宋_GB2312" w:hAnsi="宋体" w:eastAsia="仿宋_GB2312" w:cs="仿宋_GB2312"/>
          <w:sz w:val="28"/>
          <w:szCs w:val="28"/>
          <w:lang w:val="zh-CN"/>
        </w:rPr>
        <w:t>电子邮箱：</w:t>
      </w:r>
      <w:r>
        <w:rPr>
          <w:rFonts w:ascii="仿宋_GB2312" w:hAnsi="宋体" w:eastAsia="仿宋_GB2312" w:cs="仿宋_GB2312"/>
          <w:sz w:val="28"/>
          <w:szCs w:val="28"/>
          <w:u w:val="single"/>
        </w:rPr>
        <w:t xml:space="preserve">       </w:t>
      </w:r>
    </w:p>
    <w:p w14:paraId="4442B835">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br w:type="page"/>
      </w:r>
      <w:r>
        <w:rPr>
          <w:rFonts w:hint="eastAsia" w:ascii="仿宋_GB2312" w:hAnsi="宋体" w:eastAsia="仿宋_GB2312" w:cs="仿宋_GB2312"/>
          <w:sz w:val="28"/>
          <w:szCs w:val="28"/>
        </w:rPr>
        <w:t>甲、乙双方本着平等互利的原则，经友好协商，就乙方向甲方提供信息服务达成如下协议。</w:t>
      </w:r>
    </w:p>
    <w:p w14:paraId="6B55FF8D">
      <w:pPr>
        <w:pStyle w:val="10"/>
        <w:ind w:firstLine="630" w:firstLineChars="196"/>
        <w:jc w:val="left"/>
        <w:rPr>
          <w:rFonts w:ascii="仿宋_GB2312" w:hAnsi="宋体" w:eastAsia="仿宋_GB2312" w:cs="Times New Roman"/>
          <w:color w:val="000000" w:themeColor="text1"/>
          <w14:textFill>
            <w14:solidFill>
              <w14:schemeClr w14:val="tx1"/>
            </w14:solidFill>
          </w14:textFill>
        </w:rPr>
      </w:pPr>
      <w:r>
        <w:rPr>
          <w:rFonts w:hint="eastAsia" w:ascii="仿宋_GB2312" w:hAnsi="宋体" w:eastAsia="仿宋_GB2312" w:cs="仿宋_GB2312"/>
          <w:color w:val="000000" w:themeColor="text1"/>
          <w14:textFill>
            <w14:solidFill>
              <w14:schemeClr w14:val="tx1"/>
            </w14:solidFill>
          </w14:textFill>
        </w:rPr>
        <w:t>第一条</w:t>
      </w:r>
      <w:r>
        <w:rPr>
          <w:rFonts w:ascii="仿宋_GB2312" w:hAnsi="宋体" w:eastAsia="仿宋_GB2312" w:cs="仿宋_GB2312"/>
          <w:color w:val="000000" w:themeColor="text1"/>
          <w14:textFill>
            <w14:solidFill>
              <w14:schemeClr w14:val="tx1"/>
            </w14:solidFill>
          </w14:textFill>
        </w:rPr>
        <w:t xml:space="preserve">  </w:t>
      </w:r>
      <w:r>
        <w:rPr>
          <w:rFonts w:hint="eastAsia" w:ascii="仿宋_GB2312" w:hAnsi="宋体" w:eastAsia="仿宋_GB2312" w:cs="仿宋_GB2312"/>
          <w:color w:val="000000" w:themeColor="text1"/>
          <w14:textFill>
            <w14:solidFill>
              <w14:schemeClr w14:val="tx1"/>
            </w14:solidFill>
          </w14:textFill>
        </w:rPr>
        <w:t>服务内容</w:t>
      </w:r>
    </w:p>
    <w:p w14:paraId="3E4535DB">
      <w:pPr>
        <w:spacing w:line="500" w:lineRule="exact"/>
        <w:ind w:firstLine="562" w:firstLineChars="200"/>
        <w:rPr>
          <w:rFonts w:hint="eastAsia" w:ascii="仿宋_GB2312" w:hAnsi="宋体" w:eastAsia="仿宋_GB2312" w:cs="仿宋_GB2312"/>
          <w:b/>
          <w:bCs/>
          <w:sz w:val="28"/>
          <w:szCs w:val="28"/>
        </w:rPr>
      </w:pPr>
      <w:r>
        <w:rPr>
          <w:rFonts w:hint="eastAsia" w:ascii="仿宋_GB2312" w:hAnsi="宋体" w:eastAsia="仿宋_GB2312" w:cs="仿宋_GB2312"/>
          <w:b/>
          <w:bCs/>
          <w:sz w:val="28"/>
          <w:szCs w:val="28"/>
          <w:lang w:val="en-US" w:eastAsia="zh-CN"/>
        </w:rPr>
        <w:t>一、</w:t>
      </w:r>
      <w:r>
        <w:rPr>
          <w:rFonts w:hint="eastAsia" w:ascii="仿宋_GB2312" w:hAnsi="宋体" w:eastAsia="仿宋_GB2312" w:cs="仿宋_GB2312"/>
          <w:b/>
          <w:bCs/>
          <w:sz w:val="28"/>
          <w:szCs w:val="28"/>
        </w:rPr>
        <w:t>乙方通过以下方式向甲方提供信息产品：</w:t>
      </w:r>
    </w:p>
    <w:p w14:paraId="1A80C56A">
      <w:pPr>
        <w:spacing w:line="500" w:lineRule="exact"/>
        <w:ind w:firstLine="560" w:firstLineChars="200"/>
        <w:rPr>
          <w:rFonts w:hint="eastAsia" w:ascii="仿宋_GB2312" w:hAnsi="宋体" w:eastAsia="仿宋_GB2312" w:cs="仿宋_GB2312"/>
          <w:sz w:val="28"/>
          <w:szCs w:val="28"/>
          <w:u w:val="single"/>
        </w:rPr>
      </w:pPr>
      <w:r>
        <w:rPr>
          <w:rFonts w:hint="eastAsia" w:ascii="仿宋_GB2312" w:hAnsi="宋体" w:eastAsia="仿宋_GB2312" w:cs="仿宋_GB2312"/>
          <w:sz w:val="28"/>
          <w:szCs w:val="28"/>
          <w:u w:val="single"/>
        </w:rPr>
        <w:t>1.在新华社客户端、新华网、新华财经</w:t>
      </w:r>
      <w:r>
        <w:rPr>
          <w:rFonts w:hint="eastAsia" w:ascii="仿宋_GB2312" w:hAnsi="宋体" w:eastAsia="仿宋_GB2312" w:cs="仿宋_GB2312"/>
          <w:sz w:val="28"/>
          <w:szCs w:val="28"/>
          <w:u w:val="single"/>
          <w:lang w:eastAsia="zh-CN"/>
        </w:rPr>
        <w:t>、</w:t>
      </w:r>
      <w:r>
        <w:rPr>
          <w:rFonts w:hint="eastAsia" w:ascii="仿宋_GB2312" w:hAnsi="宋体" w:eastAsia="仿宋_GB2312" w:cs="仿宋_GB2312"/>
          <w:sz w:val="28"/>
          <w:szCs w:val="28"/>
          <w:u w:val="single"/>
          <w:lang w:val="en-US" w:eastAsia="zh-CN"/>
        </w:rPr>
        <w:t>新华丝路、中国金融信息网</w:t>
      </w:r>
      <w:r>
        <w:rPr>
          <w:rFonts w:hint="eastAsia" w:ascii="仿宋_GB2312" w:hAnsi="宋体" w:eastAsia="仿宋_GB2312" w:cs="仿宋_GB2312"/>
          <w:sz w:val="28"/>
          <w:szCs w:val="28"/>
          <w:u w:val="single"/>
        </w:rPr>
        <w:t>等平台上以文字、图片、视频形式提供信息</w:t>
      </w:r>
      <w:r>
        <w:rPr>
          <w:rFonts w:hint="eastAsia" w:ascii="仿宋_GB2312" w:hAnsi="宋体" w:eastAsia="仿宋_GB2312" w:cs="仿宋_GB2312"/>
          <w:sz w:val="28"/>
          <w:szCs w:val="28"/>
          <w:u w:val="single"/>
          <w:lang w:val="en-US" w:eastAsia="zh-CN"/>
        </w:rPr>
        <w:t>落地传播</w:t>
      </w:r>
      <w:r>
        <w:rPr>
          <w:rFonts w:hint="eastAsia" w:ascii="仿宋_GB2312" w:hAnsi="宋体" w:eastAsia="仿宋_GB2312" w:cs="仿宋_GB2312"/>
          <w:sz w:val="28"/>
          <w:szCs w:val="28"/>
          <w:u w:val="single"/>
        </w:rPr>
        <w:t>服务。</w:t>
      </w:r>
    </w:p>
    <w:p w14:paraId="1ACCBE76">
      <w:pPr>
        <w:spacing w:line="500" w:lineRule="exact"/>
        <w:ind w:firstLine="560" w:firstLineChars="200"/>
        <w:rPr>
          <w:rFonts w:hint="eastAsia" w:ascii="仿宋_GB2312" w:hAnsi="宋体" w:eastAsia="仿宋_GB2312" w:cs="仿宋_GB2312"/>
          <w:sz w:val="28"/>
          <w:szCs w:val="28"/>
          <w:u w:val="single"/>
        </w:rPr>
      </w:pPr>
      <w:r>
        <w:rPr>
          <w:rFonts w:hint="eastAsia" w:ascii="仿宋_GB2312" w:hAnsi="宋体" w:eastAsia="仿宋_GB2312" w:cs="仿宋_GB2312"/>
          <w:sz w:val="28"/>
          <w:szCs w:val="28"/>
          <w:u w:val="single"/>
        </w:rPr>
        <w:t>2.对于关键舆情事件进行告知和监测，根据需要撰写专报。</w:t>
      </w:r>
    </w:p>
    <w:p w14:paraId="4F02FA7B">
      <w:pPr>
        <w:spacing w:line="500" w:lineRule="exact"/>
        <w:ind w:firstLine="560" w:firstLineChars="200"/>
        <w:rPr>
          <w:rFonts w:hint="eastAsia" w:ascii="仿宋_GB2312" w:hAnsi="宋体" w:eastAsia="仿宋_GB2312" w:cs="仿宋_GB2312"/>
          <w:sz w:val="28"/>
          <w:szCs w:val="28"/>
          <w:u w:val="single"/>
        </w:rPr>
      </w:pPr>
      <w:r>
        <w:rPr>
          <w:rFonts w:hint="eastAsia" w:ascii="仿宋_GB2312" w:hAnsi="宋体" w:eastAsia="仿宋_GB2312" w:cs="仿宋_GB2312"/>
          <w:sz w:val="28"/>
          <w:szCs w:val="28"/>
          <w:u w:val="single"/>
        </w:rPr>
        <w:t>3.定期梳理分析舆情事件信息，按期提供舆情季报。</w:t>
      </w:r>
    </w:p>
    <w:p w14:paraId="69AEFE0D">
      <w:pPr>
        <w:spacing w:line="500" w:lineRule="exact"/>
        <w:ind w:firstLine="560" w:firstLineChars="200"/>
        <w:rPr>
          <w:rFonts w:hint="eastAsia" w:ascii="仿宋_GB2312" w:hAnsi="宋体" w:eastAsia="仿宋_GB2312" w:cs="仿宋_GB2312"/>
          <w:sz w:val="28"/>
          <w:szCs w:val="28"/>
          <w:u w:val="single"/>
        </w:rPr>
      </w:pPr>
      <w:r>
        <w:rPr>
          <w:rFonts w:hint="eastAsia" w:ascii="仿宋_GB2312" w:hAnsi="宋体" w:eastAsia="仿宋_GB2312" w:cs="仿宋_GB2312"/>
          <w:sz w:val="28"/>
          <w:szCs w:val="28"/>
          <w:u w:val="single"/>
        </w:rPr>
        <w:t>4.围绕榆阳区重点工作，策划并开展</w:t>
      </w:r>
      <w:r>
        <w:rPr>
          <w:rFonts w:hint="eastAsia" w:ascii="仿宋_GB2312" w:hAnsi="宋体" w:eastAsia="仿宋_GB2312" w:cs="仿宋_GB2312"/>
          <w:sz w:val="28"/>
          <w:szCs w:val="28"/>
          <w:u w:val="single"/>
          <w:lang w:val="en-US" w:eastAsia="zh-CN"/>
        </w:rPr>
        <w:t>至少一次</w:t>
      </w:r>
      <w:r>
        <w:rPr>
          <w:rFonts w:hint="eastAsia" w:ascii="仿宋_GB2312" w:hAnsi="宋体" w:eastAsia="仿宋_GB2312" w:cs="仿宋_GB2312"/>
          <w:sz w:val="28"/>
          <w:szCs w:val="28"/>
          <w:u w:val="single"/>
        </w:rPr>
        <w:t>专题调研活动，</w:t>
      </w:r>
      <w:r>
        <w:rPr>
          <w:rFonts w:hint="eastAsia" w:ascii="仿宋_GB2312" w:hAnsi="宋体" w:eastAsia="仿宋_GB2312" w:cs="仿宋_GB2312"/>
          <w:sz w:val="28"/>
          <w:szCs w:val="28"/>
          <w:u w:val="single"/>
          <w:lang w:val="en-US" w:eastAsia="zh-CN"/>
        </w:rPr>
        <w:t>形成</w:t>
      </w:r>
      <w:r>
        <w:rPr>
          <w:rFonts w:hint="eastAsia" w:ascii="仿宋_GB2312" w:hAnsi="宋体" w:eastAsia="仿宋_GB2312" w:cs="仿宋_GB2312"/>
          <w:sz w:val="28"/>
          <w:szCs w:val="28"/>
          <w:u w:val="single"/>
        </w:rPr>
        <w:t>智库报告等调研成果。</w:t>
      </w:r>
    </w:p>
    <w:p w14:paraId="2B597686">
      <w:pPr>
        <w:spacing w:line="500" w:lineRule="exact"/>
        <w:ind w:firstLine="560" w:firstLineChars="200"/>
        <w:rPr>
          <w:rFonts w:hint="eastAsia" w:ascii="仿宋_GB2312" w:hAnsi="宋体" w:eastAsia="仿宋_GB2312" w:cs="仿宋_GB2312"/>
          <w:sz w:val="28"/>
          <w:szCs w:val="28"/>
          <w:u w:val="single"/>
          <w:lang w:val="en-US" w:eastAsia="zh-CN"/>
        </w:rPr>
      </w:pPr>
      <w:r>
        <w:rPr>
          <w:rFonts w:hint="eastAsia" w:ascii="仿宋_GB2312" w:hAnsi="宋体" w:eastAsia="仿宋_GB2312" w:cs="仿宋_GB2312"/>
          <w:sz w:val="28"/>
          <w:szCs w:val="28"/>
          <w:u w:val="single"/>
          <w:lang w:val="en-US" w:eastAsia="zh-CN"/>
        </w:rPr>
        <w:t>5.《高管信息·陕西》文本服务。</w:t>
      </w:r>
    </w:p>
    <w:p w14:paraId="66794BCF">
      <w:pPr>
        <w:pStyle w:val="10"/>
        <w:keepNext w:val="0"/>
        <w:keepLines w:val="0"/>
        <w:pageBreakBefore w:val="0"/>
        <w:widowControl w:val="0"/>
        <w:kinsoku/>
        <w:wordWrap/>
        <w:overflowPunct/>
        <w:topLinePunct w:val="0"/>
        <w:autoSpaceDE/>
        <w:autoSpaceDN/>
        <w:bidi w:val="0"/>
        <w:adjustRightInd/>
        <w:snapToGrid/>
        <w:spacing w:before="0" w:after="0"/>
        <w:jc w:val="left"/>
        <w:textAlignment w:val="auto"/>
        <w:rPr>
          <w:rFonts w:hint="eastAsia" w:ascii="仿宋_GB2312" w:hAnsi="宋体" w:eastAsia="仿宋_GB2312" w:cs="仿宋_GB2312"/>
          <w:b w:val="0"/>
          <w:bCs w:val="0"/>
          <w:kern w:val="2"/>
          <w:sz w:val="28"/>
          <w:szCs w:val="28"/>
          <w:lang w:val="en-US" w:eastAsia="zh-CN" w:bidi="ar-SA"/>
        </w:rPr>
      </w:pPr>
      <w:r>
        <w:rPr>
          <w:rFonts w:hint="eastAsia" w:ascii="仿宋_GB2312" w:hAnsi="宋体" w:eastAsia="仿宋_GB2312" w:cs="仿宋_GB2312"/>
          <w:lang w:val="en-US" w:eastAsia="zh-CN"/>
        </w:rPr>
        <w:t xml:space="preserve">   </w:t>
      </w:r>
      <w:r>
        <w:rPr>
          <w:rFonts w:hint="eastAsia" w:ascii="仿宋_GB2312" w:hAnsi="宋体" w:eastAsia="仿宋_GB2312" w:cs="仿宋_GB2312"/>
          <w:b/>
          <w:bCs/>
          <w:kern w:val="2"/>
          <w:sz w:val="28"/>
          <w:szCs w:val="28"/>
          <w:lang w:val="en-US" w:eastAsia="zh-CN" w:bidi="ar-SA"/>
        </w:rPr>
        <w:t>二、</w:t>
      </w:r>
      <w:r>
        <w:rPr>
          <w:rFonts w:hint="eastAsia" w:ascii="仿宋_GB2312" w:hAnsi="宋体" w:eastAsia="仿宋_GB2312" w:cs="仿宋_GB2312"/>
          <w:b w:val="0"/>
          <w:bCs w:val="0"/>
          <w:kern w:val="2"/>
          <w:sz w:val="28"/>
          <w:szCs w:val="28"/>
          <w:lang w:val="en-US" w:eastAsia="zh-CN" w:bidi="ar-SA"/>
        </w:rPr>
        <w:t>对于《高管信息》等乙方通过邮寄快递等方式以纸质文本提供服务的，乙方应按照出版发行时间或本协议约定的时间向甲方协议中所留地址邮寄快递。甲方如未收到纸质文本的，应于</w:t>
      </w:r>
      <w:r>
        <w:rPr>
          <w:rFonts w:hint="eastAsia" w:ascii="仿宋_GB2312" w:hAnsi="宋体" w:eastAsia="仿宋_GB2312" w:cs="仿宋_GB2312"/>
          <w:b w:val="0"/>
          <w:bCs w:val="0"/>
          <w:kern w:val="2"/>
          <w:sz w:val="28"/>
          <w:szCs w:val="28"/>
          <w:u w:val="single"/>
          <w:lang w:val="en-US" w:eastAsia="zh-CN" w:bidi="ar-SA"/>
        </w:rPr>
        <w:t xml:space="preserve"> 15  </w:t>
      </w:r>
      <w:r>
        <w:rPr>
          <w:rFonts w:hint="eastAsia" w:ascii="仿宋_GB2312" w:hAnsi="宋体" w:eastAsia="仿宋_GB2312" w:cs="仿宋_GB2312"/>
          <w:b w:val="0"/>
          <w:bCs w:val="0"/>
          <w:kern w:val="2"/>
          <w:sz w:val="28"/>
          <w:szCs w:val="28"/>
          <w:lang w:val="en-US" w:eastAsia="zh-CN" w:bidi="ar-SA"/>
        </w:rPr>
        <w:t>日内向乙方授权邮箱发送邮件或者以其他书面形式要求乙方补发。如甲方未提出补发要求，则视为甲方已收到本协议所约定的纸质文本。</w:t>
      </w:r>
    </w:p>
    <w:p w14:paraId="75DBC83E">
      <w:pPr>
        <w:pStyle w:val="10"/>
        <w:keepNext w:val="0"/>
        <w:keepLines w:val="0"/>
        <w:pageBreakBefore w:val="0"/>
        <w:widowControl w:val="0"/>
        <w:kinsoku/>
        <w:wordWrap/>
        <w:overflowPunct/>
        <w:topLinePunct w:val="0"/>
        <w:autoSpaceDE/>
        <w:autoSpaceDN/>
        <w:bidi w:val="0"/>
        <w:adjustRightInd/>
        <w:snapToGrid/>
        <w:spacing w:before="0" w:after="0"/>
        <w:jc w:val="left"/>
        <w:textAlignment w:val="auto"/>
        <w:rPr>
          <w:rFonts w:hint="eastAsia" w:ascii="仿宋_GB2312" w:hAnsi="宋体" w:eastAsia="仿宋_GB2312" w:cs="仿宋_GB2312"/>
          <w:b w:val="0"/>
          <w:bCs w:val="0"/>
          <w:kern w:val="2"/>
          <w:sz w:val="28"/>
          <w:szCs w:val="28"/>
          <w:lang w:val="en-US" w:eastAsia="zh-CN" w:bidi="ar-SA"/>
        </w:rPr>
      </w:pPr>
      <w:r>
        <w:rPr>
          <w:rFonts w:hint="eastAsia" w:ascii="仿宋_GB2312" w:hAnsi="宋体" w:eastAsia="仿宋_GB2312" w:cs="仿宋_GB2312"/>
          <w:b w:val="0"/>
          <w:bCs w:val="0"/>
          <w:kern w:val="2"/>
          <w:sz w:val="28"/>
          <w:szCs w:val="28"/>
          <w:lang w:val="en-US" w:eastAsia="zh-CN" w:bidi="ar-SA"/>
        </w:rPr>
        <w:t xml:space="preserve">    对于乙方提供电子刊产品的，乙方应通过授权邮箱按协议约定发送至甲方授权邮箱。甲方如未收到电子刊的，应及时向乙方授权邮箱或者以其他书面形式要求乙方补发。如甲方未提出补发要求，则视为甲方已收到本协议所约定的电子刊产品。</w:t>
      </w:r>
    </w:p>
    <w:p w14:paraId="4FF84576">
      <w:pPr>
        <w:pStyle w:val="10"/>
        <w:ind w:firstLine="964" w:firstLineChars="300"/>
        <w:jc w:val="left"/>
        <w:rPr>
          <w:rFonts w:ascii="仿宋_GB2312" w:hAnsi="宋体" w:eastAsia="仿宋_GB2312" w:cs="Times New Roman"/>
        </w:rPr>
      </w:pPr>
      <w:r>
        <w:rPr>
          <w:rFonts w:hint="eastAsia" w:ascii="仿宋_GB2312" w:hAnsi="宋体" w:eastAsia="仿宋_GB2312" w:cs="仿宋_GB2312"/>
        </w:rPr>
        <w:t>第二条</w:t>
      </w:r>
      <w:r>
        <w:rPr>
          <w:rFonts w:ascii="仿宋_GB2312" w:hAnsi="宋体" w:eastAsia="仿宋_GB2312" w:cs="仿宋_GB2312"/>
        </w:rPr>
        <w:t xml:space="preserve">  </w:t>
      </w:r>
      <w:r>
        <w:rPr>
          <w:rFonts w:hint="eastAsia" w:ascii="仿宋_GB2312" w:hAnsi="宋体" w:eastAsia="仿宋_GB2312" w:cs="仿宋_GB2312"/>
        </w:rPr>
        <w:t>服务费用及支付</w:t>
      </w:r>
    </w:p>
    <w:p w14:paraId="3210F5F8">
      <w:pPr>
        <w:pStyle w:val="34"/>
        <w:numPr>
          <w:ilvl w:val="0"/>
          <w:numId w:val="1"/>
        </w:numPr>
        <w:spacing w:line="500" w:lineRule="exact"/>
        <w:ind w:firstLineChars="0"/>
        <w:rPr>
          <w:rFonts w:ascii="仿宋_GB2312" w:hAnsi="宋体" w:eastAsia="仿宋_GB2312" w:cs="仿宋_GB2312"/>
          <w:sz w:val="28"/>
          <w:szCs w:val="28"/>
        </w:rPr>
      </w:pPr>
      <w:r>
        <w:rPr>
          <w:rFonts w:hint="eastAsia" w:ascii="仿宋_GB2312" w:hAnsi="宋体" w:eastAsia="仿宋_GB2312" w:cs="仿宋_GB2312"/>
          <w:sz w:val="28"/>
          <w:szCs w:val="28"/>
        </w:rPr>
        <w:t>甲方向乙方支付本协议项下服务费用合计人民币：</w:t>
      </w:r>
    </w:p>
    <w:p w14:paraId="0A497202">
      <w:pPr>
        <w:spacing w:line="500" w:lineRule="exact"/>
        <w:ind w:left="560"/>
        <w:rPr>
          <w:rFonts w:ascii="仿宋_GB2312" w:hAnsi="宋体" w:eastAsia="仿宋_GB2312"/>
          <w:sz w:val="28"/>
          <w:szCs w:val="28"/>
        </w:rPr>
      </w:pPr>
      <w:r>
        <w:rPr>
          <w:rFonts w:hint="eastAsia" w:ascii="仿宋_GB2312" w:hAnsi="宋体" w:eastAsia="仿宋_GB2312" w:cs="仿宋_GB2312"/>
          <w:sz w:val="28"/>
          <w:szCs w:val="28"/>
        </w:rPr>
        <w:t>含增值税金额（税率为6</w:t>
      </w:r>
      <w:r>
        <w:rPr>
          <w:rFonts w:ascii="仿宋_GB2312" w:hAnsi="宋体" w:eastAsia="仿宋_GB2312" w:cs="仿宋_GB2312"/>
          <w:sz w:val="28"/>
          <w:szCs w:val="28"/>
        </w:rPr>
        <w:t>%</w:t>
      </w:r>
      <w:r>
        <w:rPr>
          <w:rFonts w:hint="eastAsia" w:ascii="仿宋_GB2312" w:hAnsi="宋体" w:eastAsia="仿宋_GB2312" w:cs="仿宋_GB2312"/>
          <w:sz w:val="28"/>
          <w:szCs w:val="28"/>
        </w:rPr>
        <w:t>）：</w:t>
      </w:r>
    </w:p>
    <w:p w14:paraId="2A64A4D4">
      <w:pPr>
        <w:spacing w:line="50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（大写）</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整</w:t>
      </w:r>
    </w:p>
    <w:p w14:paraId="1D37087B">
      <w:pPr>
        <w:spacing w:line="500" w:lineRule="exact"/>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（小写）</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rPr>
        <w:t>元</w:t>
      </w:r>
    </w:p>
    <w:p w14:paraId="606E8A46">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付款方式：</w:t>
      </w:r>
    </w:p>
    <w:p w14:paraId="74EC95C0">
      <w:pPr>
        <w:spacing w:line="500" w:lineRule="exact"/>
        <w:ind w:firstLine="560" w:firstLineChars="200"/>
        <w:rPr>
          <w:rFonts w:ascii="仿宋_GB2312" w:hAnsi="宋体" w:eastAsia="仿宋_GB2312"/>
          <w:color w:val="0000FF"/>
          <w:sz w:val="28"/>
          <w:szCs w:val="28"/>
        </w:rPr>
      </w:pPr>
      <w:r>
        <w:rPr>
          <w:rFonts w:hint="eastAsia" w:ascii="仿宋_GB2312" w:hAnsi="宋体" w:eastAsia="仿宋_GB2312" w:cs="仿宋_GB2312"/>
          <w:sz w:val="28"/>
          <w:szCs w:val="28"/>
        </w:rPr>
        <w:t>双方于合同签订后，甲方在收到乙方开具相应金额的信息业务发票后的</w:t>
      </w:r>
      <w:r>
        <w:rPr>
          <w:rFonts w:hint="eastAsia" w:ascii="仿宋_GB2312" w:hAnsi="宋体" w:eastAsia="仿宋_GB2312" w:cs="仿宋_GB2312"/>
          <w:sz w:val="28"/>
          <w:szCs w:val="28"/>
          <w:u w:val="single"/>
        </w:rPr>
        <w:t>30</w:t>
      </w:r>
      <w:r>
        <w:rPr>
          <w:rFonts w:hint="eastAsia" w:ascii="仿宋_GB2312" w:hAnsi="宋体" w:eastAsia="仿宋_GB2312" w:cs="仿宋_GB2312"/>
          <w:sz w:val="28"/>
          <w:szCs w:val="28"/>
        </w:rPr>
        <w:t>日内，将本协议约定服务费用一次性支付至乙方指定的银行账户。</w:t>
      </w:r>
    </w:p>
    <w:p w14:paraId="1E7F5906">
      <w:pPr>
        <w:numPr>
          <w:ilvl w:val="0"/>
          <w:numId w:val="1"/>
        </w:numPr>
        <w:spacing w:line="500" w:lineRule="exact"/>
        <w:ind w:left="848" w:leftChars="0" w:hanging="288" w:firstLineChars="0"/>
        <w:rPr>
          <w:rFonts w:hint="eastAsia" w:ascii="仿宋_GB2312" w:hAnsi="宋体" w:eastAsia="仿宋_GB2312" w:cs="仿宋_GB2312"/>
          <w:sz w:val="28"/>
          <w:szCs w:val="28"/>
        </w:rPr>
      </w:pPr>
      <w:r>
        <w:rPr>
          <w:rFonts w:hint="eastAsia" w:ascii="仿宋_GB2312" w:hAnsi="宋体" w:eastAsia="仿宋_GB2312" w:cs="仿宋_GB2312"/>
          <w:sz w:val="28"/>
          <w:szCs w:val="28"/>
        </w:rPr>
        <w:t>乙方指定的银行账户信息如下：</w:t>
      </w:r>
    </w:p>
    <w:p w14:paraId="09EFF05F">
      <w:pPr>
        <w:numPr>
          <w:ilvl w:val="0"/>
          <w:numId w:val="0"/>
        </w:numPr>
        <w:spacing w:line="500" w:lineRule="exact"/>
        <w:ind w:left="560" w:leftChars="0"/>
        <w:rPr>
          <w:rFonts w:hint="eastAsia" w:ascii="仿宋_GB2312" w:hAnsi="宋体" w:eastAsia="仿宋_GB2312" w:cs="仿宋_GB2312"/>
          <w:sz w:val="28"/>
          <w:szCs w:val="28"/>
        </w:rPr>
      </w:pPr>
      <w:r>
        <w:rPr>
          <w:rFonts w:hint="eastAsia" w:ascii="仿宋_GB2312" w:hAnsi="宋体" w:eastAsia="仿宋_GB2312" w:cs="仿宋_GB2312"/>
          <w:sz w:val="28"/>
          <w:szCs w:val="28"/>
        </w:rPr>
        <w:t>单位名称:</w:t>
      </w:r>
    </w:p>
    <w:p w14:paraId="15421739">
      <w:pPr>
        <w:numPr>
          <w:ilvl w:val="0"/>
          <w:numId w:val="0"/>
        </w:numPr>
        <w:spacing w:line="500" w:lineRule="exact"/>
        <w:ind w:left="560" w:leftChars="0"/>
        <w:rPr>
          <w:rFonts w:hint="eastAsia" w:ascii="仿宋_GB2312" w:hAnsi="宋体" w:eastAsia="仿宋_GB2312" w:cs="仿宋_GB2312"/>
          <w:sz w:val="28"/>
          <w:szCs w:val="28"/>
          <w:u w:val="single"/>
        </w:rPr>
      </w:pPr>
      <w:r>
        <w:rPr>
          <w:rFonts w:hint="eastAsia" w:ascii="仿宋_GB2312" w:hAnsi="宋体" w:eastAsia="仿宋_GB2312" w:cs="仿宋_GB2312"/>
          <w:sz w:val="28"/>
          <w:szCs w:val="28"/>
        </w:rPr>
        <w:t>开户行:</w:t>
      </w:r>
    </w:p>
    <w:p w14:paraId="6DEC91E4">
      <w:pPr>
        <w:numPr>
          <w:ilvl w:val="0"/>
          <w:numId w:val="0"/>
        </w:numPr>
        <w:spacing w:line="500" w:lineRule="exact"/>
        <w:ind w:left="560" w:leftChars="0"/>
        <w:rPr>
          <w:rFonts w:hint="eastAsia" w:ascii="仿宋_GB2312" w:hAnsi="宋体" w:eastAsia="仿宋_GB2312" w:cs="仿宋_GB2312"/>
          <w:sz w:val="28"/>
          <w:szCs w:val="28"/>
          <w:u w:val="single"/>
        </w:rPr>
      </w:pPr>
      <w:r>
        <w:rPr>
          <w:rFonts w:hint="eastAsia" w:ascii="仿宋_GB2312" w:hAnsi="宋体" w:eastAsia="仿宋_GB2312" w:cs="仿宋_GB2312"/>
          <w:sz w:val="28"/>
          <w:szCs w:val="28"/>
        </w:rPr>
        <w:t>账号:</w:t>
      </w:r>
    </w:p>
    <w:p w14:paraId="0046F00C">
      <w:pPr>
        <w:pStyle w:val="10"/>
        <w:ind w:firstLine="630" w:firstLineChars="196"/>
        <w:jc w:val="both"/>
        <w:rPr>
          <w:rFonts w:ascii="仿宋_GB2312" w:eastAsia="仿宋_GB2312" w:cs="Times New Roman"/>
        </w:rPr>
      </w:pPr>
      <w:r>
        <w:rPr>
          <w:rFonts w:hint="eastAsia" w:ascii="仿宋_GB2312" w:eastAsia="仿宋_GB2312" w:cs="仿宋_GB2312"/>
        </w:rPr>
        <w:t>第三条</w:t>
      </w:r>
      <w:r>
        <w:rPr>
          <w:rFonts w:ascii="仿宋_GB2312" w:eastAsia="仿宋_GB2312" w:cs="仿宋_GB2312"/>
        </w:rPr>
        <w:t xml:space="preserve">  </w:t>
      </w:r>
      <w:r>
        <w:rPr>
          <w:rFonts w:hint="eastAsia" w:ascii="仿宋_GB2312" w:eastAsia="仿宋_GB2312" w:cs="仿宋_GB2312"/>
        </w:rPr>
        <w:t>服务期限</w:t>
      </w:r>
    </w:p>
    <w:p w14:paraId="3A2AFFAD">
      <w:pPr>
        <w:spacing w:line="50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1.本协议约定服务期为</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rPr>
        <w:t>年：</w:t>
      </w:r>
      <w:bookmarkStart w:id="0" w:name="_GoBack"/>
      <w:bookmarkEnd w:id="0"/>
    </w:p>
    <w:p w14:paraId="2545252E">
      <w:pPr>
        <w:spacing w:line="50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自</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年</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rPr>
        <w:t>月</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日起至</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rPr>
        <w:t>年</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rPr>
        <w:t>月</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 xml:space="preserve">  </w:t>
      </w:r>
      <w:r>
        <w:rPr>
          <w:rFonts w:hint="eastAsia" w:ascii="仿宋_GB2312" w:hAnsi="宋体" w:eastAsia="仿宋_GB2312" w:cs="仿宋_GB2312"/>
          <w:sz w:val="28"/>
          <w:szCs w:val="28"/>
          <w:u w:val="single"/>
        </w:rPr>
        <w:t xml:space="preserve"> </w:t>
      </w:r>
      <w:r>
        <w:rPr>
          <w:rFonts w:hint="eastAsia" w:ascii="仿宋_GB2312" w:hAnsi="宋体" w:eastAsia="仿宋_GB2312" w:cs="仿宋_GB2312"/>
          <w:sz w:val="28"/>
          <w:szCs w:val="28"/>
        </w:rPr>
        <w:t>日止。</w:t>
      </w:r>
    </w:p>
    <w:p w14:paraId="20FD6F12">
      <w:pPr>
        <w:spacing w:line="50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2. 本协议约定服务期满后按如下方式解决：</w:t>
      </w:r>
    </w:p>
    <w:p w14:paraId="7337CE40">
      <w:pPr>
        <w:spacing w:line="500" w:lineRule="exact"/>
        <w:ind w:firstLine="560" w:firstLineChars="200"/>
        <w:rPr>
          <w:rFonts w:ascii="仿宋_GB2312" w:hAnsi="宋体" w:eastAsia="仿宋_GB2312"/>
          <w:sz w:val="28"/>
          <w:szCs w:val="28"/>
        </w:rPr>
      </w:pPr>
      <w:r>
        <w:rPr>
          <w:rFonts w:hint="eastAsia" w:ascii="仿宋_GB2312" w:hAnsi="仿宋" w:eastAsia="仿宋_GB2312" w:cs="仿宋"/>
          <w:sz w:val="28"/>
          <w:szCs w:val="28"/>
        </w:rPr>
        <w:t>本协议期满后，若双方未提出异议，协议自动顺延。</w:t>
      </w:r>
    </w:p>
    <w:p w14:paraId="6E0C4602">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第四条</w:t>
      </w:r>
      <w:r>
        <w:rPr>
          <w:rFonts w:ascii="仿宋_GB2312" w:hAnsi="宋体" w:eastAsia="仿宋_GB2312" w:cs="仿宋_GB2312"/>
        </w:rPr>
        <w:t xml:space="preserve">  </w:t>
      </w:r>
      <w:r>
        <w:rPr>
          <w:rFonts w:hint="eastAsia" w:ascii="仿宋_GB2312" w:hAnsi="宋体" w:eastAsia="仿宋_GB2312" w:cs="仿宋_GB2312"/>
        </w:rPr>
        <w:t>甲方的权利和义务</w:t>
      </w:r>
    </w:p>
    <w:p w14:paraId="6FBF31B0">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甲方仅以本单位内部管理、决策、研究、分析的范围和方式使用本协议约定的信息服务成果。</w:t>
      </w:r>
    </w:p>
    <w:p w14:paraId="51BE353C">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甲方不得将乙方提供的信息产品公开发表或用于商业性运营或向第三方提供，如以任何形式传输到甲方以外的任何网络和媒体，或用于（包括但不限于）短彩信、</w:t>
      </w:r>
      <w:r>
        <w:rPr>
          <w:rFonts w:ascii="仿宋_GB2312" w:hAnsi="宋体" w:eastAsia="仿宋_GB2312" w:cs="仿宋_GB2312"/>
          <w:sz w:val="28"/>
          <w:szCs w:val="28"/>
        </w:rPr>
        <w:t>APP</w:t>
      </w:r>
      <w:r>
        <w:rPr>
          <w:rFonts w:hint="eastAsia" w:ascii="仿宋_GB2312" w:hAnsi="宋体" w:eastAsia="仿宋_GB2312" w:cs="仿宋_GB2312"/>
          <w:sz w:val="28"/>
          <w:szCs w:val="28"/>
        </w:rPr>
        <w:t>、公众号等各种形式。</w:t>
      </w:r>
    </w:p>
    <w:p w14:paraId="3A251F76">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甲方若以超出本协议约定的范围和方式，使用、复制或传播本协议项下信息产品，应事先征得乙方书面同意，并明确超范围使用的方式和责任。</w:t>
      </w:r>
    </w:p>
    <w:p w14:paraId="5A974AE0">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4.</w:t>
      </w:r>
      <w:r>
        <w:rPr>
          <w:rFonts w:hint="eastAsia" w:ascii="仿宋_GB2312" w:hAnsi="宋体" w:eastAsia="仿宋_GB2312" w:cs="仿宋_GB2312"/>
          <w:sz w:val="28"/>
          <w:szCs w:val="28"/>
        </w:rPr>
        <w:t>甲方应保证接受乙方信息服务的联系方式准确无误，若有变更应立即以书面形式通知乙方，如因通知不及时而导致的一切损失由甲方自行承担。</w:t>
      </w:r>
    </w:p>
    <w:p w14:paraId="694E738F">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第五条</w:t>
      </w:r>
      <w:r>
        <w:rPr>
          <w:rFonts w:ascii="仿宋_GB2312" w:hAnsi="宋体" w:eastAsia="仿宋_GB2312" w:cs="仿宋_GB2312"/>
        </w:rPr>
        <w:t xml:space="preserve">  </w:t>
      </w:r>
      <w:r>
        <w:rPr>
          <w:rFonts w:hint="eastAsia" w:ascii="仿宋_GB2312" w:hAnsi="宋体" w:eastAsia="仿宋_GB2312" w:cs="仿宋_GB2312"/>
        </w:rPr>
        <w:t>乙方的权利和义务</w:t>
      </w:r>
    </w:p>
    <w:p w14:paraId="1EB3EB5C">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乙方在协议生效期内，按本协议约定向甲方提供服务，并以本协议首部载明的联系信息作为提供服务的对接方式。</w:t>
      </w:r>
    </w:p>
    <w:p w14:paraId="6B18BAB2">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听取甲方对乙方信息产品质量、传输时效及技术服务的意见、建议和要求。</w:t>
      </w:r>
    </w:p>
    <w:p w14:paraId="38156309">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乙方按照本协议约定负责信息的数据采集、加工、处理、分析、撰写报告等工作，以确保服务质量符合本协议约定。</w:t>
      </w:r>
    </w:p>
    <w:p w14:paraId="4C710527">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4.</w:t>
      </w:r>
      <w:r>
        <w:rPr>
          <w:rFonts w:hint="eastAsia" w:ascii="仿宋_GB2312" w:hAnsi="宋体" w:eastAsia="仿宋_GB2312" w:cs="仿宋_GB2312"/>
          <w:sz w:val="28"/>
          <w:szCs w:val="28"/>
        </w:rPr>
        <w:t>因乙方原因造成甲方不能接收信息，乙方在接到甲方通知后，应及时排除故障。</w:t>
      </w:r>
    </w:p>
    <w:p w14:paraId="74A15854">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第六条</w:t>
      </w:r>
      <w:r>
        <w:rPr>
          <w:rFonts w:ascii="仿宋_GB2312" w:hAnsi="宋体" w:eastAsia="仿宋_GB2312" w:cs="仿宋_GB2312"/>
        </w:rPr>
        <w:t xml:space="preserve">  </w:t>
      </w:r>
      <w:r>
        <w:rPr>
          <w:rFonts w:hint="eastAsia" w:ascii="仿宋_GB2312" w:hAnsi="宋体" w:eastAsia="仿宋_GB2312" w:cs="仿宋_GB2312"/>
        </w:rPr>
        <w:t>知识产权及保密</w:t>
      </w:r>
    </w:p>
    <w:p w14:paraId="34AFC8B8">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乙方为甲方提供服务所交付的相关文件材料及载体，其知识产权、商业秘密及非公开信息等合法权益归乙方所有。</w:t>
      </w:r>
    </w:p>
    <w:p w14:paraId="0E511619">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甲方应尊重和保护本协议项下服务成果、载体等方面涉及的知识产权。</w:t>
      </w:r>
    </w:p>
    <w:p w14:paraId="17798846">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甲乙双方均应就有关本协议项下一切相关事宜进行保密，不得披露双方合作内容、方式以及过程等。需要对外披露的，必须经双方共同协商书面同意后方可进行。双方上述保密义务不因协议的终止和无效而解除。</w:t>
      </w:r>
    </w:p>
    <w:p w14:paraId="753859F5">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4.</w:t>
      </w:r>
      <w:r>
        <w:rPr>
          <w:rFonts w:hint="eastAsia" w:ascii="仿宋_GB2312" w:hAnsi="宋体" w:eastAsia="仿宋_GB2312" w:cs="仿宋_GB2312"/>
          <w:sz w:val="28"/>
          <w:szCs w:val="28"/>
        </w:rPr>
        <w:t>甲方应建立自查机制，发现部门单位及个人有违背本协议约定行为的，应</w:t>
      </w:r>
      <w:r>
        <w:rPr>
          <w:rFonts w:ascii="仿宋_GB2312" w:hAnsi="宋体" w:eastAsia="仿宋_GB2312" w:cs="仿宋_GB2312"/>
          <w:sz w:val="28"/>
          <w:szCs w:val="28"/>
        </w:rPr>
        <w:t>3</w:t>
      </w:r>
      <w:r>
        <w:rPr>
          <w:rFonts w:hint="eastAsia" w:ascii="仿宋_GB2312" w:hAnsi="宋体" w:eastAsia="仿宋_GB2312" w:cs="仿宋_GB2312"/>
          <w:sz w:val="28"/>
          <w:szCs w:val="28"/>
        </w:rPr>
        <w:t>个工作日内纠正。如上述问题存在超过</w:t>
      </w:r>
      <w:r>
        <w:rPr>
          <w:rFonts w:ascii="仿宋_GB2312" w:hAnsi="宋体" w:eastAsia="仿宋_GB2312" w:cs="仿宋_GB2312"/>
          <w:sz w:val="28"/>
          <w:szCs w:val="28"/>
        </w:rPr>
        <w:t>5</w:t>
      </w:r>
      <w:r>
        <w:rPr>
          <w:rFonts w:hint="eastAsia" w:ascii="仿宋_GB2312" w:hAnsi="宋体" w:eastAsia="仿宋_GB2312" w:cs="仿宋_GB2312"/>
          <w:sz w:val="28"/>
          <w:szCs w:val="28"/>
        </w:rPr>
        <w:t>个工作日，乙方有权在书面通知甲方后暂停提供服务，直至确认上述行为已纠正则恢复提供服务，纠正期间服务期的计算不中止。</w:t>
      </w:r>
    </w:p>
    <w:p w14:paraId="1F49A6CA">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第七条</w:t>
      </w:r>
      <w:r>
        <w:rPr>
          <w:rFonts w:ascii="仿宋_GB2312" w:hAnsi="宋体" w:eastAsia="仿宋_GB2312" w:cs="仿宋_GB2312"/>
        </w:rPr>
        <w:t xml:space="preserve">  </w:t>
      </w:r>
      <w:r>
        <w:rPr>
          <w:rFonts w:hint="eastAsia" w:ascii="仿宋_GB2312" w:hAnsi="宋体" w:eastAsia="仿宋_GB2312" w:cs="仿宋_GB2312"/>
        </w:rPr>
        <w:t>通知及送达</w:t>
      </w:r>
    </w:p>
    <w:p w14:paraId="7EA45474">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根据本协议需要发出的全部通知，均须采取书面形式，并通过专人递送、特快专递、传真、挂号信件等方式发出，特快专递或挂号信件的交寄日为准。</w:t>
      </w:r>
    </w:p>
    <w:p w14:paraId="73045D3E">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上述书面通知收件人及收件地址按对方在本协议首部载明的信息发出。如任何一方的地址有变更时，须在变更前</w:t>
      </w:r>
      <w:r>
        <w:rPr>
          <w:rFonts w:ascii="仿宋_GB2312" w:hAnsi="宋体" w:eastAsia="仿宋_GB2312" w:cs="仿宋_GB2312"/>
          <w:sz w:val="28"/>
          <w:szCs w:val="28"/>
        </w:rPr>
        <w:t>10</w:t>
      </w:r>
      <w:r>
        <w:rPr>
          <w:rFonts w:hint="eastAsia" w:ascii="仿宋_GB2312" w:hAnsi="宋体" w:eastAsia="仿宋_GB2312" w:cs="仿宋_GB2312"/>
          <w:sz w:val="28"/>
          <w:szCs w:val="28"/>
        </w:rPr>
        <w:t>个工作日以书面形式通知对方。因迟延通知而造成的损失，由过错方承担责任。</w:t>
      </w:r>
    </w:p>
    <w:p w14:paraId="212797E3">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第八条</w:t>
      </w:r>
      <w:r>
        <w:rPr>
          <w:rFonts w:ascii="仿宋_GB2312" w:hAnsi="宋体" w:eastAsia="仿宋_GB2312" w:cs="仿宋_GB2312"/>
        </w:rPr>
        <w:t xml:space="preserve">  </w:t>
      </w:r>
      <w:r>
        <w:rPr>
          <w:rFonts w:hint="eastAsia" w:ascii="仿宋_GB2312" w:hAnsi="宋体" w:eastAsia="仿宋_GB2312" w:cs="仿宋_GB2312"/>
        </w:rPr>
        <w:t>协议的变更和解除</w:t>
      </w:r>
    </w:p>
    <w:p w14:paraId="609081F9">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本协议期间，任何一方提出变更、中断或解除本协议，需经双方书面同意，且至少提前</w:t>
      </w:r>
      <w:r>
        <w:rPr>
          <w:rFonts w:ascii="仿宋_GB2312" w:hAnsi="宋体" w:eastAsia="仿宋_GB2312" w:cs="仿宋_GB2312"/>
          <w:sz w:val="28"/>
          <w:szCs w:val="28"/>
        </w:rPr>
        <w:t>30</w:t>
      </w:r>
      <w:r>
        <w:rPr>
          <w:rFonts w:hint="eastAsia" w:ascii="仿宋_GB2312" w:hAnsi="宋体" w:eastAsia="仿宋_GB2312" w:cs="仿宋_GB2312"/>
          <w:sz w:val="28"/>
          <w:szCs w:val="28"/>
        </w:rPr>
        <w:t>日以书面形式通知另一方，另一方收到通知后应在</w:t>
      </w:r>
      <w:r>
        <w:rPr>
          <w:rFonts w:ascii="仿宋_GB2312" w:hAnsi="宋体" w:eastAsia="仿宋_GB2312" w:cs="仿宋_GB2312"/>
          <w:sz w:val="28"/>
          <w:szCs w:val="28"/>
        </w:rPr>
        <w:t>5</w:t>
      </w:r>
      <w:r>
        <w:rPr>
          <w:rFonts w:hint="eastAsia" w:ascii="仿宋_GB2312" w:hAnsi="宋体" w:eastAsia="仿宋_GB2312" w:cs="仿宋_GB2312"/>
          <w:sz w:val="28"/>
          <w:szCs w:val="28"/>
        </w:rPr>
        <w:t>个工作日内书面回复意见。</w:t>
      </w:r>
    </w:p>
    <w:p w14:paraId="219C690C">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对本协议的任何修改补充或添加附件等，必须通过书面方式进行，经双方签章后有效，且上述文件应为本协议不可分割的组成部分。</w:t>
      </w:r>
    </w:p>
    <w:p w14:paraId="5B8865D0">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本协议因前述原因发生中断、解除，乙方为甲方提供服务已发生部分涉及费用不予退还。</w:t>
      </w:r>
    </w:p>
    <w:p w14:paraId="1A3CA360">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4.</w:t>
      </w:r>
      <w:r>
        <w:rPr>
          <w:rFonts w:hint="eastAsia" w:ascii="仿宋_GB2312" w:hAnsi="宋体" w:eastAsia="仿宋_GB2312" w:cs="仿宋_GB2312"/>
          <w:sz w:val="28"/>
          <w:szCs w:val="28"/>
        </w:rPr>
        <w:t>本协议为打印文本，任何手写修改条款非经甲乙双方在修改处盖章均不生效。</w:t>
      </w:r>
    </w:p>
    <w:p w14:paraId="501013A1">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第九条</w:t>
      </w:r>
      <w:r>
        <w:rPr>
          <w:rFonts w:ascii="仿宋_GB2312" w:hAnsi="宋体" w:eastAsia="仿宋_GB2312" w:cs="仿宋_GB2312"/>
        </w:rPr>
        <w:t xml:space="preserve">  </w:t>
      </w:r>
      <w:r>
        <w:rPr>
          <w:rFonts w:hint="eastAsia" w:ascii="仿宋_GB2312" w:hAnsi="宋体" w:eastAsia="仿宋_GB2312" w:cs="仿宋_GB2312"/>
        </w:rPr>
        <w:t>违约责任</w:t>
      </w:r>
    </w:p>
    <w:p w14:paraId="5AF36712">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甲乙双方任何一方未履行本协议项下的任何一项条款，均被视为违约。守约方有权依照本协议的相关条款追究违约方的违约责任，或依照法律的规定追究其责任。</w:t>
      </w:r>
    </w:p>
    <w:p w14:paraId="5E2DC8DF">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守约方有权向违约方发出书面通知要求违约方立即停止违约行为。若在守约方发出上述通知后</w:t>
      </w:r>
      <w:r>
        <w:rPr>
          <w:rFonts w:ascii="仿宋_GB2312" w:hAnsi="宋体" w:eastAsia="仿宋_GB2312" w:cs="仿宋_GB2312"/>
          <w:sz w:val="28"/>
          <w:szCs w:val="28"/>
        </w:rPr>
        <w:t>30</w:t>
      </w:r>
      <w:r>
        <w:rPr>
          <w:rFonts w:hint="eastAsia" w:ascii="仿宋_GB2312" w:hAnsi="宋体" w:eastAsia="仿宋_GB2312" w:cs="仿宋_GB2312"/>
          <w:sz w:val="28"/>
          <w:szCs w:val="28"/>
        </w:rPr>
        <w:t>日内，违约方未对其违约行为进行补救，守约方有权在向违约方发出书面解除通知后解除本协议。</w:t>
      </w:r>
    </w:p>
    <w:p w14:paraId="6FFD54F2">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如果因违约方的违约行为造成守约方损失的，该违约方应当向守约方支付违约金，为本协议项下服务费用的</w:t>
      </w:r>
      <w:r>
        <w:rPr>
          <w:rFonts w:ascii="仿宋_GB2312" w:hAnsi="宋体" w:eastAsia="仿宋_GB2312" w:cs="仿宋_GB2312"/>
          <w:sz w:val="28"/>
          <w:szCs w:val="28"/>
          <w:u w:val="single"/>
        </w:rPr>
        <w:t xml:space="preserve"> 3 </w:t>
      </w:r>
      <w:r>
        <w:rPr>
          <w:rFonts w:ascii="仿宋_GB2312" w:hAnsi="宋体" w:eastAsia="仿宋_GB2312" w:cs="仿宋_GB2312"/>
          <w:sz w:val="28"/>
          <w:szCs w:val="28"/>
        </w:rPr>
        <w:t>%</w:t>
      </w:r>
      <w:r>
        <w:rPr>
          <w:rFonts w:hint="eastAsia" w:ascii="仿宋_GB2312" w:hAnsi="宋体" w:eastAsia="仿宋_GB2312" w:cs="仿宋_GB2312"/>
          <w:sz w:val="28"/>
          <w:szCs w:val="28"/>
        </w:rPr>
        <w:t>，不足以弥补损失的，应当补足差额。</w:t>
      </w:r>
    </w:p>
    <w:p w14:paraId="7F431AF2">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第十条</w:t>
      </w:r>
      <w:r>
        <w:rPr>
          <w:rFonts w:ascii="仿宋_GB2312" w:hAnsi="宋体" w:eastAsia="仿宋_GB2312" w:cs="仿宋_GB2312"/>
        </w:rPr>
        <w:t xml:space="preserve">  </w:t>
      </w:r>
      <w:r>
        <w:rPr>
          <w:rFonts w:hint="eastAsia" w:ascii="仿宋_GB2312" w:hAnsi="宋体" w:eastAsia="仿宋_GB2312" w:cs="仿宋_GB2312"/>
        </w:rPr>
        <w:t>不可抗力</w:t>
      </w:r>
    </w:p>
    <w:p w14:paraId="77ACB6B3">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本协议中的不可抗力事件是指不能预见、不能避免且不能克服的客观情况。在本协议的履行过程中若发生不可抗力事件，根据不可抗力的影响，遇到不可抗力事件的一方（“受阻方”）可以部分或全部免除责任。</w:t>
      </w:r>
    </w:p>
    <w:p w14:paraId="5E0D16FA">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不可抗力事件发生时，受阻方应立即通知对方，并在不可抗力事件发生的</w:t>
      </w:r>
      <w:r>
        <w:rPr>
          <w:rFonts w:ascii="仿宋_GB2312" w:hAnsi="宋体" w:eastAsia="仿宋_GB2312" w:cs="仿宋_GB2312"/>
          <w:sz w:val="28"/>
          <w:szCs w:val="28"/>
        </w:rPr>
        <w:t>15</w:t>
      </w:r>
      <w:r>
        <w:rPr>
          <w:rFonts w:hint="eastAsia" w:ascii="仿宋_GB2312" w:hAnsi="宋体" w:eastAsia="仿宋_GB2312" w:cs="仿宋_GB2312"/>
          <w:sz w:val="28"/>
          <w:szCs w:val="28"/>
        </w:rPr>
        <w:t>个工作日内提供有关该事件的公证文书和书面说明，书面说明中应包括对延迟履行或部分履行本协议的原因说明。</w:t>
      </w:r>
    </w:p>
    <w:p w14:paraId="396746F6">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如果不可抗力事件的影响持续达</w:t>
      </w:r>
      <w:r>
        <w:rPr>
          <w:rFonts w:ascii="仿宋_GB2312" w:hAnsi="宋体" w:eastAsia="仿宋_GB2312" w:cs="仿宋_GB2312"/>
          <w:sz w:val="28"/>
          <w:szCs w:val="28"/>
        </w:rPr>
        <w:t>30</w:t>
      </w:r>
      <w:r>
        <w:rPr>
          <w:rFonts w:hint="eastAsia" w:ascii="仿宋_GB2312" w:hAnsi="宋体" w:eastAsia="仿宋_GB2312" w:cs="仿宋_GB2312"/>
          <w:sz w:val="28"/>
          <w:szCs w:val="28"/>
        </w:rPr>
        <w:t>日或以上时，双方应根据该事件对本协议履行的影响程度协商对本协议的修改或终止。</w:t>
      </w:r>
    </w:p>
    <w:p w14:paraId="1A957801">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第十一条</w:t>
      </w:r>
      <w:r>
        <w:rPr>
          <w:rFonts w:ascii="仿宋_GB2312" w:hAnsi="宋体" w:eastAsia="仿宋_GB2312" w:cs="仿宋_GB2312"/>
        </w:rPr>
        <w:t xml:space="preserve">  </w:t>
      </w:r>
      <w:r>
        <w:rPr>
          <w:rFonts w:hint="eastAsia" w:ascii="仿宋_GB2312" w:hAnsi="宋体" w:eastAsia="仿宋_GB2312" w:cs="仿宋_GB2312"/>
        </w:rPr>
        <w:t>争议解决</w:t>
      </w:r>
    </w:p>
    <w:p w14:paraId="5EF25585">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本协议的解释和执行适用中华人民共和国</w:t>
      </w:r>
      <w:r>
        <w:rPr>
          <w:rFonts w:ascii="仿宋_GB2312" w:hAnsi="宋体" w:eastAsia="仿宋_GB2312" w:cs="仿宋_GB2312"/>
          <w:sz w:val="28"/>
          <w:szCs w:val="28"/>
        </w:rPr>
        <w:t>(</w:t>
      </w:r>
      <w:r>
        <w:rPr>
          <w:rFonts w:hint="eastAsia" w:ascii="仿宋_GB2312" w:hAnsi="宋体" w:eastAsia="仿宋_GB2312" w:cs="仿宋_GB2312"/>
          <w:sz w:val="28"/>
          <w:szCs w:val="28"/>
        </w:rPr>
        <w:t>不包括香港、澳门特别行政区及台湾地区</w:t>
      </w:r>
      <w:r>
        <w:rPr>
          <w:rFonts w:ascii="仿宋_GB2312" w:hAnsi="宋体" w:eastAsia="仿宋_GB2312" w:cs="仿宋_GB2312"/>
          <w:sz w:val="28"/>
          <w:szCs w:val="28"/>
        </w:rPr>
        <w:t>)</w:t>
      </w:r>
      <w:r>
        <w:rPr>
          <w:rFonts w:hint="eastAsia" w:ascii="仿宋_GB2312" w:hAnsi="宋体" w:eastAsia="仿宋_GB2312" w:cs="仿宋_GB2312"/>
          <w:sz w:val="28"/>
          <w:szCs w:val="28"/>
        </w:rPr>
        <w:t>法律，凡因执行本协议所发生的或有关的一切争议，甲乙双方应通过友好协商解决。</w:t>
      </w:r>
    </w:p>
    <w:p w14:paraId="5E443E16">
      <w:pPr>
        <w:spacing w:line="500" w:lineRule="exact"/>
        <w:ind w:firstLine="560" w:firstLineChars="200"/>
        <w:rPr>
          <w:rFonts w:ascii="仿宋_GB2312" w:hAnsi="宋体" w:eastAsia="仿宋_GB2312"/>
          <w:b/>
          <w:bCs/>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如果在协商开始后</w:t>
      </w:r>
      <w:r>
        <w:rPr>
          <w:rFonts w:ascii="仿宋_GB2312" w:hAnsi="宋体" w:eastAsia="仿宋_GB2312" w:cs="仿宋_GB2312"/>
          <w:sz w:val="28"/>
          <w:szCs w:val="28"/>
        </w:rPr>
        <w:t>30</w:t>
      </w:r>
      <w:r>
        <w:rPr>
          <w:rFonts w:hint="eastAsia" w:ascii="仿宋_GB2312" w:hAnsi="宋体" w:eastAsia="仿宋_GB2312" w:cs="仿宋_GB2312"/>
          <w:sz w:val="28"/>
          <w:szCs w:val="28"/>
        </w:rPr>
        <w:t>个工作日内或双方书面同意的更长期限内没能达成一致意见，任何一方均有权向</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u w:val="single"/>
          <w:lang w:val="en-US" w:eastAsia="zh-CN"/>
        </w:rPr>
        <w:t>甲方</w:t>
      </w:r>
      <w:r>
        <w:rPr>
          <w:rFonts w:ascii="仿宋_GB2312" w:hAnsi="宋体" w:eastAsia="仿宋_GB2312" w:cs="仿宋_GB2312"/>
          <w:sz w:val="28"/>
          <w:szCs w:val="28"/>
          <w:u w:val="single"/>
        </w:rPr>
        <w:t xml:space="preserve">  </w:t>
      </w:r>
      <w:r>
        <w:rPr>
          <w:rFonts w:hint="eastAsia" w:ascii="仿宋_GB2312" w:hAnsi="宋体" w:eastAsia="仿宋_GB2312" w:cs="仿宋_GB2312"/>
          <w:sz w:val="28"/>
          <w:szCs w:val="28"/>
        </w:rPr>
        <w:t>仲裁委员会提起仲裁，该裁决是最终裁决。</w:t>
      </w:r>
    </w:p>
    <w:p w14:paraId="569360E1">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仲裁期间，除正在仲裁的部分外，双方应继续执行协议的其余部分。</w:t>
      </w:r>
    </w:p>
    <w:p w14:paraId="2FA2D952">
      <w:pPr>
        <w:pStyle w:val="10"/>
        <w:ind w:firstLine="630" w:firstLineChars="196"/>
        <w:jc w:val="both"/>
        <w:rPr>
          <w:rFonts w:ascii="仿宋_GB2312" w:hAnsi="宋体" w:eastAsia="仿宋_GB2312" w:cs="Times New Roman"/>
        </w:rPr>
      </w:pPr>
      <w:r>
        <w:rPr>
          <w:rFonts w:hint="eastAsia" w:ascii="仿宋_GB2312" w:hAnsi="宋体" w:eastAsia="仿宋_GB2312" w:cs="仿宋_GB2312"/>
        </w:rPr>
        <w:t>第十二条</w:t>
      </w:r>
      <w:r>
        <w:rPr>
          <w:rFonts w:ascii="仿宋_GB2312" w:hAnsi="宋体" w:eastAsia="仿宋_GB2312" w:cs="仿宋_GB2312"/>
        </w:rPr>
        <w:t xml:space="preserve">  </w:t>
      </w:r>
      <w:r>
        <w:rPr>
          <w:rFonts w:hint="eastAsia" w:ascii="仿宋_GB2312" w:hAnsi="宋体" w:eastAsia="仿宋_GB2312" w:cs="仿宋_GB2312"/>
        </w:rPr>
        <w:t>附则</w:t>
      </w:r>
    </w:p>
    <w:p w14:paraId="2F9A0408">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1.</w:t>
      </w:r>
      <w:r>
        <w:rPr>
          <w:rFonts w:hint="eastAsia" w:ascii="仿宋_GB2312" w:hAnsi="宋体" w:eastAsia="仿宋_GB2312" w:cs="仿宋_GB2312"/>
          <w:sz w:val="28"/>
          <w:szCs w:val="28"/>
        </w:rPr>
        <w:t>本协议履行地为</w:t>
      </w:r>
      <w:r>
        <w:rPr>
          <w:rFonts w:hint="eastAsia" w:ascii="仿宋_GB2312" w:hAnsi="宋体" w:eastAsia="仿宋_GB2312" w:cs="仿宋_GB2312"/>
          <w:sz w:val="28"/>
          <w:szCs w:val="28"/>
          <w:lang w:val="en-US" w:eastAsia="zh-CN"/>
        </w:rPr>
        <w:t>甲</w:t>
      </w:r>
      <w:r>
        <w:rPr>
          <w:rFonts w:hint="eastAsia" w:ascii="仿宋_GB2312" w:hAnsi="宋体" w:eastAsia="仿宋_GB2312" w:cs="仿宋_GB2312"/>
          <w:sz w:val="28"/>
          <w:szCs w:val="28"/>
        </w:rPr>
        <w:t>方指定服务部门所在地，即</w:t>
      </w:r>
      <w:r>
        <w:rPr>
          <w:rFonts w:hint="eastAsia" w:ascii="仿宋_GB2312" w:hAnsi="宋体" w:eastAsia="仿宋_GB2312" w:cs="仿宋_GB2312"/>
          <w:sz w:val="28"/>
          <w:szCs w:val="28"/>
          <w:u w:val="single"/>
        </w:rPr>
        <w:t>陕西省</w:t>
      </w:r>
      <w:r>
        <w:rPr>
          <w:rFonts w:hint="eastAsia" w:ascii="仿宋_GB2312" w:hAnsi="宋体" w:eastAsia="仿宋_GB2312" w:cs="仿宋_GB2312"/>
          <w:sz w:val="28"/>
          <w:szCs w:val="28"/>
          <w:u w:val="single"/>
          <w:lang w:val="en-US" w:eastAsia="zh-CN"/>
        </w:rPr>
        <w:t>榆林市</w:t>
      </w:r>
      <w:r>
        <w:rPr>
          <w:rFonts w:hint="eastAsia" w:ascii="仿宋_GB2312" w:hAnsi="宋体" w:eastAsia="仿宋_GB2312" w:cs="仿宋_GB2312"/>
          <w:sz w:val="28"/>
          <w:szCs w:val="28"/>
        </w:rPr>
        <w:t>。</w:t>
      </w:r>
    </w:p>
    <w:p w14:paraId="0491DD1C">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2.</w:t>
      </w:r>
      <w:r>
        <w:rPr>
          <w:rFonts w:hint="eastAsia" w:ascii="仿宋_GB2312" w:hAnsi="宋体" w:eastAsia="仿宋_GB2312" w:cs="仿宋_GB2312"/>
          <w:sz w:val="28"/>
          <w:szCs w:val="28"/>
        </w:rPr>
        <w:t>本协议的执行不因协议双方任何人事变动而失效。</w:t>
      </w:r>
    </w:p>
    <w:p w14:paraId="26BFC174">
      <w:pPr>
        <w:spacing w:line="500" w:lineRule="exact"/>
        <w:ind w:firstLine="560" w:firstLineChars="200"/>
        <w:rPr>
          <w:rFonts w:ascii="仿宋_GB2312" w:hAnsi="宋体" w:eastAsia="仿宋_GB2312"/>
          <w:sz w:val="28"/>
          <w:szCs w:val="28"/>
        </w:rPr>
      </w:pPr>
      <w:r>
        <w:rPr>
          <w:rFonts w:ascii="仿宋_GB2312" w:hAnsi="宋体" w:eastAsia="仿宋_GB2312" w:cs="仿宋_GB2312"/>
          <w:sz w:val="28"/>
          <w:szCs w:val="28"/>
        </w:rPr>
        <w:t>3.</w:t>
      </w:r>
      <w:r>
        <w:rPr>
          <w:rFonts w:hint="eastAsia" w:ascii="仿宋_GB2312" w:hAnsi="宋体" w:eastAsia="仿宋_GB2312" w:cs="仿宋_GB2312"/>
          <w:sz w:val="28"/>
          <w:szCs w:val="28"/>
        </w:rPr>
        <w:t>本协议自甲乙双方签字盖章之日起生效，壹式肆份，双方各执贰份，具有同等法律效力。</w:t>
      </w:r>
    </w:p>
    <w:p w14:paraId="304D6794">
      <w:pPr>
        <w:spacing w:line="500" w:lineRule="exact"/>
        <w:ind w:firstLine="560" w:firstLineChars="200"/>
        <w:rPr>
          <w:rFonts w:ascii="仿宋_GB2312" w:hAnsi="宋体" w:eastAsia="仿宋_GB2312"/>
          <w:sz w:val="28"/>
          <w:szCs w:val="28"/>
        </w:rPr>
      </w:pPr>
      <w:r>
        <w:rPr>
          <w:rFonts w:hint="eastAsia" w:ascii="仿宋_GB2312" w:hAnsi="宋体" w:eastAsia="仿宋_GB2312" w:cs="仿宋_GB2312"/>
          <w:sz w:val="28"/>
          <w:szCs w:val="28"/>
        </w:rPr>
        <w:t>（以下无正文）</w:t>
      </w:r>
    </w:p>
    <w:p w14:paraId="3B7EF6A8">
      <w:pPr>
        <w:pStyle w:val="4"/>
        <w:spacing w:line="500" w:lineRule="exact"/>
        <w:ind w:firstLine="0"/>
        <w:rPr>
          <w:rFonts w:ascii="仿宋_GB2312" w:hAnsi="宋体" w:eastAsia="仿宋_GB2312"/>
        </w:rPr>
      </w:pPr>
    </w:p>
    <w:p w14:paraId="5757DA0A">
      <w:pPr>
        <w:pStyle w:val="4"/>
        <w:spacing w:line="500" w:lineRule="exact"/>
        <w:ind w:firstLine="0"/>
        <w:rPr>
          <w:rFonts w:ascii="仿宋_GB2312" w:hAnsi="宋体" w:eastAsia="仿宋_GB2312"/>
        </w:rPr>
      </w:pPr>
    </w:p>
    <w:p w14:paraId="47B6AD8B">
      <w:pPr>
        <w:pStyle w:val="5"/>
        <w:spacing w:line="500" w:lineRule="exact"/>
        <w:rPr>
          <w:rFonts w:ascii="仿宋_GB2312" w:hAnsi="宋体" w:eastAsia="仿宋_GB2312"/>
          <w:sz w:val="28"/>
          <w:szCs w:val="28"/>
          <w:lang w:val="zh-CN"/>
        </w:rPr>
      </w:pPr>
      <w:r>
        <w:rPr>
          <w:rFonts w:ascii="仿宋_GB2312" w:hAnsi="宋体" w:eastAsia="仿宋_GB2312"/>
        </w:rPr>
        <w:br w:type="page"/>
      </w:r>
      <w:r>
        <w:rPr>
          <w:rFonts w:hint="eastAsia" w:ascii="仿宋_GB2312" w:hAnsi="宋体" w:eastAsia="仿宋_GB2312" w:cs="仿宋_GB2312"/>
          <w:sz w:val="28"/>
          <w:szCs w:val="28"/>
          <w:lang w:val="zh-CN"/>
        </w:rPr>
        <w:t>（本页为协议签署页）</w:t>
      </w:r>
    </w:p>
    <w:p w14:paraId="756D1EA7">
      <w:pPr>
        <w:spacing w:line="360" w:lineRule="auto"/>
        <w:rPr>
          <w:rFonts w:ascii="仿宋_GB2312" w:hAnsi="宋体" w:eastAsia="仿宋_GB2312"/>
          <w:b/>
          <w:bCs/>
        </w:rPr>
      </w:pPr>
    </w:p>
    <w:tbl>
      <w:tblPr>
        <w:tblStyle w:val="12"/>
        <w:tblW w:w="8680" w:type="dxa"/>
        <w:tblInd w:w="-106" w:type="dxa"/>
        <w:tblLayout w:type="fixed"/>
        <w:tblCellMar>
          <w:top w:w="0" w:type="dxa"/>
          <w:left w:w="108" w:type="dxa"/>
          <w:bottom w:w="0" w:type="dxa"/>
          <w:right w:w="108" w:type="dxa"/>
        </w:tblCellMar>
      </w:tblPr>
      <w:tblGrid>
        <w:gridCol w:w="4219"/>
        <w:gridCol w:w="142"/>
        <w:gridCol w:w="4319"/>
      </w:tblGrid>
      <w:tr w14:paraId="146C4E95">
        <w:tblPrEx>
          <w:tblCellMar>
            <w:top w:w="0" w:type="dxa"/>
            <w:left w:w="108" w:type="dxa"/>
            <w:bottom w:w="0" w:type="dxa"/>
            <w:right w:w="108" w:type="dxa"/>
          </w:tblCellMar>
        </w:tblPrEx>
        <w:trPr>
          <w:trHeight w:val="863" w:hRule="atLeast"/>
        </w:trPr>
        <w:tc>
          <w:tcPr>
            <w:tcW w:w="4219" w:type="dxa"/>
            <w:vAlign w:val="center"/>
          </w:tcPr>
          <w:p w14:paraId="3B34E374">
            <w:pPr>
              <w:spacing w:line="360" w:lineRule="auto"/>
              <w:rPr>
                <w:rFonts w:ascii="仿宋_GB2312" w:hAnsi="宋体" w:eastAsia="仿宋_GB2312"/>
                <w:b/>
                <w:bCs/>
                <w:sz w:val="28"/>
                <w:szCs w:val="28"/>
              </w:rPr>
            </w:pPr>
            <w:r>
              <w:rPr>
                <w:rFonts w:hint="eastAsia" w:ascii="仿宋_GB2312" w:hAnsi="宋体" w:eastAsia="仿宋_GB2312" w:cs="仿宋_GB2312"/>
                <w:b/>
                <w:bCs/>
                <w:sz w:val="28"/>
                <w:szCs w:val="28"/>
              </w:rPr>
              <w:t>甲方（签章）：</w:t>
            </w:r>
          </w:p>
          <w:p w14:paraId="48333841">
            <w:pPr>
              <w:spacing w:line="360" w:lineRule="auto"/>
              <w:rPr>
                <w:rFonts w:ascii="仿宋_GB2312" w:hAnsi="宋体" w:eastAsia="仿宋_GB2312"/>
                <w:b/>
                <w:bCs/>
                <w:sz w:val="28"/>
                <w:szCs w:val="28"/>
              </w:rPr>
            </w:pPr>
          </w:p>
        </w:tc>
        <w:tc>
          <w:tcPr>
            <w:tcW w:w="4461" w:type="dxa"/>
            <w:gridSpan w:val="2"/>
            <w:vAlign w:val="center"/>
          </w:tcPr>
          <w:p w14:paraId="49000069">
            <w:pPr>
              <w:spacing w:line="360" w:lineRule="auto"/>
              <w:rPr>
                <w:rFonts w:ascii="仿宋_GB2312" w:hAnsi="宋体" w:eastAsia="仿宋_GB2312"/>
                <w:b/>
                <w:bCs/>
                <w:sz w:val="28"/>
                <w:szCs w:val="28"/>
              </w:rPr>
            </w:pPr>
          </w:p>
          <w:p w14:paraId="092C4BB2">
            <w:pPr>
              <w:spacing w:line="360" w:lineRule="auto"/>
              <w:ind w:left="1799" w:hanging="1799" w:hangingChars="640"/>
              <w:rPr>
                <w:rFonts w:ascii="仿宋_GB2312" w:hAnsi="宋体" w:eastAsia="仿宋_GB2312"/>
                <w:b/>
                <w:bCs/>
                <w:sz w:val="28"/>
                <w:szCs w:val="28"/>
              </w:rPr>
            </w:pPr>
            <w:r>
              <w:rPr>
                <w:rFonts w:hint="eastAsia" w:ascii="仿宋_GB2312" w:hAnsi="宋体" w:eastAsia="仿宋_GB2312" w:cs="仿宋_GB2312"/>
                <w:b/>
                <w:bCs/>
                <w:sz w:val="28"/>
                <w:szCs w:val="28"/>
              </w:rPr>
              <w:t>乙方（签章）：中国经济信息社有限公司</w:t>
            </w:r>
          </w:p>
          <w:p w14:paraId="3B85DDC5">
            <w:pPr>
              <w:spacing w:line="360" w:lineRule="auto"/>
              <w:rPr>
                <w:rFonts w:ascii="仿宋_GB2312" w:hAnsi="宋体" w:eastAsia="仿宋_GB2312"/>
                <w:b/>
                <w:bCs/>
                <w:sz w:val="28"/>
                <w:szCs w:val="28"/>
              </w:rPr>
            </w:pPr>
          </w:p>
        </w:tc>
      </w:tr>
      <w:tr w14:paraId="230C038C">
        <w:tblPrEx>
          <w:tblCellMar>
            <w:top w:w="0" w:type="dxa"/>
            <w:left w:w="108" w:type="dxa"/>
            <w:bottom w:w="0" w:type="dxa"/>
            <w:right w:w="108" w:type="dxa"/>
          </w:tblCellMar>
        </w:tblPrEx>
        <w:trPr>
          <w:trHeight w:val="863" w:hRule="atLeast"/>
        </w:trPr>
        <w:tc>
          <w:tcPr>
            <w:tcW w:w="4219" w:type="dxa"/>
            <w:vAlign w:val="center"/>
          </w:tcPr>
          <w:p w14:paraId="3FB8EAC5">
            <w:pPr>
              <w:spacing w:line="360" w:lineRule="auto"/>
              <w:rPr>
                <w:rFonts w:ascii="仿宋_GB2312" w:hAnsi="宋体" w:eastAsia="仿宋_GB2312" w:cs="仿宋_GB2312"/>
                <w:b/>
                <w:bCs/>
                <w:sz w:val="28"/>
                <w:szCs w:val="28"/>
              </w:rPr>
            </w:pPr>
            <w:r>
              <w:rPr>
                <w:rFonts w:hint="eastAsia" w:ascii="仿宋_GB2312" w:hAnsi="宋体" w:eastAsia="仿宋_GB2312" w:cs="仿宋_GB2312"/>
                <w:b/>
                <w:bCs/>
                <w:sz w:val="28"/>
                <w:szCs w:val="28"/>
              </w:rPr>
              <w:t>授权代表</w:t>
            </w:r>
            <w:r>
              <w:rPr>
                <w:rFonts w:ascii="仿宋_GB2312" w:hAnsi="宋体" w:eastAsia="仿宋_GB2312" w:cs="仿宋_GB2312"/>
                <w:b/>
                <w:bCs/>
                <w:sz w:val="28"/>
                <w:szCs w:val="28"/>
              </w:rPr>
              <w:t>:</w:t>
            </w:r>
          </w:p>
          <w:p w14:paraId="000D720A">
            <w:pPr>
              <w:spacing w:line="360" w:lineRule="auto"/>
              <w:rPr>
                <w:rFonts w:ascii="仿宋_GB2312" w:hAnsi="宋体" w:eastAsia="仿宋_GB2312" w:cs="仿宋_GB2312"/>
                <w:b/>
                <w:bCs/>
                <w:sz w:val="28"/>
                <w:szCs w:val="28"/>
              </w:rPr>
            </w:pPr>
          </w:p>
        </w:tc>
        <w:tc>
          <w:tcPr>
            <w:tcW w:w="4461" w:type="dxa"/>
            <w:gridSpan w:val="2"/>
            <w:vAlign w:val="center"/>
          </w:tcPr>
          <w:p w14:paraId="104745BB">
            <w:pPr>
              <w:spacing w:line="360" w:lineRule="auto"/>
              <w:rPr>
                <w:rFonts w:ascii="仿宋_GB2312" w:hAnsi="宋体" w:eastAsia="仿宋_GB2312" w:cs="仿宋_GB2312"/>
                <w:b/>
                <w:bCs/>
                <w:sz w:val="28"/>
                <w:szCs w:val="28"/>
              </w:rPr>
            </w:pPr>
            <w:r>
              <w:rPr>
                <w:rFonts w:hint="eastAsia" w:ascii="仿宋_GB2312" w:hAnsi="宋体" w:eastAsia="仿宋_GB2312" w:cs="仿宋_GB2312"/>
                <w:b/>
                <w:bCs/>
                <w:sz w:val="28"/>
                <w:szCs w:val="28"/>
              </w:rPr>
              <w:t>授权代表</w:t>
            </w:r>
            <w:r>
              <w:rPr>
                <w:rFonts w:ascii="仿宋_GB2312" w:hAnsi="宋体" w:eastAsia="仿宋_GB2312" w:cs="仿宋_GB2312"/>
                <w:b/>
                <w:bCs/>
                <w:sz w:val="28"/>
                <w:szCs w:val="28"/>
              </w:rPr>
              <w:t>:</w:t>
            </w:r>
          </w:p>
          <w:p w14:paraId="2BAC2A02">
            <w:pPr>
              <w:spacing w:line="360" w:lineRule="auto"/>
              <w:rPr>
                <w:rFonts w:ascii="仿宋_GB2312" w:hAnsi="宋体" w:eastAsia="仿宋_GB2312" w:cs="仿宋_GB2312"/>
                <w:b/>
                <w:bCs/>
                <w:sz w:val="28"/>
                <w:szCs w:val="28"/>
              </w:rPr>
            </w:pPr>
          </w:p>
        </w:tc>
      </w:tr>
      <w:tr w14:paraId="3B8801A8">
        <w:tblPrEx>
          <w:tblCellMar>
            <w:top w:w="0" w:type="dxa"/>
            <w:left w:w="108" w:type="dxa"/>
            <w:bottom w:w="0" w:type="dxa"/>
            <w:right w:w="108" w:type="dxa"/>
          </w:tblCellMar>
        </w:tblPrEx>
        <w:trPr>
          <w:trHeight w:val="863" w:hRule="atLeast"/>
        </w:trPr>
        <w:tc>
          <w:tcPr>
            <w:tcW w:w="4361" w:type="dxa"/>
            <w:gridSpan w:val="2"/>
            <w:vAlign w:val="center"/>
          </w:tcPr>
          <w:p w14:paraId="45EAB782">
            <w:pPr>
              <w:spacing w:line="360" w:lineRule="auto"/>
              <w:rPr>
                <w:rFonts w:ascii="仿宋_GB2312" w:hAnsi="宋体" w:eastAsia="仿宋_GB2312"/>
                <w:b/>
                <w:bCs/>
                <w:sz w:val="28"/>
                <w:szCs w:val="28"/>
              </w:rPr>
            </w:pPr>
            <w:r>
              <w:rPr>
                <w:rFonts w:hint="eastAsia" w:ascii="仿宋_GB2312" w:hAnsi="宋体" w:eastAsia="仿宋_GB2312" w:cs="仿宋_GB2312"/>
                <w:b/>
                <w:bCs/>
                <w:sz w:val="28"/>
                <w:szCs w:val="28"/>
              </w:rPr>
              <w:t>签约日期：</w:t>
            </w:r>
          </w:p>
          <w:p w14:paraId="5ADAE635">
            <w:pPr>
              <w:spacing w:line="360" w:lineRule="auto"/>
              <w:rPr>
                <w:rFonts w:ascii="仿宋_GB2312" w:hAnsi="宋体" w:eastAsia="仿宋_GB2312"/>
                <w:b/>
                <w:bCs/>
                <w:sz w:val="28"/>
                <w:szCs w:val="28"/>
              </w:rPr>
            </w:pP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年</w:t>
            </w: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月</w:t>
            </w: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日</w:t>
            </w:r>
          </w:p>
        </w:tc>
        <w:tc>
          <w:tcPr>
            <w:tcW w:w="4319" w:type="dxa"/>
            <w:vAlign w:val="center"/>
          </w:tcPr>
          <w:p w14:paraId="7DAB358C">
            <w:pPr>
              <w:spacing w:line="360" w:lineRule="auto"/>
              <w:rPr>
                <w:rFonts w:ascii="仿宋_GB2312" w:hAnsi="宋体" w:eastAsia="仿宋_GB2312"/>
                <w:b/>
                <w:bCs/>
                <w:sz w:val="28"/>
                <w:szCs w:val="28"/>
              </w:rPr>
            </w:pPr>
            <w:r>
              <w:rPr>
                <w:rFonts w:hint="eastAsia" w:ascii="仿宋_GB2312" w:hAnsi="宋体" w:eastAsia="仿宋_GB2312" w:cs="仿宋_GB2312"/>
                <w:b/>
                <w:bCs/>
                <w:sz w:val="28"/>
                <w:szCs w:val="28"/>
              </w:rPr>
              <w:t>签约日期：</w:t>
            </w:r>
          </w:p>
          <w:p w14:paraId="191E5E65">
            <w:pPr>
              <w:spacing w:line="360" w:lineRule="auto"/>
              <w:rPr>
                <w:rFonts w:ascii="仿宋_GB2312" w:hAnsi="宋体" w:eastAsia="仿宋_GB2312"/>
                <w:b/>
                <w:bCs/>
                <w:sz w:val="28"/>
                <w:szCs w:val="28"/>
              </w:rPr>
            </w:pP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年</w:t>
            </w: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月</w:t>
            </w:r>
            <w:r>
              <w:rPr>
                <w:rFonts w:ascii="仿宋_GB2312" w:hAnsi="宋体" w:eastAsia="仿宋_GB2312" w:cs="仿宋_GB2312"/>
                <w:b/>
                <w:bCs/>
                <w:sz w:val="28"/>
                <w:szCs w:val="28"/>
                <w:u w:val="single"/>
              </w:rPr>
              <w:t xml:space="preserve">      </w:t>
            </w:r>
            <w:r>
              <w:rPr>
                <w:rFonts w:hint="eastAsia" w:ascii="仿宋_GB2312" w:hAnsi="宋体" w:eastAsia="仿宋_GB2312" w:cs="仿宋_GB2312"/>
                <w:b/>
                <w:bCs/>
                <w:sz w:val="28"/>
                <w:szCs w:val="28"/>
              </w:rPr>
              <w:t>日</w:t>
            </w:r>
          </w:p>
        </w:tc>
      </w:tr>
      <w:tr w14:paraId="2F9F841A">
        <w:tblPrEx>
          <w:tblCellMar>
            <w:top w:w="0" w:type="dxa"/>
            <w:left w:w="108" w:type="dxa"/>
            <w:bottom w:w="0" w:type="dxa"/>
            <w:right w:w="108" w:type="dxa"/>
          </w:tblCellMar>
        </w:tblPrEx>
        <w:trPr>
          <w:trHeight w:val="863" w:hRule="atLeast"/>
        </w:trPr>
        <w:tc>
          <w:tcPr>
            <w:tcW w:w="4361" w:type="dxa"/>
            <w:gridSpan w:val="2"/>
            <w:vAlign w:val="center"/>
          </w:tcPr>
          <w:p w14:paraId="6F8A17F9">
            <w:pPr>
              <w:spacing w:line="360" w:lineRule="auto"/>
              <w:rPr>
                <w:rFonts w:ascii="仿宋_GB2312" w:hAnsi="宋体" w:eastAsia="仿宋_GB2312"/>
                <w:b/>
                <w:bCs/>
              </w:rPr>
            </w:pPr>
          </w:p>
        </w:tc>
        <w:tc>
          <w:tcPr>
            <w:tcW w:w="4319" w:type="dxa"/>
            <w:vAlign w:val="center"/>
          </w:tcPr>
          <w:p w14:paraId="4C358BFE">
            <w:pPr>
              <w:spacing w:line="360" w:lineRule="auto"/>
              <w:rPr>
                <w:rFonts w:ascii="仿宋_GB2312" w:hAnsi="宋体" w:eastAsia="仿宋_GB2312"/>
                <w:b/>
                <w:bCs/>
              </w:rPr>
            </w:pPr>
          </w:p>
        </w:tc>
      </w:tr>
    </w:tbl>
    <w:p w14:paraId="67D34BED">
      <w:pPr>
        <w:spacing w:line="500" w:lineRule="exact"/>
        <w:rPr>
          <w:rFonts w:ascii="仿宋_GB2312" w:hAnsi="宋体" w:eastAsia="仿宋_GB2312"/>
          <w:sz w:val="28"/>
          <w:szCs w:val="28"/>
        </w:rPr>
      </w:pPr>
    </w:p>
    <w:sectPr>
      <w:footerReference r:id="rId3" w:type="default"/>
      <w:pgSz w:w="11906" w:h="16838"/>
      <w:pgMar w:top="1440" w:right="200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E210C">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3</w:t>
    </w:r>
    <w:r>
      <w:rPr>
        <w:rStyle w:val="14"/>
      </w:rPr>
      <w:fldChar w:fldCharType="end"/>
    </w:r>
  </w:p>
  <w:p w14:paraId="4E50D75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D22486"/>
    <w:multiLevelType w:val="multilevel"/>
    <w:tmpl w:val="12D22486"/>
    <w:lvl w:ilvl="0" w:tentative="0">
      <w:start w:val="1"/>
      <w:numFmt w:val="decimal"/>
      <w:lvlText w:val="%1."/>
      <w:lvlJc w:val="left"/>
      <w:pPr>
        <w:ind w:left="848" w:hanging="288"/>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wNWRiMWZlZjg5YzRhODc1ODNjMzc4OTEyMTBlZTMifQ=="/>
  </w:docVars>
  <w:rsids>
    <w:rsidRoot w:val="008B2222"/>
    <w:rsid w:val="000027FC"/>
    <w:rsid w:val="000101EA"/>
    <w:rsid w:val="000129B6"/>
    <w:rsid w:val="00013B56"/>
    <w:rsid w:val="00016CAE"/>
    <w:rsid w:val="00023FA3"/>
    <w:rsid w:val="00024BAC"/>
    <w:rsid w:val="00026B0D"/>
    <w:rsid w:val="0003215F"/>
    <w:rsid w:val="00034C05"/>
    <w:rsid w:val="000416FC"/>
    <w:rsid w:val="00053606"/>
    <w:rsid w:val="0005754D"/>
    <w:rsid w:val="000659F2"/>
    <w:rsid w:val="000724CF"/>
    <w:rsid w:val="000754C6"/>
    <w:rsid w:val="00083C32"/>
    <w:rsid w:val="00084CB5"/>
    <w:rsid w:val="00085720"/>
    <w:rsid w:val="00092450"/>
    <w:rsid w:val="00096A20"/>
    <w:rsid w:val="000A0F15"/>
    <w:rsid w:val="000A2207"/>
    <w:rsid w:val="000A38B0"/>
    <w:rsid w:val="000B6133"/>
    <w:rsid w:val="000C1335"/>
    <w:rsid w:val="000C2B36"/>
    <w:rsid w:val="000C497D"/>
    <w:rsid w:val="000D00D9"/>
    <w:rsid w:val="000D503D"/>
    <w:rsid w:val="000D61E6"/>
    <w:rsid w:val="000D6913"/>
    <w:rsid w:val="000D72E2"/>
    <w:rsid w:val="000D74E2"/>
    <w:rsid w:val="000E1E45"/>
    <w:rsid w:val="000E6BAE"/>
    <w:rsid w:val="000F0DD6"/>
    <w:rsid w:val="000F0FEF"/>
    <w:rsid w:val="000F694B"/>
    <w:rsid w:val="000F6DCE"/>
    <w:rsid w:val="000F7F81"/>
    <w:rsid w:val="00110129"/>
    <w:rsid w:val="001134E9"/>
    <w:rsid w:val="0011393F"/>
    <w:rsid w:val="00122ACB"/>
    <w:rsid w:val="00126D74"/>
    <w:rsid w:val="0013021A"/>
    <w:rsid w:val="001307F9"/>
    <w:rsid w:val="00130D43"/>
    <w:rsid w:val="0013396B"/>
    <w:rsid w:val="0014083E"/>
    <w:rsid w:val="001419CA"/>
    <w:rsid w:val="001454F0"/>
    <w:rsid w:val="00154270"/>
    <w:rsid w:val="00155041"/>
    <w:rsid w:val="001733D8"/>
    <w:rsid w:val="00177E86"/>
    <w:rsid w:val="00181A53"/>
    <w:rsid w:val="00182112"/>
    <w:rsid w:val="0019338B"/>
    <w:rsid w:val="00195514"/>
    <w:rsid w:val="00195EBF"/>
    <w:rsid w:val="001A5BBC"/>
    <w:rsid w:val="001B0DAD"/>
    <w:rsid w:val="001B1AA3"/>
    <w:rsid w:val="001B4CE1"/>
    <w:rsid w:val="001C36EA"/>
    <w:rsid w:val="001C5F00"/>
    <w:rsid w:val="001E14C9"/>
    <w:rsid w:val="001E4FAD"/>
    <w:rsid w:val="001F312D"/>
    <w:rsid w:val="002000C4"/>
    <w:rsid w:val="00200255"/>
    <w:rsid w:val="00201587"/>
    <w:rsid w:val="00205F7A"/>
    <w:rsid w:val="00213586"/>
    <w:rsid w:val="0022033E"/>
    <w:rsid w:val="00226316"/>
    <w:rsid w:val="00230F10"/>
    <w:rsid w:val="002318DF"/>
    <w:rsid w:val="0023369D"/>
    <w:rsid w:val="00234611"/>
    <w:rsid w:val="0024115E"/>
    <w:rsid w:val="002413DC"/>
    <w:rsid w:val="002525F1"/>
    <w:rsid w:val="00254FB3"/>
    <w:rsid w:val="00266018"/>
    <w:rsid w:val="00282FCC"/>
    <w:rsid w:val="00285665"/>
    <w:rsid w:val="00292A18"/>
    <w:rsid w:val="002A1FE4"/>
    <w:rsid w:val="002B3258"/>
    <w:rsid w:val="002B4716"/>
    <w:rsid w:val="002B62A9"/>
    <w:rsid w:val="002D2575"/>
    <w:rsid w:val="002D5B5E"/>
    <w:rsid w:val="002D6CD4"/>
    <w:rsid w:val="002E06DF"/>
    <w:rsid w:val="002E29B4"/>
    <w:rsid w:val="002F0928"/>
    <w:rsid w:val="002F100B"/>
    <w:rsid w:val="002F4941"/>
    <w:rsid w:val="002F4EF0"/>
    <w:rsid w:val="002F4F4A"/>
    <w:rsid w:val="0030513F"/>
    <w:rsid w:val="00310C0E"/>
    <w:rsid w:val="00337B29"/>
    <w:rsid w:val="00343657"/>
    <w:rsid w:val="00350D62"/>
    <w:rsid w:val="00352580"/>
    <w:rsid w:val="003607D6"/>
    <w:rsid w:val="00364B44"/>
    <w:rsid w:val="0036546A"/>
    <w:rsid w:val="0036671F"/>
    <w:rsid w:val="00372269"/>
    <w:rsid w:val="003772D3"/>
    <w:rsid w:val="00377368"/>
    <w:rsid w:val="003827A6"/>
    <w:rsid w:val="00383D4A"/>
    <w:rsid w:val="0039125A"/>
    <w:rsid w:val="00397637"/>
    <w:rsid w:val="003A587C"/>
    <w:rsid w:val="003B3AB5"/>
    <w:rsid w:val="003B77BE"/>
    <w:rsid w:val="003C01CF"/>
    <w:rsid w:val="003D22CA"/>
    <w:rsid w:val="003D6C6C"/>
    <w:rsid w:val="003E5D3F"/>
    <w:rsid w:val="003F4C37"/>
    <w:rsid w:val="003F51D8"/>
    <w:rsid w:val="0040064F"/>
    <w:rsid w:val="0040679E"/>
    <w:rsid w:val="00410BAE"/>
    <w:rsid w:val="00417BC8"/>
    <w:rsid w:val="0042770B"/>
    <w:rsid w:val="004467BE"/>
    <w:rsid w:val="0045035D"/>
    <w:rsid w:val="004520CB"/>
    <w:rsid w:val="004655DD"/>
    <w:rsid w:val="004849BF"/>
    <w:rsid w:val="00485EF0"/>
    <w:rsid w:val="00487A03"/>
    <w:rsid w:val="00490110"/>
    <w:rsid w:val="004908C9"/>
    <w:rsid w:val="004925AB"/>
    <w:rsid w:val="00494750"/>
    <w:rsid w:val="00497511"/>
    <w:rsid w:val="004A617F"/>
    <w:rsid w:val="004B50CD"/>
    <w:rsid w:val="004C58EF"/>
    <w:rsid w:val="004C5A1A"/>
    <w:rsid w:val="004D1A93"/>
    <w:rsid w:val="004D5614"/>
    <w:rsid w:val="004F2F66"/>
    <w:rsid w:val="00500B12"/>
    <w:rsid w:val="00501C7A"/>
    <w:rsid w:val="00502488"/>
    <w:rsid w:val="00503497"/>
    <w:rsid w:val="00511CCB"/>
    <w:rsid w:val="005312F3"/>
    <w:rsid w:val="00542E7E"/>
    <w:rsid w:val="00543946"/>
    <w:rsid w:val="00570E59"/>
    <w:rsid w:val="0057344F"/>
    <w:rsid w:val="00574A3C"/>
    <w:rsid w:val="00577083"/>
    <w:rsid w:val="00577C2D"/>
    <w:rsid w:val="0058222C"/>
    <w:rsid w:val="005905C7"/>
    <w:rsid w:val="00590A5D"/>
    <w:rsid w:val="00590BF4"/>
    <w:rsid w:val="005945C8"/>
    <w:rsid w:val="005A2780"/>
    <w:rsid w:val="005A4AF0"/>
    <w:rsid w:val="005B05E0"/>
    <w:rsid w:val="005B1C7B"/>
    <w:rsid w:val="005C0FB1"/>
    <w:rsid w:val="005C70A6"/>
    <w:rsid w:val="005C715F"/>
    <w:rsid w:val="005C73D2"/>
    <w:rsid w:val="005D0EE9"/>
    <w:rsid w:val="005D5333"/>
    <w:rsid w:val="005D5B0B"/>
    <w:rsid w:val="005D7A1C"/>
    <w:rsid w:val="005E0A42"/>
    <w:rsid w:val="005E5B19"/>
    <w:rsid w:val="005F0620"/>
    <w:rsid w:val="005F69F8"/>
    <w:rsid w:val="005F72E3"/>
    <w:rsid w:val="00601651"/>
    <w:rsid w:val="006040B0"/>
    <w:rsid w:val="006213D5"/>
    <w:rsid w:val="00622E4B"/>
    <w:rsid w:val="0062679B"/>
    <w:rsid w:val="00631DF2"/>
    <w:rsid w:val="006330BA"/>
    <w:rsid w:val="00636A24"/>
    <w:rsid w:val="00641D32"/>
    <w:rsid w:val="00644E66"/>
    <w:rsid w:val="00647672"/>
    <w:rsid w:val="00652A63"/>
    <w:rsid w:val="00654B1B"/>
    <w:rsid w:val="00657A31"/>
    <w:rsid w:val="00680D45"/>
    <w:rsid w:val="00682FE5"/>
    <w:rsid w:val="00694F37"/>
    <w:rsid w:val="006A2578"/>
    <w:rsid w:val="006A4A1F"/>
    <w:rsid w:val="006C08A5"/>
    <w:rsid w:val="006C2984"/>
    <w:rsid w:val="006D4D8D"/>
    <w:rsid w:val="006D689E"/>
    <w:rsid w:val="006D6ECB"/>
    <w:rsid w:val="006E0544"/>
    <w:rsid w:val="006E30DE"/>
    <w:rsid w:val="006F2A7E"/>
    <w:rsid w:val="006F4DE0"/>
    <w:rsid w:val="006F5693"/>
    <w:rsid w:val="007075F6"/>
    <w:rsid w:val="0073705C"/>
    <w:rsid w:val="007430F3"/>
    <w:rsid w:val="007609F1"/>
    <w:rsid w:val="00764386"/>
    <w:rsid w:val="007673A1"/>
    <w:rsid w:val="00771613"/>
    <w:rsid w:val="007747D7"/>
    <w:rsid w:val="00774F17"/>
    <w:rsid w:val="0077544B"/>
    <w:rsid w:val="0077544E"/>
    <w:rsid w:val="00775E42"/>
    <w:rsid w:val="007922BA"/>
    <w:rsid w:val="007956B2"/>
    <w:rsid w:val="007A2364"/>
    <w:rsid w:val="007B4546"/>
    <w:rsid w:val="007B5C76"/>
    <w:rsid w:val="007B6A99"/>
    <w:rsid w:val="007C4FD7"/>
    <w:rsid w:val="007D073C"/>
    <w:rsid w:val="007D40DC"/>
    <w:rsid w:val="007E63BC"/>
    <w:rsid w:val="00802AB6"/>
    <w:rsid w:val="00807C78"/>
    <w:rsid w:val="00810BE2"/>
    <w:rsid w:val="008150C3"/>
    <w:rsid w:val="00820180"/>
    <w:rsid w:val="00835C41"/>
    <w:rsid w:val="00840695"/>
    <w:rsid w:val="00841024"/>
    <w:rsid w:val="00841A94"/>
    <w:rsid w:val="00854BB4"/>
    <w:rsid w:val="008552BB"/>
    <w:rsid w:val="00855901"/>
    <w:rsid w:val="00870C5F"/>
    <w:rsid w:val="0087333A"/>
    <w:rsid w:val="00873C68"/>
    <w:rsid w:val="00877797"/>
    <w:rsid w:val="00885140"/>
    <w:rsid w:val="00885915"/>
    <w:rsid w:val="00890D4C"/>
    <w:rsid w:val="00894992"/>
    <w:rsid w:val="0089767C"/>
    <w:rsid w:val="008A04FC"/>
    <w:rsid w:val="008A209A"/>
    <w:rsid w:val="008A4654"/>
    <w:rsid w:val="008B2222"/>
    <w:rsid w:val="008B5035"/>
    <w:rsid w:val="008B6BCF"/>
    <w:rsid w:val="008B78D4"/>
    <w:rsid w:val="008C0F0D"/>
    <w:rsid w:val="008C260A"/>
    <w:rsid w:val="008C378D"/>
    <w:rsid w:val="008D0443"/>
    <w:rsid w:val="008D2AA1"/>
    <w:rsid w:val="008E2D74"/>
    <w:rsid w:val="008E4958"/>
    <w:rsid w:val="008F1E5E"/>
    <w:rsid w:val="008F4653"/>
    <w:rsid w:val="00900A06"/>
    <w:rsid w:val="00920FD5"/>
    <w:rsid w:val="009272A1"/>
    <w:rsid w:val="00941A5C"/>
    <w:rsid w:val="009439BD"/>
    <w:rsid w:val="009466D1"/>
    <w:rsid w:val="00947BA8"/>
    <w:rsid w:val="0095239B"/>
    <w:rsid w:val="0095452B"/>
    <w:rsid w:val="00957EA1"/>
    <w:rsid w:val="00964BFC"/>
    <w:rsid w:val="00965F93"/>
    <w:rsid w:val="00972ABE"/>
    <w:rsid w:val="009837EA"/>
    <w:rsid w:val="00996A2F"/>
    <w:rsid w:val="009A0C17"/>
    <w:rsid w:val="009A20D8"/>
    <w:rsid w:val="009A22B4"/>
    <w:rsid w:val="009A5E26"/>
    <w:rsid w:val="009C1706"/>
    <w:rsid w:val="009D105B"/>
    <w:rsid w:val="009D29B3"/>
    <w:rsid w:val="009D2A6B"/>
    <w:rsid w:val="009D3352"/>
    <w:rsid w:val="009D59FD"/>
    <w:rsid w:val="009E12ED"/>
    <w:rsid w:val="009E359F"/>
    <w:rsid w:val="009F0CE3"/>
    <w:rsid w:val="009F1C08"/>
    <w:rsid w:val="009F3719"/>
    <w:rsid w:val="009F54A6"/>
    <w:rsid w:val="009F79B9"/>
    <w:rsid w:val="00A00C14"/>
    <w:rsid w:val="00A01236"/>
    <w:rsid w:val="00A03C71"/>
    <w:rsid w:val="00A169F4"/>
    <w:rsid w:val="00A17BF7"/>
    <w:rsid w:val="00A4114D"/>
    <w:rsid w:val="00A457E9"/>
    <w:rsid w:val="00A509E2"/>
    <w:rsid w:val="00A634AD"/>
    <w:rsid w:val="00A63F3E"/>
    <w:rsid w:val="00A66A08"/>
    <w:rsid w:val="00A67241"/>
    <w:rsid w:val="00A73A42"/>
    <w:rsid w:val="00A7484E"/>
    <w:rsid w:val="00A75C02"/>
    <w:rsid w:val="00A76703"/>
    <w:rsid w:val="00A80AFF"/>
    <w:rsid w:val="00A902FF"/>
    <w:rsid w:val="00A925EA"/>
    <w:rsid w:val="00AC427D"/>
    <w:rsid w:val="00AE527A"/>
    <w:rsid w:val="00AF04BE"/>
    <w:rsid w:val="00AF4CEA"/>
    <w:rsid w:val="00AF5AD6"/>
    <w:rsid w:val="00B13FEE"/>
    <w:rsid w:val="00B20BCE"/>
    <w:rsid w:val="00B221E3"/>
    <w:rsid w:val="00B320B8"/>
    <w:rsid w:val="00B3514F"/>
    <w:rsid w:val="00B3521E"/>
    <w:rsid w:val="00B408FE"/>
    <w:rsid w:val="00B46227"/>
    <w:rsid w:val="00B506B0"/>
    <w:rsid w:val="00B50F8B"/>
    <w:rsid w:val="00B533F2"/>
    <w:rsid w:val="00B564D2"/>
    <w:rsid w:val="00B6289C"/>
    <w:rsid w:val="00B70C0A"/>
    <w:rsid w:val="00B76530"/>
    <w:rsid w:val="00B82FC6"/>
    <w:rsid w:val="00B85DD9"/>
    <w:rsid w:val="00B918AC"/>
    <w:rsid w:val="00BA348A"/>
    <w:rsid w:val="00BB6D0B"/>
    <w:rsid w:val="00BB765A"/>
    <w:rsid w:val="00BC053F"/>
    <w:rsid w:val="00BC1E2D"/>
    <w:rsid w:val="00BD32A8"/>
    <w:rsid w:val="00BD7389"/>
    <w:rsid w:val="00BD7C0F"/>
    <w:rsid w:val="00BE4FDB"/>
    <w:rsid w:val="00BE5338"/>
    <w:rsid w:val="00BF0635"/>
    <w:rsid w:val="00BF33C7"/>
    <w:rsid w:val="00C02DBC"/>
    <w:rsid w:val="00C06955"/>
    <w:rsid w:val="00C10E8E"/>
    <w:rsid w:val="00C226CF"/>
    <w:rsid w:val="00C43DC4"/>
    <w:rsid w:val="00C51232"/>
    <w:rsid w:val="00C626BC"/>
    <w:rsid w:val="00C663D5"/>
    <w:rsid w:val="00C70721"/>
    <w:rsid w:val="00C748E3"/>
    <w:rsid w:val="00C75251"/>
    <w:rsid w:val="00C80EC6"/>
    <w:rsid w:val="00C824A4"/>
    <w:rsid w:val="00C83CCA"/>
    <w:rsid w:val="00C858F8"/>
    <w:rsid w:val="00C92312"/>
    <w:rsid w:val="00C94208"/>
    <w:rsid w:val="00C94B08"/>
    <w:rsid w:val="00C955C9"/>
    <w:rsid w:val="00C962E1"/>
    <w:rsid w:val="00C97FF3"/>
    <w:rsid w:val="00CA4D26"/>
    <w:rsid w:val="00CA5FDD"/>
    <w:rsid w:val="00CC6602"/>
    <w:rsid w:val="00CD00DB"/>
    <w:rsid w:val="00CE2265"/>
    <w:rsid w:val="00CE417E"/>
    <w:rsid w:val="00CF182B"/>
    <w:rsid w:val="00D136CA"/>
    <w:rsid w:val="00D14A72"/>
    <w:rsid w:val="00D21B09"/>
    <w:rsid w:val="00D2339D"/>
    <w:rsid w:val="00D25739"/>
    <w:rsid w:val="00D35D0F"/>
    <w:rsid w:val="00D42990"/>
    <w:rsid w:val="00D45BD0"/>
    <w:rsid w:val="00D67B29"/>
    <w:rsid w:val="00D825E5"/>
    <w:rsid w:val="00D83C84"/>
    <w:rsid w:val="00D84BFF"/>
    <w:rsid w:val="00D855F2"/>
    <w:rsid w:val="00D9678C"/>
    <w:rsid w:val="00D97ABA"/>
    <w:rsid w:val="00D97AC7"/>
    <w:rsid w:val="00DA0157"/>
    <w:rsid w:val="00DB1C9A"/>
    <w:rsid w:val="00DC6E94"/>
    <w:rsid w:val="00DC7055"/>
    <w:rsid w:val="00DD2E76"/>
    <w:rsid w:val="00DD7A90"/>
    <w:rsid w:val="00DE0AF6"/>
    <w:rsid w:val="00DE296D"/>
    <w:rsid w:val="00DF5182"/>
    <w:rsid w:val="00DF58B5"/>
    <w:rsid w:val="00DF66E6"/>
    <w:rsid w:val="00DF6770"/>
    <w:rsid w:val="00DF6E23"/>
    <w:rsid w:val="00DF777C"/>
    <w:rsid w:val="00E1218D"/>
    <w:rsid w:val="00E14DCE"/>
    <w:rsid w:val="00E16EF8"/>
    <w:rsid w:val="00E214F2"/>
    <w:rsid w:val="00E233BC"/>
    <w:rsid w:val="00E35D47"/>
    <w:rsid w:val="00E37DAB"/>
    <w:rsid w:val="00E41C63"/>
    <w:rsid w:val="00E5699D"/>
    <w:rsid w:val="00E650EB"/>
    <w:rsid w:val="00E746CE"/>
    <w:rsid w:val="00E77C57"/>
    <w:rsid w:val="00E829EF"/>
    <w:rsid w:val="00E82F3E"/>
    <w:rsid w:val="00E83AB3"/>
    <w:rsid w:val="00E85425"/>
    <w:rsid w:val="00E918FF"/>
    <w:rsid w:val="00E9593C"/>
    <w:rsid w:val="00E9597D"/>
    <w:rsid w:val="00EA0680"/>
    <w:rsid w:val="00EA6BE4"/>
    <w:rsid w:val="00EA73E8"/>
    <w:rsid w:val="00EC0B2A"/>
    <w:rsid w:val="00EC53E8"/>
    <w:rsid w:val="00EC786E"/>
    <w:rsid w:val="00ED00B0"/>
    <w:rsid w:val="00ED372A"/>
    <w:rsid w:val="00ED4C4B"/>
    <w:rsid w:val="00ED5DC9"/>
    <w:rsid w:val="00EE0B6A"/>
    <w:rsid w:val="00EE51C1"/>
    <w:rsid w:val="00EE5873"/>
    <w:rsid w:val="00EF16DB"/>
    <w:rsid w:val="00EF50BE"/>
    <w:rsid w:val="00EF6181"/>
    <w:rsid w:val="00EF7F9B"/>
    <w:rsid w:val="00F17EAD"/>
    <w:rsid w:val="00F23E7C"/>
    <w:rsid w:val="00F25556"/>
    <w:rsid w:val="00F25915"/>
    <w:rsid w:val="00F34028"/>
    <w:rsid w:val="00F361D5"/>
    <w:rsid w:val="00F41FD0"/>
    <w:rsid w:val="00F45344"/>
    <w:rsid w:val="00F47EBC"/>
    <w:rsid w:val="00F5283B"/>
    <w:rsid w:val="00F53522"/>
    <w:rsid w:val="00F62A5F"/>
    <w:rsid w:val="00F64C09"/>
    <w:rsid w:val="00F7261E"/>
    <w:rsid w:val="00F77A8E"/>
    <w:rsid w:val="00F82FDF"/>
    <w:rsid w:val="00F852F2"/>
    <w:rsid w:val="00F901ED"/>
    <w:rsid w:val="00F94D06"/>
    <w:rsid w:val="00FB0EDA"/>
    <w:rsid w:val="00FC4B96"/>
    <w:rsid w:val="00FC5723"/>
    <w:rsid w:val="00FD5439"/>
    <w:rsid w:val="00FE6BAD"/>
    <w:rsid w:val="00FF4CB1"/>
    <w:rsid w:val="00FF6A37"/>
    <w:rsid w:val="010B1853"/>
    <w:rsid w:val="01CD620A"/>
    <w:rsid w:val="01FC1F9E"/>
    <w:rsid w:val="02466BBF"/>
    <w:rsid w:val="02C823D6"/>
    <w:rsid w:val="04195A8D"/>
    <w:rsid w:val="04233BB2"/>
    <w:rsid w:val="051E3EBE"/>
    <w:rsid w:val="052D71D1"/>
    <w:rsid w:val="05543022"/>
    <w:rsid w:val="05B11BD8"/>
    <w:rsid w:val="066F4195"/>
    <w:rsid w:val="08E45575"/>
    <w:rsid w:val="09173E0C"/>
    <w:rsid w:val="09304C9C"/>
    <w:rsid w:val="0A4968FF"/>
    <w:rsid w:val="0AC7317B"/>
    <w:rsid w:val="0B0C64AC"/>
    <w:rsid w:val="0B64558E"/>
    <w:rsid w:val="0D1B316B"/>
    <w:rsid w:val="0DFB4DB8"/>
    <w:rsid w:val="0DFC36AD"/>
    <w:rsid w:val="0EFE3AE4"/>
    <w:rsid w:val="0F2F78B9"/>
    <w:rsid w:val="0FAA1689"/>
    <w:rsid w:val="10320541"/>
    <w:rsid w:val="11CE30B5"/>
    <w:rsid w:val="125855B7"/>
    <w:rsid w:val="12724EEA"/>
    <w:rsid w:val="13441D7E"/>
    <w:rsid w:val="143C50B0"/>
    <w:rsid w:val="158B792A"/>
    <w:rsid w:val="15BE5DAA"/>
    <w:rsid w:val="16A55713"/>
    <w:rsid w:val="176552CA"/>
    <w:rsid w:val="183779CB"/>
    <w:rsid w:val="19794A04"/>
    <w:rsid w:val="1981130C"/>
    <w:rsid w:val="1A7934BA"/>
    <w:rsid w:val="1C1E7CBD"/>
    <w:rsid w:val="1CD73121"/>
    <w:rsid w:val="1D5F5755"/>
    <w:rsid w:val="1D6B39A4"/>
    <w:rsid w:val="1DAB6A76"/>
    <w:rsid w:val="1DE77E98"/>
    <w:rsid w:val="1E2A7ACD"/>
    <w:rsid w:val="1ED11657"/>
    <w:rsid w:val="1EDE042D"/>
    <w:rsid w:val="1EF853B4"/>
    <w:rsid w:val="1F5C336B"/>
    <w:rsid w:val="1F757F5F"/>
    <w:rsid w:val="20853020"/>
    <w:rsid w:val="20B8789A"/>
    <w:rsid w:val="21372D0F"/>
    <w:rsid w:val="21A1605F"/>
    <w:rsid w:val="21B81DDA"/>
    <w:rsid w:val="231C1A53"/>
    <w:rsid w:val="248F4E23"/>
    <w:rsid w:val="254A2EA3"/>
    <w:rsid w:val="270D629D"/>
    <w:rsid w:val="287E31E4"/>
    <w:rsid w:val="29361F75"/>
    <w:rsid w:val="2A4330BE"/>
    <w:rsid w:val="2A56123B"/>
    <w:rsid w:val="2B7A135F"/>
    <w:rsid w:val="2B8544EE"/>
    <w:rsid w:val="2D622364"/>
    <w:rsid w:val="2D995BFE"/>
    <w:rsid w:val="2E4A133F"/>
    <w:rsid w:val="304144EF"/>
    <w:rsid w:val="31141042"/>
    <w:rsid w:val="32403459"/>
    <w:rsid w:val="32434258"/>
    <w:rsid w:val="32E06448"/>
    <w:rsid w:val="33E5163C"/>
    <w:rsid w:val="342371D2"/>
    <w:rsid w:val="3446175D"/>
    <w:rsid w:val="381D289E"/>
    <w:rsid w:val="382F3512"/>
    <w:rsid w:val="39700396"/>
    <w:rsid w:val="3A467704"/>
    <w:rsid w:val="3AFE1FBC"/>
    <w:rsid w:val="3BB93370"/>
    <w:rsid w:val="3BC00670"/>
    <w:rsid w:val="3BCA70A6"/>
    <w:rsid w:val="417D56CF"/>
    <w:rsid w:val="43D17F4B"/>
    <w:rsid w:val="4467716E"/>
    <w:rsid w:val="462D61C8"/>
    <w:rsid w:val="46403A12"/>
    <w:rsid w:val="476B4DE0"/>
    <w:rsid w:val="479A3536"/>
    <w:rsid w:val="495878AF"/>
    <w:rsid w:val="4A934337"/>
    <w:rsid w:val="4AAB7D3F"/>
    <w:rsid w:val="4AC363F6"/>
    <w:rsid w:val="4AD71FF2"/>
    <w:rsid w:val="4B7B6A18"/>
    <w:rsid w:val="4B8F2ABC"/>
    <w:rsid w:val="4BBB150D"/>
    <w:rsid w:val="4C215819"/>
    <w:rsid w:val="4CC747F3"/>
    <w:rsid w:val="4D5048A0"/>
    <w:rsid w:val="4DBA6A6F"/>
    <w:rsid w:val="4E9F0EBC"/>
    <w:rsid w:val="4EC2357B"/>
    <w:rsid w:val="4ED84C59"/>
    <w:rsid w:val="4F120134"/>
    <w:rsid w:val="50D91C73"/>
    <w:rsid w:val="50DE25E6"/>
    <w:rsid w:val="51CB58C1"/>
    <w:rsid w:val="51CE6CA9"/>
    <w:rsid w:val="53A11AE4"/>
    <w:rsid w:val="53C908DA"/>
    <w:rsid w:val="53FC1639"/>
    <w:rsid w:val="54267136"/>
    <w:rsid w:val="546533ED"/>
    <w:rsid w:val="581B15D7"/>
    <w:rsid w:val="58534A7F"/>
    <w:rsid w:val="59E73B10"/>
    <w:rsid w:val="5A6104A4"/>
    <w:rsid w:val="5A6E219B"/>
    <w:rsid w:val="5A9724A4"/>
    <w:rsid w:val="5C2E39DA"/>
    <w:rsid w:val="5D7B5BB0"/>
    <w:rsid w:val="5E8B2855"/>
    <w:rsid w:val="5EF3730C"/>
    <w:rsid w:val="5F993055"/>
    <w:rsid w:val="600742E9"/>
    <w:rsid w:val="603A74EC"/>
    <w:rsid w:val="60E55075"/>
    <w:rsid w:val="62536BDC"/>
    <w:rsid w:val="644A7871"/>
    <w:rsid w:val="65062B4A"/>
    <w:rsid w:val="65453E9B"/>
    <w:rsid w:val="6603315A"/>
    <w:rsid w:val="665B1122"/>
    <w:rsid w:val="6A3A1726"/>
    <w:rsid w:val="6AC662D2"/>
    <w:rsid w:val="6AF908DE"/>
    <w:rsid w:val="6B4F60BE"/>
    <w:rsid w:val="6BF42E5C"/>
    <w:rsid w:val="6C05517E"/>
    <w:rsid w:val="6C8D51EC"/>
    <w:rsid w:val="6DB11793"/>
    <w:rsid w:val="6E4D3373"/>
    <w:rsid w:val="6F56436B"/>
    <w:rsid w:val="6FB202D6"/>
    <w:rsid w:val="709523A8"/>
    <w:rsid w:val="70D65206"/>
    <w:rsid w:val="71B000BD"/>
    <w:rsid w:val="72165C98"/>
    <w:rsid w:val="7246327C"/>
    <w:rsid w:val="72507BAA"/>
    <w:rsid w:val="725E351F"/>
    <w:rsid w:val="726E44F1"/>
    <w:rsid w:val="728973FB"/>
    <w:rsid w:val="733E5DE1"/>
    <w:rsid w:val="73F1693A"/>
    <w:rsid w:val="7488687B"/>
    <w:rsid w:val="752E1633"/>
    <w:rsid w:val="75F35D47"/>
    <w:rsid w:val="75FA4408"/>
    <w:rsid w:val="77892DAD"/>
    <w:rsid w:val="779C6966"/>
    <w:rsid w:val="7A45487D"/>
    <w:rsid w:val="7AA92523"/>
    <w:rsid w:val="7AE43FC7"/>
    <w:rsid w:val="7B6651DE"/>
    <w:rsid w:val="7BD165C7"/>
    <w:rsid w:val="7E0D6FA4"/>
    <w:rsid w:val="7F706340"/>
    <w:rsid w:val="7F8D7D33"/>
    <w:rsid w:val="7F990663"/>
    <w:rsid w:val="7FA7660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iPriority="99" w:semiHidden="0"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qFormat/>
    <w:uiPriority w:val="99"/>
    <w:pPr>
      <w:jc w:val="left"/>
    </w:pPr>
    <w:rPr>
      <w:kern w:val="0"/>
    </w:rPr>
  </w:style>
  <w:style w:type="paragraph" w:styleId="3">
    <w:name w:val="Body Text"/>
    <w:basedOn w:val="1"/>
    <w:link w:val="26"/>
    <w:qFormat/>
    <w:uiPriority w:val="99"/>
    <w:pPr>
      <w:spacing w:after="120"/>
    </w:pPr>
    <w:rPr>
      <w:kern w:val="0"/>
    </w:rPr>
  </w:style>
  <w:style w:type="paragraph" w:styleId="4">
    <w:name w:val="Body Text Indent"/>
    <w:basedOn w:val="1"/>
    <w:link w:val="28"/>
    <w:qFormat/>
    <w:uiPriority w:val="99"/>
    <w:pPr>
      <w:spacing w:line="400" w:lineRule="atLeast"/>
      <w:ind w:firstLine="570"/>
    </w:pPr>
    <w:rPr>
      <w:sz w:val="28"/>
      <w:szCs w:val="28"/>
    </w:rPr>
  </w:style>
  <w:style w:type="paragraph" w:styleId="5">
    <w:name w:val="Body Text Indent 2"/>
    <w:basedOn w:val="1"/>
    <w:link w:val="23"/>
    <w:qFormat/>
    <w:uiPriority w:val="99"/>
    <w:pPr>
      <w:spacing w:after="120" w:line="480" w:lineRule="auto"/>
      <w:ind w:left="420" w:leftChars="200"/>
    </w:pPr>
    <w:rPr>
      <w:kern w:val="0"/>
    </w:rPr>
  </w:style>
  <w:style w:type="paragraph" w:styleId="6">
    <w:name w:val="Balloon Text"/>
    <w:basedOn w:val="1"/>
    <w:link w:val="24"/>
    <w:semiHidden/>
    <w:qFormat/>
    <w:uiPriority w:val="99"/>
    <w:rPr>
      <w:kern w:val="0"/>
      <w:sz w:val="2"/>
      <w:szCs w:val="2"/>
    </w:rPr>
  </w:style>
  <w:style w:type="paragraph" w:styleId="7">
    <w:name w:val="footer"/>
    <w:basedOn w:val="1"/>
    <w:link w:val="27"/>
    <w:qFormat/>
    <w:uiPriority w:val="99"/>
    <w:pPr>
      <w:tabs>
        <w:tab w:val="center" w:pos="4153"/>
        <w:tab w:val="right" w:pos="8306"/>
      </w:tabs>
      <w:snapToGrid w:val="0"/>
      <w:jc w:val="left"/>
    </w:pPr>
    <w:rPr>
      <w:kern w:val="0"/>
      <w:sz w:val="18"/>
      <w:szCs w:val="18"/>
    </w:rPr>
  </w:style>
  <w:style w:type="paragraph" w:styleId="8">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HTML Preformatted"/>
    <w:basedOn w:val="1"/>
    <w:link w:val="2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0">
    <w:name w:val="Title"/>
    <w:basedOn w:val="1"/>
    <w:next w:val="1"/>
    <w:link w:val="31"/>
    <w:qFormat/>
    <w:uiPriority w:val="99"/>
    <w:pPr>
      <w:spacing w:before="240" w:after="60"/>
      <w:jc w:val="center"/>
      <w:outlineLvl w:val="0"/>
    </w:pPr>
    <w:rPr>
      <w:rFonts w:ascii="Cambria" w:hAnsi="Cambria" w:cs="Cambria"/>
      <w:b/>
      <w:bCs/>
      <w:sz w:val="32"/>
      <w:szCs w:val="32"/>
    </w:rPr>
  </w:style>
  <w:style w:type="paragraph" w:styleId="11">
    <w:name w:val="annotation subject"/>
    <w:basedOn w:val="2"/>
    <w:next w:val="2"/>
    <w:link w:val="21"/>
    <w:semiHidden/>
    <w:qFormat/>
    <w:uiPriority w:val="99"/>
    <w:rPr>
      <w:b/>
      <w:bCs/>
    </w:rPr>
  </w:style>
  <w:style w:type="character" w:styleId="14">
    <w:name w:val="page number"/>
    <w:basedOn w:val="13"/>
    <w:qFormat/>
    <w:uiPriority w:val="99"/>
  </w:style>
  <w:style w:type="character" w:styleId="15">
    <w:name w:val="Hyperlink"/>
    <w:basedOn w:val="13"/>
    <w:unhideWhenUsed/>
    <w:qFormat/>
    <w:locked/>
    <w:uiPriority w:val="99"/>
    <w:rPr>
      <w:color w:val="0000FF" w:themeColor="hyperlink"/>
      <w:u w:val="single"/>
      <w14:textFill>
        <w14:solidFill>
          <w14:schemeClr w14:val="hlink"/>
        </w14:solidFill>
      </w14:textFill>
    </w:rPr>
  </w:style>
  <w:style w:type="character" w:styleId="16">
    <w:name w:val="annotation reference"/>
    <w:basedOn w:val="13"/>
    <w:semiHidden/>
    <w:qFormat/>
    <w:uiPriority w:val="99"/>
    <w:rPr>
      <w:sz w:val="21"/>
      <w:szCs w:val="21"/>
    </w:rPr>
  </w:style>
  <w:style w:type="character" w:customStyle="1" w:styleId="17">
    <w:name w:val="Body Text Indent 2 Char"/>
    <w:qFormat/>
    <w:locked/>
    <w:uiPriority w:val="99"/>
    <w:rPr>
      <w:kern w:val="2"/>
      <w:sz w:val="24"/>
      <w:szCs w:val="24"/>
    </w:rPr>
  </w:style>
  <w:style w:type="character" w:customStyle="1" w:styleId="18">
    <w:name w:val="Comment Subject Char"/>
    <w:qFormat/>
    <w:locked/>
    <w:uiPriority w:val="99"/>
    <w:rPr>
      <w:b/>
      <w:bCs/>
      <w:kern w:val="2"/>
      <w:sz w:val="24"/>
      <w:szCs w:val="24"/>
    </w:rPr>
  </w:style>
  <w:style w:type="character" w:customStyle="1" w:styleId="19">
    <w:name w:val="Comment Text Char"/>
    <w:qFormat/>
    <w:locked/>
    <w:uiPriority w:val="99"/>
    <w:rPr>
      <w:kern w:val="2"/>
      <w:sz w:val="24"/>
      <w:szCs w:val="24"/>
    </w:rPr>
  </w:style>
  <w:style w:type="character" w:customStyle="1" w:styleId="20">
    <w:name w:val="批注文字 字符"/>
    <w:basedOn w:val="13"/>
    <w:link w:val="2"/>
    <w:semiHidden/>
    <w:qFormat/>
    <w:locked/>
    <w:uiPriority w:val="99"/>
    <w:rPr>
      <w:sz w:val="21"/>
      <w:szCs w:val="21"/>
    </w:rPr>
  </w:style>
  <w:style w:type="character" w:customStyle="1" w:styleId="21">
    <w:name w:val="批注主题 字符"/>
    <w:basedOn w:val="20"/>
    <w:link w:val="11"/>
    <w:semiHidden/>
    <w:qFormat/>
    <w:locked/>
    <w:uiPriority w:val="99"/>
    <w:rPr>
      <w:b/>
      <w:bCs/>
      <w:kern w:val="2"/>
      <w:sz w:val="21"/>
      <w:szCs w:val="21"/>
    </w:rPr>
  </w:style>
  <w:style w:type="character" w:customStyle="1" w:styleId="22">
    <w:name w:val="页眉 字符"/>
    <w:basedOn w:val="13"/>
    <w:link w:val="8"/>
    <w:semiHidden/>
    <w:qFormat/>
    <w:locked/>
    <w:uiPriority w:val="99"/>
    <w:rPr>
      <w:sz w:val="18"/>
      <w:szCs w:val="18"/>
    </w:rPr>
  </w:style>
  <w:style w:type="character" w:customStyle="1" w:styleId="23">
    <w:name w:val="正文文本缩进 2 字符"/>
    <w:basedOn w:val="13"/>
    <w:link w:val="5"/>
    <w:semiHidden/>
    <w:qFormat/>
    <w:locked/>
    <w:uiPriority w:val="99"/>
    <w:rPr>
      <w:sz w:val="21"/>
      <w:szCs w:val="21"/>
    </w:rPr>
  </w:style>
  <w:style w:type="character" w:customStyle="1" w:styleId="24">
    <w:name w:val="批注框文本 字符"/>
    <w:basedOn w:val="13"/>
    <w:link w:val="6"/>
    <w:semiHidden/>
    <w:qFormat/>
    <w:locked/>
    <w:uiPriority w:val="99"/>
    <w:rPr>
      <w:sz w:val="2"/>
      <w:szCs w:val="2"/>
    </w:rPr>
  </w:style>
  <w:style w:type="paragraph" w:customStyle="1" w:styleId="25">
    <w:name w:val="彩色底纹 - 强调文字颜色 11"/>
    <w:qFormat/>
    <w:uiPriority w:val="99"/>
    <w:rPr>
      <w:rFonts w:ascii="Times New Roman" w:hAnsi="Times New Roman" w:eastAsia="宋体" w:cs="Times New Roman"/>
      <w:kern w:val="2"/>
      <w:sz w:val="21"/>
      <w:szCs w:val="21"/>
      <w:lang w:val="en-US" w:eastAsia="zh-CN" w:bidi="ar-SA"/>
    </w:rPr>
  </w:style>
  <w:style w:type="character" w:customStyle="1" w:styleId="26">
    <w:name w:val="正文文本 字符"/>
    <w:basedOn w:val="13"/>
    <w:link w:val="3"/>
    <w:semiHidden/>
    <w:qFormat/>
    <w:locked/>
    <w:uiPriority w:val="99"/>
    <w:rPr>
      <w:sz w:val="21"/>
      <w:szCs w:val="21"/>
    </w:rPr>
  </w:style>
  <w:style w:type="character" w:customStyle="1" w:styleId="27">
    <w:name w:val="页脚 字符"/>
    <w:basedOn w:val="13"/>
    <w:link w:val="7"/>
    <w:semiHidden/>
    <w:qFormat/>
    <w:locked/>
    <w:uiPriority w:val="99"/>
    <w:rPr>
      <w:sz w:val="18"/>
      <w:szCs w:val="18"/>
    </w:rPr>
  </w:style>
  <w:style w:type="character" w:customStyle="1" w:styleId="28">
    <w:name w:val="正文文本缩进 字符"/>
    <w:basedOn w:val="13"/>
    <w:link w:val="4"/>
    <w:qFormat/>
    <w:locked/>
    <w:uiPriority w:val="99"/>
    <w:rPr>
      <w:kern w:val="2"/>
      <w:sz w:val="28"/>
      <w:szCs w:val="28"/>
    </w:rPr>
  </w:style>
  <w:style w:type="character" w:customStyle="1" w:styleId="29">
    <w:name w:val="HTML 预设格式 字符"/>
    <w:basedOn w:val="13"/>
    <w:link w:val="9"/>
    <w:semiHidden/>
    <w:qFormat/>
    <w:locked/>
    <w:uiPriority w:val="99"/>
    <w:rPr>
      <w:rFonts w:ascii="Courier New" w:hAnsi="Courier New" w:cs="Courier New"/>
      <w:sz w:val="20"/>
      <w:szCs w:val="20"/>
    </w:rPr>
  </w:style>
  <w:style w:type="paragraph" w:customStyle="1" w:styleId="30">
    <w:name w:val="修订1"/>
    <w:qFormat/>
    <w:uiPriority w:val="99"/>
    <w:rPr>
      <w:rFonts w:ascii="Times New Roman" w:hAnsi="Times New Roman" w:eastAsia="宋体" w:cs="Times New Roman"/>
      <w:kern w:val="2"/>
      <w:sz w:val="21"/>
      <w:szCs w:val="21"/>
      <w:lang w:val="en-US" w:eastAsia="zh-CN" w:bidi="ar-SA"/>
    </w:rPr>
  </w:style>
  <w:style w:type="character" w:customStyle="1" w:styleId="31">
    <w:name w:val="标题 字符"/>
    <w:basedOn w:val="13"/>
    <w:link w:val="10"/>
    <w:qFormat/>
    <w:locked/>
    <w:uiPriority w:val="99"/>
    <w:rPr>
      <w:rFonts w:ascii="Cambria" w:hAnsi="Cambria" w:cs="Cambria"/>
      <w:b/>
      <w:bCs/>
      <w:kern w:val="2"/>
      <w:sz w:val="32"/>
      <w:szCs w:val="32"/>
    </w:rPr>
  </w:style>
  <w:style w:type="character" w:customStyle="1" w:styleId="32">
    <w:name w:val="未处理的提及1"/>
    <w:basedOn w:val="13"/>
    <w:semiHidden/>
    <w:unhideWhenUsed/>
    <w:qFormat/>
    <w:uiPriority w:val="99"/>
    <w:rPr>
      <w:color w:val="605E5C"/>
      <w:shd w:val="clear" w:color="auto" w:fill="E1DFDD"/>
    </w:rPr>
  </w:style>
  <w:style w:type="paragraph" w:customStyle="1" w:styleId="33">
    <w:name w:val="Revision"/>
    <w:hidden/>
    <w:semiHidden/>
    <w:qFormat/>
    <w:uiPriority w:val="99"/>
    <w:rPr>
      <w:rFonts w:ascii="Times New Roman" w:hAnsi="Times New Roman" w:eastAsia="宋体" w:cs="Times New Roman"/>
      <w:kern w:val="2"/>
      <w:sz w:val="21"/>
      <w:szCs w:val="21"/>
      <w:lang w:val="en-US" w:eastAsia="zh-CN" w:bidi="ar-SA"/>
    </w:rPr>
  </w:style>
  <w:style w:type="paragraph" w:styleId="3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xhs</Company>
  <Pages>8</Pages>
  <Words>785</Words>
  <Characters>833</Characters>
  <Lines>23</Lines>
  <Paragraphs>6</Paragraphs>
  <TotalTime>62</TotalTime>
  <ScaleCrop>false</ScaleCrop>
  <LinksUpToDate>false</LinksUpToDate>
  <CharactersWithSpaces>1165</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2023-10-17T02:24:00Z</dcterms:created>
  <dc:creator>xhs</dc:creator>
  <cp:lastModifiedBy>Administrator</cp:lastModifiedBy>
  <cp:lastPrinted>2017-09-14T07:15:00Z</cp:lastPrinted>
  <dcterms:modified xsi:type="dcterms:W3CDTF">2025-12-04T02:26:19Z</dcterms:modified>
  <dc:title>新华通讯社新闻信息产品供稿服务协议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DC611C7DB8DD44D2B307D34AEAF810E9_13</vt:lpwstr>
  </property>
  <property fmtid="{D5CDD505-2E9C-101B-9397-08002B2CF9AE}" pid="4" name="KSOTemplateDocerSaveRecord">
    <vt:lpwstr>eyJoZGlkIjoiYjMwNWRiMWZlZjg5YzRhODc1ODNjMzc4OTEyMTBlZTMiLCJ1c2VySWQiOiIxNjE0ODExNzc0In0=</vt:lpwstr>
  </property>
</Properties>
</file>