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版本号：YYZFCG竞争性磋商（2025）24号20250327001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榆阳区大补路（贾拉滩至杨家滩段）改建工程项目重点保护陆生野生动物重要栖息地和迁徙通道报告编制服务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YYZFCG竞争性磋商（2025）24号</w:t>
      </w:r>
      <w:r>
        <w:br/>
      </w:r>
      <w:r>
        <w:br/>
      </w:r>
      <w:r>
        <w:br/>
      </w:r>
    </w:p>
    <w:p>
      <w:pPr>
        <w:pStyle w:val="null3"/>
        <w:jc w:val="center"/>
        <w:outlineLvl w:val="2"/>
      </w:pPr>
      <w:r>
        <w:rPr>
          <w:rFonts w:ascii="仿宋_GB2312" w:hAnsi="仿宋_GB2312" w:cs="仿宋_GB2312" w:eastAsia="仿宋_GB2312"/>
          <w:sz w:val="28"/>
          <w:b/>
        </w:rPr>
        <w:t>榆林市榆阳区交通运输局</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榆林市榆阳区交通运输局</w:t>
      </w:r>
      <w:r>
        <w:rPr>
          <w:rFonts w:ascii="仿宋_GB2312" w:hAnsi="仿宋_GB2312" w:cs="仿宋_GB2312" w:eastAsia="仿宋_GB2312"/>
        </w:rPr>
        <w:t>委托，拟对</w:t>
      </w:r>
      <w:r>
        <w:rPr>
          <w:rFonts w:ascii="仿宋_GB2312" w:hAnsi="仿宋_GB2312" w:cs="仿宋_GB2312" w:eastAsia="仿宋_GB2312"/>
        </w:rPr>
        <w:t>榆阳区大补路（贾拉滩至杨家滩段）改建工程项目重点保护陆生野生动物重要栖息地和迁徙通道报告编制服务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YYZFCG竞争性磋商（2025）24号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榆阳区大补路（贾拉滩至杨家滩段）改建工程项目重点保护陆生野生动物重要栖息地和迁徙通道报告编制服务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榆阳区大补路（贾拉滩至杨家滩段）公路改建工程起点位于小壕兔贾拉滩村，顺接现有大补路，途经板头圪点、泊罗及大汉、河口村、大篙莱、猪场梁、河口渔场、瓦片梁，终点位于杨家滩与S302平面交叉，路线全长21.014公里。项目估算金额9250万元，由中省补助和自筹资金构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采购包1（榆阳区大补路（贾拉滩至杨家滩段）改建工程项目重点保护陆生野生动物重要栖息地和迁徙通道报告编制服务）：属于专门面向小微企业采购。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1、本采购包专门面向中小企业采购：参与的供应商（联合体）全部为符合政策要求的小微企业。</w:t>
      </w:r>
    </w:p>
    <w:p>
      <w:pPr>
        <w:pStyle w:val="null3"/>
      </w:pPr>
      <w:r>
        <w:rPr>
          <w:rFonts w:ascii="仿宋_GB2312" w:hAnsi="仿宋_GB2312" w:cs="仿宋_GB2312" w:eastAsia="仿宋_GB2312"/>
        </w:rPr>
        <w:t>2、拟派项目负责人资质和专业要求。：证书等级： 专业： 补充说明：</w:t>
      </w:r>
    </w:p>
    <w:p>
      <w:pPr>
        <w:pStyle w:val="null3"/>
      </w:pPr>
      <w:r>
        <w:rPr>
          <w:rFonts w:ascii="仿宋_GB2312" w:hAnsi="仿宋_GB2312" w:cs="仿宋_GB2312" w:eastAsia="仿宋_GB2312"/>
        </w:rPr>
        <w:t>3、有效的主体资格证明文件：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4、法定代表人授权书：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p>
      <w:pPr>
        <w:pStyle w:val="null3"/>
      </w:pPr>
      <w:r>
        <w:rPr>
          <w:rFonts w:ascii="仿宋_GB2312" w:hAnsi="仿宋_GB2312" w:cs="仿宋_GB2312" w:eastAsia="仿宋_GB2312"/>
        </w:rPr>
        <w:t>5、社会保障资金缴纳证明：供应商提供上一年度至开标前已缴存的至少三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6、税收缴纳证明：供应商提供上一年度至开标前已缴纳的至少三个月的纳税证明或完税证明，纳税证明或完税证明上应有代收机构或税务机关的公章。依法免税的供应商应提供相关文件证明。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7、商业信誉：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榆林市榆阳区榆林大道苏庄则路口南100米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15877581528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09123518917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采购包1：498,750.00元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榆林市榆阳区交通运输局</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榆林市榆阳区交通运输局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榆林市榆阳区交通运输局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榆林市榆阳区交通运输局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联系人：张老师</w:t>
      </w:r>
    </w:p>
    <w:p>
      <w:pPr>
        <w:pStyle w:val="null3"/>
      </w:pPr>
      <w:r>
        <w:rPr>
          <w:rFonts w:ascii="仿宋_GB2312" w:hAnsi="仿宋_GB2312" w:cs="仿宋_GB2312" w:eastAsia="仿宋_GB2312"/>
        </w:rPr>
        <w:t>联系电话：09123518917</w:t>
      </w:r>
    </w:p>
    <w:p>
      <w:pPr>
        <w:pStyle w:val="null3"/>
      </w:pPr>
      <w:r>
        <w:rPr>
          <w:rFonts w:ascii="仿宋_GB2312" w:hAnsi="仿宋_GB2312" w:cs="仿宋_GB2312" w:eastAsia="仿宋_GB2312"/>
        </w:rPr>
        <w:t>地址：榆阳区政务服务中心326室</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榆阳区大补路（贾拉滩至杨家滩段）公路改建工程起点位于小壕兔贾拉滩村，顺接现有大补路，途经板头圪点、泊罗及大汉、河口村、大篙莱、猪场梁、河口渔场、瓦片梁，终点位于杨家滩与S302平面交叉，路线全长21.014公里。项目估算金额9250万元，由中省补助和自筹资金构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498,750.00</w:t>
      </w:r>
    </w:p>
    <w:p>
      <w:pPr>
        <w:pStyle w:val="null3"/>
      </w:pPr>
      <w:r>
        <w:rPr>
          <w:rFonts w:ascii="仿宋_GB2312" w:hAnsi="仿宋_GB2312" w:cs="仿宋_GB2312" w:eastAsia="仿宋_GB2312"/>
        </w:rPr>
        <w:t>采购包最高限价（元）: 498,750.00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榆阳区大补路（贾拉滩至杨家滩段） 改建工程项目重点保护陆生野生动物 重要栖息地和迁徙通道报告编制服务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498,750.00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标的名称：榆阳区大补路（贾拉滩至杨家滩段） 改建工程项目重点保护陆生野生动物 重要栖息地和迁徙通道报告编制服务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阳区大补路（贾拉滩至杨家滩段）公路改建工程起点位于小壕兔贾拉滩村，顺接现有大补路，途经板头圪点、泊罗及大汉、河口村、大篙莱、猪场梁、河口渔场、瓦片梁，终点位于杨家滩与S302平面交叉，路线全长21.014公里。项目估算金额9250万元，由中省补助和自筹资金构成。</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榆阳区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一次性</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榆阳区大补路（贾拉滩至杨家滩段）公路改建工程起点位于小壕兔贾拉滩村，顺接现有大补路，途经板头圪点、泊罗及大汉、河口村、大篙莱、猪场梁、河口渔场、瓦片梁，终点位于杨家滩与S302平面交叉，路线全长21.014公里。项目估算金额9250万元，由中省补助和自筹资金构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参与的供应商（联合体）全部为符合政策要求的小微企业。</w:t>
            </w:r>
          </w:p>
        </w:tc>
        <w:tc>
          <w:tcPr>
            <w:tcW w:type="dxa" w:w="1661"/>
          </w:tcPr>
          <w:p>
            <w:pPr>
              <w:pStyle w:val="null3"/>
            </w:pPr>
            <w:r>
              <w:rPr>
                <w:rFonts w:ascii="仿宋_GB2312" w:hAnsi="仿宋_GB2312" w:cs="仿宋_GB2312" w:eastAsia="仿宋_GB2312"/>
              </w:rPr>
              <w:t>响应文件封面 中小企业声明函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 专业： 补充说明：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有效的主体资格证明文件</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供应商提供上一年度至开标前已缴存的至少三个月的社会保障资金缴存单据或社保机构开具的社会保险参保缴费情况证明。依法不需要缴纳社会保障资金的供应商应提供相关文件证明。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供应商提供上一年度至开标前已缴纳的至少三个月的纳税证明或完税证明，纳税证明或完税证明上应有代收机构或税务机关的公章。依法免税的供应商应提供相关文件证明。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tc>
        <w:tc>
          <w:tcPr>
            <w:tcW w:type="dxa" w:w="1661"/>
          </w:tcPr>
          <w:p>
            <w:pPr>
              <w:pStyle w:val="null3"/>
            </w:pPr>
            <w:r>
              <w:rPr>
                <w:rFonts w:ascii="仿宋_GB2312" w:hAnsi="仿宋_GB2312" w:cs="仿宋_GB2312" w:eastAsia="仿宋_GB2312"/>
              </w:rPr>
              <w:t>响应文件封面 信用承诺书.docx 服务方案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w:t>
            </w:r>
          </w:p>
        </w:tc>
        <w:tc>
          <w:tcPr>
            <w:tcW w:type="dxa" w:w="3322"/>
          </w:tcPr>
          <w:p>
            <w:pPr>
              <w:pStyle w:val="null3"/>
            </w:pPr>
            <w:r>
              <w:rPr>
                <w:rFonts w:ascii="仿宋_GB2312" w:hAnsi="仿宋_GB2312" w:cs="仿宋_GB2312" w:eastAsia="仿宋_GB2312"/>
              </w:rPr>
              <w:t>响应文件语言符合磋商文件要求。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响应文件封面、投标函、法定代表人授权委托书三处的项目名称、项目编号、标段（如有）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响应文件封面 服务方案 响应函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均按磋商文件要求盖章（评分标准中要求提供的证明材料除外）。</w:t>
            </w:r>
          </w:p>
        </w:tc>
        <w:tc>
          <w:tcPr>
            <w:tcW w:type="dxa" w:w="1661"/>
          </w:tcPr>
          <w:p>
            <w:pPr>
              <w:pStyle w:val="null3"/>
            </w:pPr>
            <w:r>
              <w:rPr>
                <w:rFonts w:ascii="仿宋_GB2312" w:hAnsi="仿宋_GB2312" w:cs="仿宋_GB2312" w:eastAsia="仿宋_GB2312"/>
              </w:rPr>
              <w:t>响应文件封面 服务内容及服务邀请应答表 中小企业声明函 信用承诺书.docx 商务应答表 服务方案 供应商应提交的相关资格证明材料 标的清单 报价表 响应函 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响应文件应包含以下内容： （1）资格证明文件； （2）符合性证明文件； （3）投标方案。</w:t>
            </w:r>
          </w:p>
        </w:tc>
        <w:tc>
          <w:tcPr>
            <w:tcW w:type="dxa" w:w="1661"/>
          </w:tcPr>
          <w:p>
            <w:pPr>
              <w:pStyle w:val="null3"/>
            </w:pPr>
            <w:r>
              <w:rPr>
                <w:rFonts w:ascii="仿宋_GB2312" w:hAnsi="仿宋_GB2312" w:cs="仿宋_GB2312" w:eastAsia="仿宋_GB2312"/>
              </w:rPr>
              <w:t>响应文件封面 服务内容及服务邀请应答表 服务方案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响应文件封面 信用承诺书.docx 服务方案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 xml:space="preserve"> 完全理解并接受对合格投标人、合格的服务要求，实质性要求没有负偏离。</w:t>
            </w:r>
          </w:p>
        </w:tc>
        <w:tc>
          <w:tcPr>
            <w:tcW w:type="dxa" w:w="1661"/>
          </w:tcPr>
          <w:p>
            <w:pPr>
              <w:pStyle w:val="null3"/>
            </w:pPr>
            <w:r>
              <w:rPr>
                <w:rFonts w:ascii="仿宋_GB2312" w:hAnsi="仿宋_GB2312" w:cs="仿宋_GB2312" w:eastAsia="仿宋_GB2312"/>
              </w:rPr>
              <w:t>响应文件封面 服务内容及服务邀请应答表 服务方案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服务标准方案</w:t>
            </w:r>
          </w:p>
        </w:tc>
        <w:tc>
          <w:tcPr>
            <w:tcW w:type="dxa" w:w="2492"/>
          </w:tcPr>
          <w:p>
            <w:pPr>
              <w:pStyle w:val="null3"/>
            </w:pPr>
            <w:r>
              <w:rPr>
                <w:rFonts w:ascii="仿宋_GB2312" w:hAnsi="仿宋_GB2312" w:cs="仿宋_GB2312" w:eastAsia="仿宋_GB2312"/>
              </w:rPr>
              <w:t>投标内容齐全，数量准确无漏项，完全满足招标需求（0-15分）； 人员配备（技能、资质及分工等）等情况（0-10分）； 主要负责人员资质、相关管理经验等配备情况（0-5分）； 项目组织实施计划完整可行，分工明确到位，协调措施有力，具有完成项目的组织能力（0-10分）。 服务承诺（0-4分）； 管理制度（0-4分）； 是否设置合理的奖惩、考核制度（0-3分）； 具有相应的财力、物力、人力保障，能够保证服务正常运转（0-2分）。</w:t>
            </w:r>
          </w:p>
        </w:tc>
        <w:tc>
          <w:tcPr>
            <w:tcW w:type="dxa" w:w="831"/>
          </w:tcPr>
          <w:p>
            <w:pPr>
              <w:pStyle w:val="null3"/>
              <w:jc w:val="right"/>
            </w:pPr>
            <w:r>
              <w:rPr>
                <w:rFonts w:ascii="仿宋_GB2312" w:hAnsi="仿宋_GB2312" w:cs="仿宋_GB2312" w:eastAsia="仿宋_GB2312"/>
              </w:rPr>
              <w:t>53.0000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财务状况</w:t>
            </w:r>
          </w:p>
        </w:tc>
        <w:tc>
          <w:tcPr>
            <w:tcW w:type="dxa" w:w="2492"/>
          </w:tcPr>
          <w:p>
            <w:pPr>
              <w:pStyle w:val="null3"/>
            </w:pPr>
            <w:r>
              <w:rPr>
                <w:rFonts w:ascii="仿宋_GB2312" w:hAnsi="仿宋_GB2312" w:cs="仿宋_GB2312" w:eastAsia="仿宋_GB2312"/>
              </w:rPr>
              <w:t>如实提供近期审计报告（3分） 如实提供近期税务机关出具的完税证明（3分）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信誉业绩</w:t>
            </w:r>
          </w:p>
        </w:tc>
        <w:tc>
          <w:tcPr>
            <w:tcW w:type="dxa" w:w="2492"/>
          </w:tcPr>
          <w:p>
            <w:pPr>
              <w:pStyle w:val="null3"/>
            </w:pPr>
            <w:r>
              <w:rPr>
                <w:rFonts w:ascii="仿宋_GB2312" w:hAnsi="仿宋_GB2312" w:cs="仿宋_GB2312" w:eastAsia="仿宋_GB2312"/>
              </w:rPr>
              <w:t>提供开户银行资信证明（5分） 提供同类项目的业绩证明≥三份（5分） 提供同类项目的业绩证明≥二份（3分） 提供同类项目的业绩证明≥一份（1分） 无类似项目业绩单项合同不得分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履约服务</w:t>
            </w:r>
          </w:p>
        </w:tc>
        <w:tc>
          <w:tcPr>
            <w:tcW w:type="dxa" w:w="2492"/>
          </w:tcPr>
          <w:p>
            <w:pPr>
              <w:pStyle w:val="null3"/>
            </w:pPr>
            <w:r>
              <w:rPr>
                <w:rFonts w:ascii="仿宋_GB2312" w:hAnsi="仿宋_GB2312" w:cs="仿宋_GB2312" w:eastAsia="仿宋_GB2312"/>
              </w:rPr>
              <w:t>提供履约服务标准公约，在项目实施、培训、补救措施等方面，具有明确的承诺。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商务响应，逐条响应</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满足磋商文件要求且最后磋商报价最低的供应商的价格为磋商基准价，其价格分为满分。其他供应商的价格分按照下列公式计算：磋商报价得分=（磋商基准价/最后磋商报价）×20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详见附件：信用承诺书.docx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详见附件：大补路合同（模板）.docx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