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版本号：YYZFCG竞争性磋商（2025）50号20250625001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保宁路社区日间照料中心提升改造项目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YYZFCG竞争性磋商（2025）50号</w:t>
      </w:r>
      <w:r>
        <w:br/>
      </w:r>
      <w:r>
        <w:br/>
      </w:r>
      <w:r>
        <w:br/>
      </w:r>
    </w:p>
    <w:p>
      <w:pPr>
        <w:pStyle w:val="null3"/>
        <w:jc w:val="center"/>
        <w:outlineLvl w:val="2"/>
      </w:pPr>
      <w:r>
        <w:rPr>
          <w:rFonts w:ascii="仿宋_GB2312" w:hAnsi="仿宋_GB2312" w:cs="仿宋_GB2312" w:eastAsia="仿宋_GB2312"/>
          <w:sz w:val="28"/>
          <w:b/>
        </w:rPr>
        <w:t>榆林市榆阳区青山路街道办事处</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榆林市榆阳区青山路街道办事处</w:t>
      </w:r>
      <w:r>
        <w:rPr>
          <w:rFonts w:ascii="仿宋_GB2312" w:hAnsi="仿宋_GB2312" w:cs="仿宋_GB2312" w:eastAsia="仿宋_GB2312"/>
        </w:rPr>
        <w:t>委托，拟对</w:t>
      </w:r>
      <w:r>
        <w:rPr>
          <w:rFonts w:ascii="仿宋_GB2312" w:hAnsi="仿宋_GB2312" w:cs="仿宋_GB2312" w:eastAsia="仿宋_GB2312"/>
        </w:rPr>
        <w:t>保宁路社区日间照料中心提升改造项目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YYZFCG竞争性磋商（2025）50号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保宁路社区日间照料中心提升改造项目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改造项目主要包括铺设橡胶防滑地面、更换适老化桌椅、更换玻璃为全玻幕墙、铺贴硅藻泥墙面、安装中央空调及暖气、更换门牌、购买实木大圆桌及实木凳、室外防晒石化桌凳等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采购包1（保宁路社区日间照料中心提升改造项目）：属于专门面向小微企业采购。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1、本采购包专门面向小微企业采购：本项目专门面向小微企业采购。投标人应填写《中小企业声明函（工程、服务）》，本项目面向小微企业总体预留比例为 100 % 。</w:t>
      </w:r>
    </w:p>
    <w:p>
      <w:pPr>
        <w:pStyle w:val="null3"/>
      </w:pPr>
      <w:r>
        <w:rPr>
          <w:rFonts w:ascii="仿宋_GB2312" w:hAnsi="仿宋_GB2312" w:cs="仿宋_GB2312" w:eastAsia="仿宋_GB2312"/>
        </w:rPr>
        <w:t>2、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4、社会保障资金缴纳证明：供应商提供近一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5、税收缴纳证明：提供近一年年度至递交磋商响应文件截止时间已缴纳的至少三个月的纳税证明（银行缴费凭证）或完税证明，依法免税的提供相关证明材料。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 xml:space="preserve">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p>
      <w:pPr>
        <w:pStyle w:val="null3"/>
      </w:pPr>
      <w:r>
        <w:rPr>
          <w:rFonts w:ascii="仿宋_GB2312" w:hAnsi="仿宋_GB2312" w:cs="仿宋_GB2312" w:eastAsia="仿宋_GB2312"/>
        </w:rPr>
        <w:t>7、供应商资质：供应商须具有建筑工程施工总承包三级及以上资质</w:t>
      </w:r>
    </w:p>
    <w:p>
      <w:pPr>
        <w:pStyle w:val="null3"/>
      </w:pPr>
      <w:r>
        <w:rPr>
          <w:rFonts w:ascii="仿宋_GB2312" w:hAnsi="仿宋_GB2312" w:cs="仿宋_GB2312" w:eastAsia="仿宋_GB2312"/>
        </w:rPr>
        <w:t>8、拟派项目负责人资质和专业要求。：拟派本项目负责人的建造师注册证书（具备建筑工程二级及以上资格）、安全生产考核合格证书（B证）及近一年年度至递交磋商响应文件截止时间在本单位至少三个月的社会保障资金银行缴存单据或社保机构开具的社会保险参保缴费情况证明，且无在建项目［须通过“陕西省建筑市场监管与诚信信息发布平台”（http://jzscyth.shaanxi.gov.cn:7001/PDR/network/credit/home）查询（查询日期为从磋商公告发布之日起至磋商响应文件递交截止时间前，以网页截图加盖供应商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榆林市榆阳区青山路街道办事处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榆阳区常乐路29号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榆林市榆阳区青山路街道办事处经办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13468899872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18691279848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采购包1：199,741.48元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榆林市榆阳区青山路街道办事处</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榆林市榆阳区青山路街道办事处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榆林市榆阳区青山路街道办事处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工程质量合格，材料安全环保</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联系人：张晓瑜</w:t>
      </w:r>
    </w:p>
    <w:p>
      <w:pPr>
        <w:pStyle w:val="null3"/>
      </w:pPr>
      <w:r>
        <w:rPr>
          <w:rFonts w:ascii="仿宋_GB2312" w:hAnsi="仿宋_GB2312" w:cs="仿宋_GB2312" w:eastAsia="仿宋_GB2312"/>
        </w:rPr>
        <w:t>联系电话：18691279848</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199,741.48</w:t>
      </w:r>
    </w:p>
    <w:p>
      <w:pPr>
        <w:pStyle w:val="null3"/>
      </w:pPr>
      <w:r>
        <w:rPr>
          <w:rFonts w:ascii="仿宋_GB2312" w:hAnsi="仿宋_GB2312" w:cs="仿宋_GB2312" w:eastAsia="仿宋_GB2312"/>
        </w:rPr>
        <w:t>采购包最高限价（元）: 199,741.48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199,741.48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工程名称：青山路办事处保宁路社区老年人日间照料中心提升改造-土建工程</w:t>
                  </w:r>
                </w:p>
              </w:tc>
              <w:tc>
                <w:tcPr>
                  <w:tcW w:type="dxa" w:w="65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土建工程</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020103001002</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防滑地面</w:t>
                  </w:r>
                  <w:r>
                    <w:br/>
                  </w:r>
                  <w:r>
                    <w:rPr>
                      <w:rFonts w:ascii="仿宋_GB2312" w:hAnsi="仿宋_GB2312" w:cs="仿宋_GB2312" w:eastAsia="仿宋_GB2312"/>
                      <w:sz w:val="19"/>
                      <w:color w:val="000000"/>
                    </w:rPr>
                    <w:t xml:space="preserve"> 1.橡胶板防滑地面</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121.8</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020210002002</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全玻幕墙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1.玻璃品种、规格、品牌、颜色:玻璃品种、规格、品牌、颜色：（热反射玻璃(镀膜玻璃)钢化遮阳防晒）12厚 夹层中空玻璃（钢化）</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1.幕墙安装</w:t>
                  </w:r>
                  <w:r>
                    <w:br/>
                  </w:r>
                  <w:r>
                    <w:rPr>
                      <w:rFonts w:ascii="仿宋_GB2312" w:hAnsi="仿宋_GB2312" w:cs="仿宋_GB2312" w:eastAsia="仿宋_GB2312"/>
                      <w:sz w:val="19"/>
                      <w:color w:val="000000"/>
                    </w:rPr>
                    <w:t xml:space="preserve"> 2.嵌缝、塞口</w:t>
                  </w:r>
                  <w:r>
                    <w:br/>
                  </w:r>
                  <w:r>
                    <w:rPr>
                      <w:rFonts w:ascii="仿宋_GB2312" w:hAnsi="仿宋_GB2312" w:cs="仿宋_GB2312" w:eastAsia="仿宋_GB2312"/>
                      <w:sz w:val="19"/>
                      <w:color w:val="000000"/>
                    </w:rPr>
                    <w:t xml:space="preserve"> 3.清洗</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020207001002</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硅藻泥墙面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1.面层材料品种、规格、品牌、颜色:硅藻泥墙面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2.面层铺贴</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28.75</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门牌</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1.规格:5.5*0.8m</w:t>
                  </w:r>
                  <w:r>
                    <w:br/>
                  </w:r>
                  <w:r>
                    <w:rPr>
                      <w:rFonts w:ascii="仿宋_GB2312" w:hAnsi="仿宋_GB2312" w:cs="仿宋_GB2312" w:eastAsia="仿宋_GB2312"/>
                      <w:sz w:val="19"/>
                      <w:color w:val="000000"/>
                    </w:rPr>
                    <w:t xml:space="preserve"> 2.材质:亚克力</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设施</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020601020001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大圆桌</w:t>
                  </w:r>
                  <w:r>
                    <w:br/>
                  </w:r>
                  <w:r>
                    <w:rPr>
                      <w:rFonts w:ascii="仿宋_GB2312" w:hAnsi="仿宋_GB2312" w:cs="仿宋_GB2312" w:eastAsia="仿宋_GB2312"/>
                      <w:sz w:val="19"/>
                      <w:color w:val="000000"/>
                    </w:rPr>
                    <w:t xml:space="preserve"> 1.10人台标准实木大圆桌</w:t>
                  </w:r>
                  <w:r>
                    <w:br/>
                  </w:r>
                  <w:r>
                    <w:rPr>
                      <w:rFonts w:ascii="仿宋_GB2312" w:hAnsi="仿宋_GB2312" w:cs="仿宋_GB2312" w:eastAsia="仿宋_GB2312"/>
                      <w:sz w:val="19"/>
                      <w:color w:val="000000"/>
                    </w:rPr>
                    <w:t xml:space="preserve"> 2.配10把实木凳</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020601020002</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成品室外桌凳</w:t>
                  </w:r>
                  <w:r>
                    <w:br/>
                  </w:r>
                  <w:r>
                    <w:rPr>
                      <w:rFonts w:ascii="仿宋_GB2312" w:hAnsi="仿宋_GB2312" w:cs="仿宋_GB2312" w:eastAsia="仿宋_GB2312"/>
                      <w:sz w:val="19"/>
                      <w:color w:val="000000"/>
                    </w:rPr>
                    <w:t xml:space="preserve"> 1.配4人台标准防晒石老化桌</w:t>
                  </w:r>
                  <w:r>
                    <w:br/>
                  </w:r>
                  <w:r>
                    <w:rPr>
                      <w:rFonts w:ascii="仿宋_GB2312" w:hAnsi="仿宋_GB2312" w:cs="仿宋_GB2312" w:eastAsia="仿宋_GB2312"/>
                      <w:sz w:val="19"/>
                      <w:color w:val="000000"/>
                    </w:rPr>
                    <w:t xml:space="preserve"> 2.配4把石老化桌凳</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020601020003</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成品室内桌凳</w:t>
                  </w:r>
                  <w:r>
                    <w:br/>
                  </w:r>
                  <w:r>
                    <w:rPr>
                      <w:rFonts w:ascii="仿宋_GB2312" w:hAnsi="仿宋_GB2312" w:cs="仿宋_GB2312" w:eastAsia="仿宋_GB2312"/>
                      <w:sz w:val="19"/>
                      <w:color w:val="000000"/>
                    </w:rPr>
                    <w:t xml:space="preserve"> 1.标准石老化桌</w:t>
                  </w:r>
                  <w:r>
                    <w:br/>
                  </w:r>
                  <w:r>
                    <w:rPr>
                      <w:rFonts w:ascii="仿宋_GB2312" w:hAnsi="仿宋_GB2312" w:cs="仿宋_GB2312" w:eastAsia="仿宋_GB2312"/>
                      <w:sz w:val="19"/>
                      <w:color w:val="000000"/>
                    </w:rPr>
                    <w:t xml:space="preserve"> 2.配4个坐凳</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05"/>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工程名称：青山路办事处保宁路社区老年人日间照料中心提升改造-采暖</w:t>
                  </w:r>
                </w:p>
              </w:tc>
              <w:tc>
                <w:tcPr>
                  <w:tcW w:type="dxa" w:w="65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专业：给排水 采暖 燃气工程</w:t>
                  </w:r>
                </w:p>
              </w:tc>
              <w:tc>
                <w:tcPr>
                  <w:tcW w:type="dxa" w:w="893"/>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CB002</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中央空调</w:t>
                  </w:r>
                  <w:r>
                    <w:br/>
                  </w:r>
                  <w:r>
                    <w:rPr>
                      <w:rFonts w:ascii="仿宋_GB2312" w:hAnsi="仿宋_GB2312" w:cs="仿宋_GB2312" w:eastAsia="仿宋_GB2312"/>
                      <w:sz w:val="19"/>
                      <w:color w:val="000000"/>
                    </w:rPr>
                    <w:t xml:space="preserve"> 1. 中央空调风管机一拖一小4匹一级能效客厅乐享星光旗舰版</w:t>
                  </w:r>
                  <w:r>
                    <w:br/>
                  </w:r>
                  <w:r>
                    <w:rPr>
                      <w:rFonts w:ascii="仿宋_GB2312" w:hAnsi="仿宋_GB2312" w:cs="仿宋_GB2312" w:eastAsia="仿宋_GB2312"/>
                      <w:sz w:val="19"/>
                      <w:color w:val="000000"/>
                    </w:rPr>
                    <w:t xml:space="preserve"> 2.除菌，智能调节，全直流变频</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030805006001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钢制柱式散热器</w:t>
                  </w:r>
                  <w:r>
                    <w:br/>
                  </w:r>
                  <w:r>
                    <w:rPr>
                      <w:rFonts w:ascii="仿宋_GB2312" w:hAnsi="仿宋_GB2312" w:cs="仿宋_GB2312" w:eastAsia="仿宋_GB2312"/>
                      <w:sz w:val="19"/>
                      <w:color w:val="000000"/>
                    </w:rPr>
                    <w:t xml:space="preserve"> 1.钢复合柱翼型散热器14片</w:t>
                  </w:r>
                  <w:r>
                    <w:br/>
                  </w:r>
                  <w:r>
                    <w:rPr>
                      <w:rFonts w:ascii="仿宋_GB2312" w:hAnsi="仿宋_GB2312" w:cs="仿宋_GB2312" w:eastAsia="仿宋_GB2312"/>
                      <w:sz w:val="19"/>
                      <w:color w:val="000000"/>
                    </w:rPr>
                    <w:t xml:space="preserve"> 2.TLZY8-6/6-1.0  T=64.5° 1.0MPa</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030801005001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塑料管UPVC、PVC、PP-C、PP-R、PE管等</w:t>
                  </w:r>
                  <w:r>
                    <w:br/>
                  </w:r>
                  <w:r>
                    <w:rPr>
                      <w:rFonts w:ascii="仿宋_GB2312" w:hAnsi="仿宋_GB2312" w:cs="仿宋_GB2312" w:eastAsia="仿宋_GB2312"/>
                      <w:sz w:val="19"/>
                      <w:color w:val="000000"/>
                    </w:rPr>
                    <w:t xml:space="preserve"> 1.PE-RT管De20*2.3</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80.84</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套管</w:t>
                  </w:r>
                  <w:r>
                    <w:br/>
                  </w:r>
                  <w:r>
                    <w:rPr>
                      <w:rFonts w:ascii="仿宋_GB2312" w:hAnsi="仿宋_GB2312" w:cs="仿宋_GB2312" w:eastAsia="仿宋_GB2312"/>
                      <w:sz w:val="19"/>
                      <w:color w:val="000000"/>
                    </w:rPr>
                    <w:t xml:space="preserve"> 1.钢套管DN40 四个</w:t>
                  </w:r>
                  <w:r>
                    <w:br/>
                  </w:r>
                  <w:r>
                    <w:rPr>
                      <w:rFonts w:ascii="仿宋_GB2312" w:hAnsi="仿宋_GB2312" w:cs="仿宋_GB2312" w:eastAsia="仿宋_GB2312"/>
                      <w:sz w:val="19"/>
                      <w:color w:val="000000"/>
                    </w:rPr>
                    <w:t xml:space="preserve"> 2.塑料套管DN25 两个</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030803001001</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螺纹阀门</w:t>
                  </w:r>
                  <w:r>
                    <w:br/>
                  </w:r>
                  <w:r>
                    <w:rPr>
                      <w:rFonts w:ascii="仿宋_GB2312" w:hAnsi="仿宋_GB2312" w:cs="仿宋_GB2312" w:eastAsia="仿宋_GB2312"/>
                      <w:sz w:val="19"/>
                      <w:color w:val="000000"/>
                    </w:rPr>
                    <w:t xml:space="preserve"> 1.球阀DN25</w:t>
                  </w:r>
                </w:p>
              </w:tc>
              <w:tc>
                <w:tcPr>
                  <w:tcW w:type="dxa" w:w="6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近一年年度的财务审计报告（至少包括资产负债表、利润表、现金流量表、所有者权益变动表及其附注）；成立时间至磋商响应文件递交截止时间不足一年的，可提供成立后任意时段的资产负债表或其磋商响应文件递交截止时间前三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本项目专门面向小微企业采购。投标人应填写《中小企业声明函（工程、服务）》，本项目面向小微企业总体预留比例为 100 % 。</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 xml:space="preserve">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供应商须具有建筑工程施工总承包三级及以上资质</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本项目负责人的建造师注册证书（具备建筑工程二级及以上资格）、安全生产考核合格证书（B证）及近一年年度至递交磋商响应文件截止时间在本单位至少三个月的社会保障资金银行缴存单据或社保机构开具的社会保险参保缴费情况证明，且无在建项目［须通过“陕西省建筑市场监管与诚信信息发布平台”（http://jzscyth.shaanxi.gov.cn:7001/PDR/network/credit/home）查询（查询日期为从磋商公告发布之日起至磋商响应文件递交截止时间前，以网页截图加盖供应商公章为准）］。</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1.本次磋商设最高投标限价（采购预算）。供应商的磋商报价超过最高投标限价的视为废标，不再参与下一步评审。 2、采用低价优先法计算，未超出财政预算，实质性满足磋商文件要求且最后报价最低的报价为磋商基准价，其价格分为满分20分。其它供应商的价格分统一按照下列公式计算：磋商报价得分=（磋商基准价/最后磋商报价）×价格分值×100%。 3、磋商报价不完整的，不进入评标基准价的计算，本项得0分。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施工方案全面、合理，施工方法先进，可行性强，完全满足工程施工要求的得15分； 施工方案较完整、合理，施工方案有针对性且可行，满足工程施工要求的得12分； 施工方案存在部分不完整，施工方法针对本项目基本可行的得8分； 提供的施工方案不完整，施工方法针对本项目不可行的得3分； 未提供或明显不合理的不得分。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措施全面、完整，能从多方面确保文明施工、考虑影响环境得因素，并提出相关解决和防治措施，实施度高、可落地性强，可确保达到环境保护的要求得5分； 措施基本全面、完整，基本有一定的可行性，能基本满足文明施工、环境保护要求的得3分 措施存在较大不合理性、内容简单的得1分；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措施完整全面，能够从多方面保证安全生产，且合理性、可行性强的得5分； 措施基本完整全面，能从多个方面确保安全生产，基本合理、可行的得3分； 措施不完整、全面，但有一定的可行性的得1分；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包括但不限于因施工造成的水、电、通信的中断抢修、恶劣天气、人为因素等情况）分析全面，应急措施和解决方案具有完全全面的分析，应急措施和解决方案合理和完全可行的得10分； 针对本项目可能出现的问题及重大故障有全面的分析，应急措施和解决方案合理可行的得8分； 针对本项目可能出现的问题及重大故障有得基本全面的分析，应急措施和解决方案基本合理可行的得5分； 针对本项目可能出现的问题及重大故障有分析，但分析不全面，应急措施和解决方案部分不合理可行的得3分； 未提供或存在明显不合理的不得分。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新技术、新产品、新工艺、新材料应用方案合理、可行、科学、符合项目实施需求合理的得5分； 新技术、新产品、新工艺、新材料应用方案较合理、较可行、较符合项目实施需求的得3分； 新技术、新产品、新工艺、新材料应用方案较差的，表达不明确、不清晰、较混乱的得1分；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机械配备投入合理且数量充足、投入计划紧贴项目进度，劳动力安排合理，可操作性强，能够确保项目如期保质完成的得5分； 机械配备投入计划基本合理，基本与项目进度匹配，劳动力数量基本合理，计划表基本清晰、可行，能保证项目建设进度的得3分；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施工组织及项目管理设置合理、全面。对工程项目的实施具有有效地计划、组织、协调、控制，针对性强、可行性强，能完全确保实现项目的管理目标的得10分； 施工组织及项目管理设置合理、全面。对工程项目的实施具有一定的计划、组织、协调、控制效果，有一定的合理性和可行性的得6分； 施工组织及项目管理设置基本全面、合理，基本能确保实现项目管理目标的得3分； 未提供或安排不合理，达不到管理目标的不得分。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提供近三年（2022年1月1日及以后）同类项目业绩，1个计5分，最高计10分。（需附合同或中标通知书）。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响应供应商对工期时限、工程质量及进度、实施过程中沟通、协调及管理方案等内容作出承诺： 承诺全面且从多个角度明确地做出承诺、有可行性且满足项目需求的得10分； 承诺较不全面但对承诺内容有可行性的6分； 承诺简单、不全面且承诺中存在较大不合理性的得3分；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