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版本号：YYZFCG竞争性磋商（2025）85号20250909002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榆阳区市场监管局2025年挥发性有机物产品质量监督抽查项目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YYZFCG竞争性磋商（2025）85号</w:t>
      </w:r>
      <w:r>
        <w:br/>
      </w:r>
      <w:r>
        <w:br/>
      </w:r>
      <w:r>
        <w:br/>
      </w:r>
    </w:p>
    <w:p>
      <w:pPr>
        <w:pStyle w:val="null3"/>
        <w:jc w:val="center"/>
        <w:outlineLvl w:val="2"/>
      </w:pPr>
      <w:r>
        <w:rPr>
          <w:rFonts w:ascii="仿宋_GB2312" w:hAnsi="仿宋_GB2312" w:cs="仿宋_GB2312" w:eastAsia="仿宋_GB2312"/>
          <w:sz w:val="28"/>
          <w:b/>
        </w:rPr>
        <w:t>榆林市榆阳区市场监督管理局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榆林市榆阳区市场监督管理局</w:t>
      </w:r>
      <w:r>
        <w:rPr>
          <w:rFonts w:ascii="仿宋_GB2312" w:hAnsi="仿宋_GB2312" w:cs="仿宋_GB2312" w:eastAsia="仿宋_GB2312"/>
        </w:rPr>
        <w:t>委托，拟对</w:t>
      </w:r>
      <w:r>
        <w:rPr>
          <w:rFonts w:ascii="仿宋_GB2312" w:hAnsi="仿宋_GB2312" w:cs="仿宋_GB2312" w:eastAsia="仿宋_GB2312"/>
        </w:rPr>
        <w:t>榆阳区市场监管局2025年挥发性有机物产品质量监督抽查项目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YYZFCG竞争性磋商（2025）85号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榆阳区市场监管局2025年挥发性有机物产品质量监督抽查项目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挥发性有机物产品质量监督抽查项目主要涉及涂料、清洗剂、油墨、胶粘剂等产品，不同产品的抽检项目有所不同。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采购包1（榆阳区市场监管局2025年挥发性有机物产品质量监督抽查项目）：属于专门面向小微企业采购。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事业法人、其他组织或自然人。企业法人应提供合法有效的标识有统一社会信用代码的营业执照副本及营业执照的2024年度企业年检报告书；事业法人应提供事业单位法人证书；其他组织应提供合法登记证明文件；</w:t>
      </w:r>
    </w:p>
    <w:p>
      <w:pPr>
        <w:pStyle w:val="null3"/>
      </w:pPr>
      <w:r>
        <w:rPr>
          <w:rFonts w:ascii="仿宋_GB2312" w:hAnsi="仿宋_GB2312" w:cs="仿宋_GB2312" w:eastAsia="仿宋_GB2312"/>
        </w:rPr>
        <w:t>2、法定代表人委托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社会保障资金缴纳证明：供应商须提供2025年1月1日至投标截止时间止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供应商须提供2025年1月1日至投标截止时间已缴纳的至少三个月的纳税证明或完税证明，纳税证明或完税证明上应有代收机构或税务机关的公章（加盖公章复印件）。依法免税的供应商应提供相关文件证明。</w:t>
      </w:r>
    </w:p>
    <w:p>
      <w:pPr>
        <w:pStyle w:val="null3"/>
      </w:pPr>
      <w:r>
        <w:rPr>
          <w:rFonts w:ascii="仿宋_GB2312" w:hAnsi="仿宋_GB2312" w:cs="仿宋_GB2312" w:eastAsia="仿宋_GB2312"/>
        </w:rPr>
        <w:t>5、商业信用：供应商应具备良好的商业信用，参加政府采购活动前3年内经营活动中没有重大违法记录声明书；投标时限内“信用中国”(www.creditchina.gov.cn)网站生成的带水印信用报告，信用中国”网站(www.creditchina.gov.cn)“记录失信被执行人、重大税收违法失信主体、政府采购严重违法失信行为”记录名单查询截图（打印件加盖投标单位公章），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6、资质要求：供应服务商必须具有检验检测机构资质认定证书(CMA),并具有本项目产品质量检验检测能力范围资质认定证书附表。同时，具备相应的服务固定场所、设施设备和有资格认定的专业检验人员。</w:t>
      </w:r>
    </w:p>
    <w:p>
      <w:pPr>
        <w:pStyle w:val="null3"/>
      </w:pPr>
      <w:r>
        <w:rPr>
          <w:rFonts w:ascii="仿宋_GB2312" w:hAnsi="仿宋_GB2312" w:cs="仿宋_GB2312" w:eastAsia="仿宋_GB2312"/>
        </w:rPr>
        <w:t>7、本项目全部面向小微企业采购：本项目全部面向小微企业采购，投标人应填写《中小企业声明函(服务》</w:t>
      </w:r>
    </w:p>
    <w:p>
      <w:pPr>
        <w:pStyle w:val="null3"/>
      </w:pPr>
      <w:r>
        <w:rPr>
          <w:rFonts w:ascii="仿宋_GB2312" w:hAnsi="仿宋_GB2312" w:cs="仿宋_GB2312" w:eastAsia="仿宋_GB2312"/>
        </w:rPr>
        <w:t>8、财务状况报告：提供完整的2024年度的财务审计报告（至少包括资产负债表、利润表、现金流量表及其附注），2025年至今新成立的公司须提供基本开户银行出具（投标文件递交截止时间前一个月内）的资信证明。</w:t>
      </w:r>
    </w:p>
    <w:p>
      <w:pPr>
        <w:pStyle w:val="null3"/>
      </w:pPr>
      <w:r>
        <w:rPr>
          <w:rFonts w:ascii="仿宋_GB2312" w:hAnsi="仿宋_GB2312" w:cs="仿宋_GB2312" w:eastAsia="仿宋_GB2312"/>
        </w:rPr>
        <w:t>9、本项目不接受联合体投标：本项目不接受联合体投标。单位负责人为同一人或者存在直接控股、管理关系的不同供应商不得参加同一合同项下的政府采购活动。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榆林市上郡路与榆佳路十字路口东北角50米处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18700259909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艾先聪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18629388603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榆林市榆阳区市场监督管理局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根据抽样，完成检验并出具合法真实的检验报告。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榆林市榆阳区市场监督管理局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联系人：榆林市榆阳区市场监督管理局</w:t>
      </w:r>
    </w:p>
    <w:p>
      <w:pPr>
        <w:pStyle w:val="null3"/>
      </w:pPr>
      <w:r>
        <w:rPr>
          <w:rFonts w:ascii="仿宋_GB2312" w:hAnsi="仿宋_GB2312" w:cs="仿宋_GB2312" w:eastAsia="仿宋_GB2312"/>
        </w:rPr>
        <w:t>联系电话：18700259909</w:t>
      </w:r>
    </w:p>
    <w:p>
      <w:pPr>
        <w:pStyle w:val="null3"/>
      </w:pPr>
      <w:r>
        <w:rPr>
          <w:rFonts w:ascii="仿宋_GB2312" w:hAnsi="仿宋_GB2312" w:cs="仿宋_GB2312" w:eastAsia="仿宋_GB2312"/>
        </w:rPr>
        <w:t>地址：榆林市上郡路与榆佳路十字路口东北角50米处</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挥发性有机物产品质量监督抽查项目主要涉及涂料、清洗剂、油墨、胶粘剂等产品，不同产品的抽检项目有所不同。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496,000.00</w:t>
      </w:r>
    </w:p>
    <w:p>
      <w:pPr>
        <w:pStyle w:val="null3"/>
      </w:pPr>
      <w:r>
        <w:rPr>
          <w:rFonts w:ascii="仿宋_GB2312" w:hAnsi="仿宋_GB2312" w:cs="仿宋_GB2312" w:eastAsia="仿宋_GB2312"/>
        </w:rPr>
        <w:t>采购包最高限价（元）: 496,000.00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496000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4"/>
              <w:gridCol w:w="190"/>
              <w:gridCol w:w="615"/>
              <w:gridCol w:w="1054"/>
              <w:gridCol w:w="529"/>
            </w:tblGrid>
            <w:tr>
              <w:tc>
                <w:tcPr>
                  <w:tcW w:type="dxa" w:w="254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8"/>
                      <w:color w:val="000000"/>
                    </w:rPr>
                    <w:t>2025年挥发性有机物产品质量监督抽查项目采购参数</w:t>
                  </w:r>
                </w:p>
              </w:tc>
            </w:tr>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产品种类</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产品名称</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检验项目</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执行标准</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涂料</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合成树脂乳液内墙涂料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VOC含量、甲醛含量、苯系物总和含量、总铅含量、可溶性重金属含量（镉、铬、汞）、低温稳定性、干燥时间、对比率、耐碱性、耐洗刷性</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GB/T 9756-2018</w:t>
                  </w:r>
                  <w:r>
                    <w:br/>
                  </w:r>
                  <w:r>
                    <w:rPr>
                      <w:rFonts w:ascii="仿宋_GB2312" w:hAnsi="仿宋_GB2312" w:cs="仿宋_GB2312" w:eastAsia="仿宋_GB2312"/>
                      <w:sz w:val="28"/>
                      <w:color w:val="000000"/>
                    </w:rPr>
                    <w:t>GB 18582-2020</w:t>
                  </w:r>
                  <w:r>
                    <w:br/>
                  </w:r>
                  <w:r>
                    <w:rPr>
                      <w:rFonts w:ascii="仿宋_GB2312" w:hAnsi="仿宋_GB2312" w:cs="仿宋_GB2312" w:eastAsia="仿宋_GB2312"/>
                      <w:sz w:val="28"/>
                      <w:color w:val="000000"/>
                    </w:rPr>
                    <w:t>GB/T 9755-2024</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合成树脂乳液外墙涂料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VOC含量、甲醛含量、苯系物总和含量、总铅含量、可溶性重金属含量（镉、铬、汞）、低温稳定性、耐水性、耐碱性、耐洗刷性、对比率、涂层耐温变性</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GB/T 9755-2014</w:t>
                  </w:r>
                  <w:r>
                    <w:br/>
                  </w:r>
                  <w:r>
                    <w:rPr>
                      <w:rFonts w:ascii="仿宋_GB2312" w:hAnsi="仿宋_GB2312" w:cs="仿宋_GB2312" w:eastAsia="仿宋_GB2312"/>
                      <w:sz w:val="28"/>
                      <w:color w:val="000000"/>
                    </w:rPr>
                    <w:t>GB 18582-2020</w:t>
                  </w:r>
                  <w:r>
                    <w:br/>
                  </w:r>
                  <w:r>
                    <w:rPr>
                      <w:rFonts w:ascii="仿宋_GB2312" w:hAnsi="仿宋_GB2312" w:cs="仿宋_GB2312" w:eastAsia="仿宋_GB2312"/>
                      <w:sz w:val="28"/>
                      <w:color w:val="000000"/>
                    </w:rPr>
                    <w:t>GB/T 9755-2024</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溶剂型外墙涂料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VOC含量、苯含量、甲苯与二甲苯（含乙苯）总和含量、总铅含量、可溶性重金属含量（镉、铬、汞）</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color w:val="000000"/>
                    </w:rPr>
                    <w:t>GB 18582-2020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建筑质感涂料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VOC含量、甲醛含量、苯系物总和含量、总铅含量、可溶性重金属含量（镉、铬、汞）。</w:t>
                  </w:r>
                  <w:r>
                    <w:br/>
                  </w:r>
                  <w:r>
                    <w:rPr>
                      <w:rFonts w:ascii="仿宋_GB2312" w:hAnsi="仿宋_GB2312" w:cs="仿宋_GB2312" w:eastAsia="仿宋_GB2312"/>
                      <w:sz w:val="28"/>
                      <w:color w:val="000000"/>
                    </w:rPr>
                    <w:t>施工性、低温稳定性、耐水性、耐碱性、粘结强度（标准状态）、初期干燥抗裂性、涂层耐温变性</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18582-2020</w:t>
                  </w:r>
                  <w:r>
                    <w:br/>
                  </w:r>
                  <w:r>
                    <w:rPr>
                      <w:rFonts w:ascii="仿宋_GB2312" w:hAnsi="仿宋_GB2312" w:cs="仿宋_GB2312" w:eastAsia="仿宋_GB2312"/>
                      <w:sz w:val="28"/>
                      <w:color w:val="000000"/>
                    </w:rPr>
                    <w:t>JG/T 24-2018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木器涂料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VOC含量、甲醛含量、总铅含量、可溶性重金属含量（镉、铬、汞）、苯系物总和含量（水性）、苯含量（溶剂型）、甲苯与二甲苯（含乙苯）总和含量（溶剂型）</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18581-2020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工业漆、水性工业涂料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VOC含量、甲醇含量（无机类）、苯含量（溶剂型）、甲苯与二甲苯（含乙苯）总和含量（溶剂型）、重金属含量（铅、镉、六价铬、汞）</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30981-2020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7</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地坪涂装材料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挥发性有机化合物（</w:t>
                  </w:r>
                  <w:r>
                    <w:rPr>
                      <w:rFonts w:ascii="仿宋_GB2312" w:hAnsi="仿宋_GB2312" w:cs="仿宋_GB2312" w:eastAsia="仿宋_GB2312"/>
                      <w:sz w:val="28"/>
                      <w:color w:val="000000"/>
                    </w:rPr>
                    <w:t>VOC）含量、苯、甲苯、乙苯和二甲苯（水性）、苯（溶剂型、无溶剂型）、甲苯、乙苯和二甲苯总和（溶剂型、无溶剂型）、可溶性重金属含量（铅、镉、铬、汞）、甲醛（水性）/游离甲醛</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38468-2019</w:t>
                  </w:r>
                  <w:r>
                    <w:br/>
                  </w:r>
                  <w:r>
                    <w:rPr>
                      <w:rFonts w:ascii="仿宋_GB2312" w:hAnsi="仿宋_GB2312" w:cs="仿宋_GB2312" w:eastAsia="仿宋_GB2312"/>
                      <w:sz w:val="28"/>
                      <w:color w:val="000000"/>
                    </w:rPr>
                    <w:t>GB/T22374-2018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建筑防水涂料</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挥发性有机化合物（</w:t>
                  </w:r>
                  <w:r>
                    <w:rPr>
                      <w:rFonts w:ascii="仿宋_GB2312" w:hAnsi="仿宋_GB2312" w:cs="仿宋_GB2312" w:eastAsia="仿宋_GB2312"/>
                      <w:sz w:val="28"/>
                      <w:color w:val="000000"/>
                    </w:rPr>
                    <w:t>VOC）、游离甲醛（水性）、外观、可溶性重金属（铅、铬、镉、汞）、固体含量</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JC/T 864-2008</w:t>
                  </w:r>
                  <w:r>
                    <w:br/>
                  </w:r>
                  <w:r>
                    <w:rPr>
                      <w:rFonts w:ascii="仿宋_GB2312" w:hAnsi="仿宋_GB2312" w:cs="仿宋_GB2312" w:eastAsia="仿宋_GB2312"/>
                      <w:sz w:val="28"/>
                      <w:color w:val="000000"/>
                    </w:rPr>
                    <w:t>JC/T 408-2005</w:t>
                  </w:r>
                  <w:r>
                    <w:br/>
                  </w:r>
                  <w:r>
                    <w:rPr>
                      <w:rFonts w:ascii="仿宋_GB2312" w:hAnsi="仿宋_GB2312" w:cs="仿宋_GB2312" w:eastAsia="仿宋_GB2312"/>
                      <w:sz w:val="28"/>
                      <w:color w:val="000000"/>
                    </w:rPr>
                    <w:t>JC/T 2217-2014</w:t>
                  </w:r>
                  <w:r>
                    <w:br/>
                  </w:r>
                  <w:r>
                    <w:rPr>
                      <w:rFonts w:ascii="仿宋_GB2312" w:hAnsi="仿宋_GB2312" w:cs="仿宋_GB2312" w:eastAsia="仿宋_GB2312"/>
                      <w:sz w:val="28"/>
                      <w:color w:val="000000"/>
                    </w:rPr>
                    <w:t>JC/T 23445-2009</w:t>
                  </w:r>
                  <w:r>
                    <w:br/>
                  </w:r>
                  <w:r>
                    <w:rPr>
                      <w:rFonts w:ascii="仿宋_GB2312" w:hAnsi="仿宋_GB2312" w:cs="仿宋_GB2312" w:eastAsia="仿宋_GB2312"/>
                      <w:sz w:val="28"/>
                      <w:color w:val="000000"/>
                    </w:rPr>
                    <w:t>JC 1066-2008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建筑室内用腻子</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容器中状态、施工性、干燥时间、初期干燥抗裂性、打磨性、耐水性、苯系物总和含量、甲醛含量、</w:t>
                  </w:r>
                  <w:r>
                    <w:rPr>
                      <w:rFonts w:ascii="仿宋_GB2312" w:hAnsi="仿宋_GB2312" w:cs="仿宋_GB2312" w:eastAsia="仿宋_GB2312"/>
                      <w:sz w:val="28"/>
                      <w:color w:val="000000"/>
                    </w:rPr>
                    <w:t>VOC含量</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JG/T 298-2010</w:t>
                  </w:r>
                  <w:r>
                    <w:br/>
                  </w:r>
                  <w:r>
                    <w:rPr>
                      <w:rFonts w:ascii="仿宋_GB2312" w:hAnsi="仿宋_GB2312" w:cs="仿宋_GB2312" w:eastAsia="仿宋_GB2312"/>
                      <w:sz w:val="28"/>
                      <w:color w:val="000000"/>
                    </w:rPr>
                    <w:t>GB 18582-2020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建筑外墙用腻子</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容器中状态、施工性、干燥时间、初期干燥抗裂性、打磨性、耐水性、苯系物总和含量、甲醛含量、</w:t>
                  </w:r>
                  <w:r>
                    <w:rPr>
                      <w:rFonts w:ascii="仿宋_GB2312" w:hAnsi="仿宋_GB2312" w:cs="仿宋_GB2312" w:eastAsia="仿宋_GB2312"/>
                      <w:sz w:val="28"/>
                      <w:color w:val="000000"/>
                    </w:rPr>
                    <w:t>VOC含量</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JG/T 157-2009</w:t>
                  </w:r>
                  <w:r>
                    <w:br/>
                  </w:r>
                  <w:r>
                    <w:rPr>
                      <w:rFonts w:ascii="仿宋_GB2312" w:hAnsi="仿宋_GB2312" w:cs="仿宋_GB2312" w:eastAsia="仿宋_GB2312"/>
                      <w:sz w:val="28"/>
                      <w:color w:val="000000"/>
                    </w:rPr>
                    <w:t>GB 18582-2020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清洗剂</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VOC含量、甲醛a、苯、甲苯、乙苯和二甲苯总和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38508-2020</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油墨</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挥发性有机化合物</w:t>
                  </w:r>
                  <w:r>
                    <w:rPr>
                      <w:rFonts w:ascii="仿宋_GB2312" w:hAnsi="仿宋_GB2312" w:cs="仿宋_GB2312" w:eastAsia="仿宋_GB2312"/>
                      <w:sz w:val="28"/>
                      <w:color w:val="000000"/>
                    </w:rPr>
                    <w:t>(VOCs) 限值</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38507-2020</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1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胶粘剂</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密封胶：外观、下垂度、表干时间、游离甲醛、苯、甲苯</w:t>
                  </w:r>
                  <w:r>
                    <w:rPr>
                      <w:rFonts w:ascii="仿宋_GB2312" w:hAnsi="仿宋_GB2312" w:cs="仿宋_GB2312" w:eastAsia="仿宋_GB2312"/>
                      <w:sz w:val="28"/>
                      <w:color w:val="000000"/>
                    </w:rPr>
                    <w:t>+二甲苯、总挥发性有机物/VOC含量</w:t>
                  </w:r>
                  <w:r>
                    <w:br/>
                  </w:r>
                  <w:r>
                    <w:rPr>
                      <w:rFonts w:ascii="仿宋_GB2312" w:hAnsi="仿宋_GB2312" w:cs="仿宋_GB2312" w:eastAsia="仿宋_GB2312"/>
                      <w:sz w:val="28"/>
                      <w:color w:val="000000"/>
                    </w:rPr>
                    <w:t>陶瓷砖胶粘剂：游离甲醛、苯、甲苯</w:t>
                  </w:r>
                  <w:r>
                    <w:rPr>
                      <w:rFonts w:ascii="仿宋_GB2312" w:hAnsi="仿宋_GB2312" w:cs="仿宋_GB2312" w:eastAsia="仿宋_GB2312"/>
                      <w:sz w:val="28"/>
                      <w:color w:val="000000"/>
                    </w:rPr>
                    <w:t>+二甲苯、总挥发性有机物/VOC含量</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18583-2008</w:t>
                  </w:r>
                  <w:r>
                    <w:br/>
                  </w:r>
                  <w:r>
                    <w:rPr>
                      <w:rFonts w:ascii="仿宋_GB2312" w:hAnsi="仿宋_GB2312" w:cs="仿宋_GB2312" w:eastAsia="仿宋_GB2312"/>
                      <w:sz w:val="28"/>
                      <w:color w:val="000000"/>
                    </w:rPr>
                    <w:t>GB/T14683-2017</w:t>
                  </w:r>
                  <w:r>
                    <w:br/>
                  </w:r>
                  <w:r>
                    <w:rPr>
                      <w:rFonts w:ascii="仿宋_GB2312" w:hAnsi="仿宋_GB2312" w:cs="仿宋_GB2312" w:eastAsia="仿宋_GB2312"/>
                      <w:sz w:val="28"/>
                      <w:color w:val="000000"/>
                    </w:rPr>
                    <w:t>GB/T33372-2020</w:t>
                  </w:r>
                  <w:r>
                    <w:br/>
                  </w:r>
                  <w:r>
                    <w:rPr>
                      <w:rFonts w:ascii="仿宋_GB2312" w:hAnsi="仿宋_GB2312" w:cs="仿宋_GB2312" w:eastAsia="仿宋_GB2312"/>
                      <w:sz w:val="28"/>
                      <w:color w:val="000000"/>
                    </w:rPr>
                    <w:t>JC/T547-2017</w:t>
                  </w:r>
                </w:p>
              </w:tc>
            </w:tr>
            <w:tr>
              <w:tc>
                <w:tcPr>
                  <w:tcW w:type="dxa" w:w="154"/>
                  <w:vMerge/>
                  <w:tcBorders>
                    <w:top w:val="none" w:color="000000" w:sz="4"/>
                    <w:left w:val="single" w:color="000000" w:sz="4"/>
                    <w:bottom w:val="single" w:color="000000" w:sz="4"/>
                    <w:right w:val="single" w:color="000000" w:sz="4"/>
                  </w:tcBorders>
                </w:tcPr>
                <w:p/>
              </w:tc>
              <w:tc>
                <w:tcPr>
                  <w:tcW w:type="dxa" w:w="190"/>
                  <w:vMerge/>
                  <w:tcBorders>
                    <w:top w:val="none" w:color="000000" w:sz="4"/>
                    <w:left w:val="none" w:color="000000" w:sz="4"/>
                    <w:bottom w:val="single" w:color="000000" w:sz="4"/>
                    <w:right w:val="single" w:color="000000" w:sz="4"/>
                  </w:tcBorders>
                </w:tcP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建筑用硅酮结构密封胶：下垂度、表干时间、游离甲醛、苯、甲苯</w:t>
                  </w:r>
                  <w:r>
                    <w:rPr>
                      <w:rFonts w:ascii="仿宋_GB2312" w:hAnsi="仿宋_GB2312" w:cs="仿宋_GB2312" w:eastAsia="仿宋_GB2312"/>
                      <w:sz w:val="28"/>
                      <w:color w:val="000000"/>
                    </w:rPr>
                    <w:t>+二甲苯、总挥发性有机物</w:t>
                  </w:r>
                  <w:r>
                    <w:br/>
                  </w:r>
                  <w:r>
                    <w:rPr>
                      <w:rFonts w:ascii="仿宋_GB2312" w:hAnsi="仿宋_GB2312" w:cs="仿宋_GB2312" w:eastAsia="仿宋_GB2312"/>
                      <w:sz w:val="28"/>
                      <w:color w:val="000000"/>
                    </w:rPr>
                    <w:t>中空玻璃用硅酮结构密封胶：下垂度、表干时间、游离甲醛、苯、甲苯</w:t>
                  </w:r>
                  <w:r>
                    <w:rPr>
                      <w:rFonts w:ascii="仿宋_GB2312" w:hAnsi="仿宋_GB2312" w:cs="仿宋_GB2312" w:eastAsia="仿宋_GB2312"/>
                      <w:sz w:val="28"/>
                      <w:color w:val="000000"/>
                    </w:rPr>
                    <w:t>+二甲苯、总挥发性有机物</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GB 16776-2005</w:t>
                  </w:r>
                  <w:r>
                    <w:br/>
                  </w:r>
                  <w:r>
                    <w:rPr>
                      <w:rFonts w:ascii="仿宋_GB2312" w:hAnsi="仿宋_GB2312" w:cs="仿宋_GB2312" w:eastAsia="仿宋_GB2312"/>
                      <w:sz w:val="28"/>
                      <w:color w:val="000000"/>
                    </w:rPr>
                    <w:t>GB 24266-2009</w:t>
                  </w:r>
                  <w:r>
                    <w:br/>
                  </w:r>
                  <w:r>
                    <w:rPr>
                      <w:rFonts w:ascii="仿宋_GB2312" w:hAnsi="仿宋_GB2312" w:cs="仿宋_GB2312" w:eastAsia="仿宋_GB2312"/>
                      <w:sz w:val="28"/>
                      <w:color w:val="000000"/>
                    </w:rPr>
                    <w:t>GB 18583-2008</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合同签订之日起至2025年12月20止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出具合法有效报告，并提供检验明细清单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副本及营业执照的2024年度企业年检报告书；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供应商须提供2025年1月1日至投标截止时间止已缴存的至少三个月的社会保障资金缴存单据或社保机构开具的社会保险参保缴费情况证明。依法不需要缴纳社会保障资金的供应商应提供相关文件证明。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供应商须提供2025年1月1日至投标截止时间已缴纳的至少三个月的纳税证明或完税证明，纳税证明或完税证明上应有代收机构或税务机关的公章（加盖公章复印件）。依法免税的供应商应提供相关文件证明。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用，参加政府采购活动前3年内经营活动中没有重大违法记录声明书；投标时限内“信用中国”(www.creditchina.gov.cn)网站生成的带水印信用报告，信用中国”网站(www.creditchina.gov.cn)“记录失信被执行人、重大税收违法失信主体、政府采购严重违法失信行为”记录名单查询截图（打印件加盖投标单位公章），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供应服务商必须具有检验检测机构资质认定证书(CMA),并具有本项目产品质量检验检测能力范围资质认定证书附表。同时，具备相应的服务固定场所、设施设备和有资格认定的专业检验人员。</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本项目全部面向小微企业采购</w:t>
            </w:r>
          </w:p>
        </w:tc>
        <w:tc>
          <w:tcPr>
            <w:tcW w:type="dxa" w:w="3322"/>
          </w:tcPr>
          <w:p>
            <w:pPr>
              <w:pStyle w:val="null3"/>
            </w:pPr>
            <w:r>
              <w:rPr>
                <w:rFonts w:ascii="仿宋_GB2312" w:hAnsi="仿宋_GB2312" w:cs="仿宋_GB2312" w:eastAsia="仿宋_GB2312"/>
              </w:rPr>
              <w:t>本项目全部面向小微企业采购，投标人应填写《中小企业声明函(服务》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提供完整的2024年度的财务审计报告（至少包括资产负债表、利润表、现金流量表及其附注），2025年至今新成立的公司须提供基本开户银行出具（投标文件递交截止时间前一个月内）的资信证明。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 10.承诺</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9.有完全理解并接受磋商文件合同基本条款要求的描述。10理解并作出承诺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完全理解项目现状及采购需求，熟悉项目服务的基本流程及规范，对整个项目的定位和采购人的需求较为明确，有完整、可行的服务方案，尤其对重点事项提供有针对性的服务方案，根据服务商服务定位和项目内容理解程度进行综合评价： ①对本项目的整体工作认识全面，提出的抽检实施方案描述详实，结构清晰，表述精确，主题明确，内容具体规范、业务处理流程清晰、针对性强，完全满足项目需求的为优，得22分。 ②对本项目的工作认识全面，提出的抽检实施方案可行，内容规范、业务处理流程清晰、结构清楚，表述基本准确，针对性较强，满足项目需求的为良，得18分。 ③对本项目的工作认识较全面，提出的抽检实施方案基本可行，内容基本规范、业务处理流程较清晰、结构较清楚，表述存在部分轻微漏洞，针对性一般，基本满足项目需求的为中，得14分。 ④对本项目的工作认识不全面，提出的抽检实施方案不太可行，内容不规范、业务处理模糊、结构模糊，表述不太准确，针对性较弱，方案存在严重漏洞，不能满足项目需求的为差，得10分。 ⑤没有提供抽检服务方案的不得分。 2、服务商建立应急处理措施，全面分析紧急突发情况的处理措施和处理预案，措施得力、可行性强的计10分；处理措施和处理预案可行性较强的计6分；内容简单、粗略的计2分。 3、针对本项目的其他合理化建议及意见合理、可行的得计4分； 建议合理性较差的得计2分。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管理制度及质量保证措施</w:t>
            </w:r>
          </w:p>
        </w:tc>
        <w:tc>
          <w:tcPr>
            <w:tcW w:type="dxa" w:w="2492"/>
          </w:tcPr>
          <w:p>
            <w:pPr>
              <w:pStyle w:val="null3"/>
            </w:pPr>
            <w:r>
              <w:rPr>
                <w:rFonts w:ascii="仿宋_GB2312" w:hAnsi="仿宋_GB2312" w:cs="仿宋_GB2312" w:eastAsia="仿宋_GB2312"/>
              </w:rPr>
              <w:t>1、管理制度：服务商建立完善的管理制度，定岗定责，实现权责分明的高效管理，注重人员培训，制度完善、全面的，得10分；管理制度较全面的，得6分；管理制度 不完善的，得2分； 2、质量保障措施：投标文件中对项目实施过程中，为保障项目服务质量所采取的必要保障措施进行比较，分档评分： ①保障措施内容的总体思路、内容详细完善，工作方案合理、条理清晰、针对性强，计划安排合理有效，具有较强可操作性的得12分； ②保障措施内容的总体思路、内容，合理性、针对性、可操作性一般，工作方案较合理的得8分； ③保障措施内容的总体思路、内容不清晰，针对性、可操作性较差，可行性不高的得4分。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提供近三年以来（2022年以来）的同类项目业绩，提供项目的合同或中标确认书、一个业绩计2分，不提供不计分，最高6分。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实验室方案</w:t>
            </w:r>
          </w:p>
        </w:tc>
        <w:tc>
          <w:tcPr>
            <w:tcW w:type="dxa" w:w="2492"/>
          </w:tcPr>
          <w:p>
            <w:pPr>
              <w:pStyle w:val="null3"/>
            </w:pPr>
            <w:r>
              <w:rPr>
                <w:rFonts w:ascii="仿宋_GB2312" w:hAnsi="仿宋_GB2312" w:cs="仿宋_GB2312" w:eastAsia="仿宋_GB2312"/>
              </w:rPr>
              <w:t>1、实验室检测设备配置情况10分，根据投标人拟投入本项目的检测设备仪器配备情况进行打分： ①设备配备充足、先进、全面、精确、设备配备是否满足项目所要求检测的参数服务要求，能覆盖所有检验项目参数且精度适宜、数量充足的为优，得10分。 ②基本能覆盖所有检验项目参数，精度、数量有且欠缺的为良，得6分。 ③不能覆盖所有检验项目参数或数量精度不能满足检验要求的得为差，得2分。 ④未提供的不得分。 注：需提供仪器设备清单及仪器相关照片和承诺函。 2、实验室条件4分 投标人承诺试验场所环境能满足产品检验对环境设施的要求，得4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团队其他人员配置评审依据：投入本项目的人员团队服务工作经验丰富、专业资格、数量充足，人员组织安排科学，能够满足工作需要。 1、人员配置全面、经验丰富，专业性强，人员管理体架构合理的得12分； 2、人员配置较为全面、经验较为丰富，专业性较强、人员管理体架构较为合理的得8分； 3、人员配置不全面，经验较少，专业性一般、人员管理体架构不合理的得4分。 注：评审依据以服务商提供相关证明材料为准，有专业人员或团队的相关职称或技术证明。人员提供对应职称证书、身份证、毕业证复印件，最近3个月内（任意1个月）社保缴纳证明，退休返聘人员需提供返聘协议或劳动合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 备注：计算分数时四舍五入取小数点后两位。评标委员会认为供应商的报价明显低于其他通过符合性审查供应商的报价，有可能影响产品质量或者不能诚信履约的，应当要求其在评标现场合理的时间内提供书面说明，必要时递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详见附件：2025挥发性物质抽查采购合同模版.docx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