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822CD">
      <w:pPr>
        <w:numPr>
          <w:ilvl w:val="0"/>
          <w:numId w:val="0"/>
        </w:numPr>
        <w:tabs>
          <w:tab w:val="left" w:pos="2633"/>
          <w:tab w:val="center" w:pos="5819"/>
        </w:tabs>
        <w:autoSpaceDE w:val="0"/>
        <w:autoSpaceDN w:val="0"/>
        <w:adjustRightInd w:val="0"/>
        <w:spacing w:after="156" w:line="276" w:lineRule="auto"/>
        <w:jc w:val="center"/>
        <w:outlineLvl w:val="0"/>
        <w:rPr>
          <w:rFonts w:hint="eastAsia" w:ascii="宋体" w:hAnsi="宋体" w:eastAsia="宋体" w:cs="宋体"/>
          <w:color w:val="000000"/>
          <w:kern w:val="0"/>
          <w:sz w:val="24"/>
          <w:szCs w:val="24"/>
          <w:highlight w:val="none"/>
          <w:lang w:val="en-US" w:eastAsia="zh-CN" w:bidi="ar"/>
        </w:rPr>
      </w:pPr>
      <w:bookmarkStart w:id="0" w:name="_GoBack"/>
      <w:bookmarkEnd w:id="0"/>
      <w:r>
        <w:rPr>
          <w:rFonts w:hint="eastAsia" w:ascii="宋体" w:hAnsi="宋体" w:cs="黑体"/>
          <w:b/>
          <w:color w:val="auto"/>
          <w:sz w:val="36"/>
          <w:szCs w:val="36"/>
          <w:highlight w:val="none"/>
          <w:lang w:val="zh-CN"/>
        </w:rPr>
        <w:t>政府采购合同</w:t>
      </w:r>
    </w:p>
    <w:p w14:paraId="202E04C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甲方：</w:t>
      </w:r>
      <w:r>
        <w:rPr>
          <w:rFonts w:hint="eastAsia" w:ascii="宋体" w:hAnsi="宋体" w:cs="宋体"/>
          <w:sz w:val="28"/>
          <w:szCs w:val="28"/>
          <w:highlight w:val="none"/>
          <w:u w:val="single"/>
          <w:lang w:val="en-US" w:eastAsia="zh-CN"/>
        </w:rPr>
        <w:t xml:space="preserve">                              </w:t>
      </w:r>
      <w:r>
        <w:rPr>
          <w:rFonts w:hint="eastAsia" w:ascii="宋体" w:hAnsi="宋体" w:eastAsia="宋体" w:cs="宋体"/>
          <w:color w:val="000000"/>
          <w:kern w:val="0"/>
          <w:sz w:val="28"/>
          <w:szCs w:val="28"/>
          <w:highlight w:val="none"/>
          <w:u w:val="single"/>
          <w:lang w:val="en-US" w:eastAsia="zh-CN" w:bidi="ar"/>
        </w:rPr>
        <w:t xml:space="preserve">(招标人) </w:t>
      </w:r>
    </w:p>
    <w:p w14:paraId="7BAFDBA6">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乙方：</w:t>
      </w:r>
      <w:r>
        <w:rPr>
          <w:rFonts w:hint="eastAsia" w:ascii="宋体" w:hAnsi="宋体" w:cs="宋体"/>
          <w:color w:val="000000"/>
          <w:kern w:val="0"/>
          <w:sz w:val="28"/>
          <w:szCs w:val="28"/>
          <w:highlight w:val="none"/>
          <w:u w:val="single"/>
          <w:lang w:val="en-US" w:eastAsia="zh-CN" w:bidi="ar"/>
        </w:rPr>
        <w:t xml:space="preserve">                            </w:t>
      </w:r>
      <w:r>
        <w:rPr>
          <w:rFonts w:hint="eastAsia" w:ascii="宋体" w:hAnsi="宋体" w:eastAsia="宋体" w:cs="宋体"/>
          <w:color w:val="000000"/>
          <w:kern w:val="0"/>
          <w:sz w:val="28"/>
          <w:szCs w:val="28"/>
          <w:highlight w:val="none"/>
          <w:u w:val="single"/>
          <w:lang w:val="en-US" w:eastAsia="zh-CN" w:bidi="ar"/>
        </w:rPr>
        <w:t xml:space="preserve"> (中标人)   </w:t>
      </w:r>
      <w:r>
        <w:rPr>
          <w:rFonts w:hint="eastAsia" w:ascii="宋体" w:hAnsi="宋体" w:eastAsia="宋体" w:cs="宋体"/>
          <w:color w:val="000000"/>
          <w:kern w:val="0"/>
          <w:sz w:val="28"/>
          <w:szCs w:val="28"/>
          <w:highlight w:val="none"/>
          <w:lang w:val="en-US" w:eastAsia="zh-CN" w:bidi="ar"/>
        </w:rPr>
        <w:t xml:space="preserve">                         </w:t>
      </w:r>
    </w:p>
    <w:p w14:paraId="3957EAAE">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left="479" w:leftChars="228" w:firstLine="0" w:firstLineChars="0"/>
        <w:jc w:val="left"/>
        <w:textAlignment w:val="auto"/>
        <w:rPr>
          <w:rFonts w:hint="eastAsia" w:ascii="宋体" w:hAnsi="宋体" w:eastAsia="宋体" w:cs="宋体"/>
          <w:color w:val="000000"/>
          <w:kern w:val="0"/>
          <w:sz w:val="28"/>
          <w:szCs w:val="28"/>
          <w:highlight w:val="none"/>
          <w:lang w:val="en-US" w:eastAsia="zh-CN" w:bidi="ar"/>
        </w:rPr>
      </w:pPr>
      <w:r>
        <w:rPr>
          <w:rStyle w:val="21"/>
          <w:rFonts w:hint="eastAsia" w:ascii="宋体" w:hAnsi="宋体" w:eastAsia="宋体" w:cs="宋体"/>
          <w:b w:val="0"/>
          <w:bCs/>
          <w:sz w:val="28"/>
          <w:szCs w:val="28"/>
          <w:lang w:val="en-US" w:eastAsia="zh-CN"/>
        </w:rPr>
        <w:t>按照《产品质量监督抽查管理暂行办法》</w:t>
      </w:r>
      <w:r>
        <w:rPr>
          <w:rFonts w:hint="eastAsia" w:ascii="宋体" w:hAnsi="宋体" w:eastAsia="宋体" w:cs="宋体"/>
          <w:color w:val="000000"/>
          <w:kern w:val="0"/>
          <w:sz w:val="28"/>
          <w:szCs w:val="28"/>
          <w:highlight w:val="none"/>
          <w:lang w:val="en-US" w:eastAsia="zh-CN" w:bidi="ar"/>
        </w:rPr>
        <w:t>等相关法律、法规，为明确双方的权利和义务，遵循平等、自愿、公平和诚信的原则，经双方友好协商，签订合同如下：</w:t>
      </w:r>
    </w:p>
    <w:p w14:paraId="69428105">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一、基本情况</w:t>
      </w:r>
    </w:p>
    <w:p w14:paraId="0F930205">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1.项目名称：</w:t>
      </w:r>
      <w:r>
        <w:rPr>
          <w:rFonts w:hint="eastAsia" w:ascii="宋体" w:hAnsi="宋体" w:cs="宋体"/>
          <w:color w:val="000000"/>
          <w:kern w:val="0"/>
          <w:sz w:val="28"/>
          <w:szCs w:val="28"/>
          <w:highlight w:val="none"/>
          <w:u w:val="single"/>
          <w:lang w:val="en-US" w:eastAsia="zh-CN" w:bidi="ar"/>
        </w:rPr>
        <w:t xml:space="preserve">                                           </w:t>
      </w:r>
    </w:p>
    <w:p w14:paraId="26EE6DE8">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 xml:space="preserve">2.抽检种类 </w:t>
      </w:r>
      <w:r>
        <w:rPr>
          <w:rFonts w:hint="eastAsia" w:ascii="宋体" w:hAnsi="宋体" w:eastAsia="宋体" w:cs="宋体"/>
          <w:color w:val="000000"/>
          <w:kern w:val="0"/>
          <w:sz w:val="28"/>
          <w:szCs w:val="28"/>
          <w:highlight w:val="none"/>
          <w:u w:val="single"/>
          <w:lang w:val="en-US" w:eastAsia="zh-CN" w:bidi="ar"/>
        </w:rPr>
        <w:t xml:space="preserve">  </w:t>
      </w:r>
      <w:r>
        <w:rPr>
          <w:rFonts w:hint="eastAsia" w:ascii="宋体" w:hAnsi="宋体" w:cs="宋体"/>
          <w:color w:val="000000"/>
          <w:kern w:val="0"/>
          <w:sz w:val="28"/>
          <w:szCs w:val="28"/>
          <w:highlight w:val="none"/>
          <w:u w:val="single"/>
          <w:lang w:val="en-US" w:eastAsia="zh-CN" w:bidi="ar"/>
        </w:rPr>
        <w:t xml:space="preserve">                                          </w:t>
      </w:r>
    </w:p>
    <w:p w14:paraId="2E14476E">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w:t>
      </w:r>
      <w:r>
        <w:rPr>
          <w:rFonts w:hint="eastAsia" w:ascii="宋体" w:hAnsi="宋体" w:cs="宋体"/>
          <w:color w:val="000000"/>
          <w:kern w:val="0"/>
          <w:sz w:val="28"/>
          <w:szCs w:val="28"/>
          <w:highlight w:val="none"/>
          <w:lang w:val="en-US" w:eastAsia="zh-CN" w:bidi="ar"/>
        </w:rPr>
        <w:t>费用结算</w:t>
      </w:r>
      <w:r>
        <w:rPr>
          <w:rFonts w:hint="eastAsia" w:ascii="宋体" w:hAnsi="宋体" w:eastAsia="宋体" w:cs="宋体"/>
          <w:color w:val="000000"/>
          <w:kern w:val="0"/>
          <w:sz w:val="28"/>
          <w:szCs w:val="28"/>
          <w:highlight w:val="none"/>
          <w:lang w:val="en-US" w:eastAsia="zh-CN" w:bidi="ar"/>
        </w:rPr>
        <w:t>方式：</w:t>
      </w:r>
    </w:p>
    <w:p w14:paraId="61F70980">
      <w:pPr>
        <w:keepNext w:val="0"/>
        <w:keepLines w:val="0"/>
        <w:pageBreakBefore w:val="0"/>
        <w:widowControl/>
        <w:numPr>
          <w:ilvl w:val="0"/>
          <w:numId w:val="0"/>
        </w:numPr>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（一）支付方式：银行转账</w:t>
      </w:r>
    </w:p>
    <w:p w14:paraId="09463AFA">
      <w:pPr>
        <w:keepNext w:val="0"/>
        <w:keepLines w:val="0"/>
        <w:pageBreakBefore w:val="0"/>
        <w:widowControl/>
        <w:numPr>
          <w:ilvl w:val="0"/>
          <w:numId w:val="0"/>
        </w:numPr>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（二）货币单位：人民币</w:t>
      </w:r>
    </w:p>
    <w:p w14:paraId="3ACDE740">
      <w:pPr>
        <w:keepNext w:val="0"/>
        <w:keepLines w:val="0"/>
        <w:pageBreakBefore w:val="0"/>
        <w:widowControl/>
        <w:numPr>
          <w:ilvl w:val="0"/>
          <w:numId w:val="0"/>
        </w:numPr>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（三）结算方式：服务期满后按抽检批次完成数量和检验报告，并经项目实施部门验收合格后付清抽检费用。</w:t>
      </w:r>
    </w:p>
    <w:p w14:paraId="2D223D4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4.资金来源：财政资金。合同金额：</w:t>
      </w:r>
      <w:r>
        <w:rPr>
          <w:rFonts w:hint="eastAsia" w:ascii="宋体" w:hAnsi="宋体" w:cs="宋体"/>
          <w:color w:val="000000"/>
          <w:kern w:val="0"/>
          <w:sz w:val="28"/>
          <w:szCs w:val="28"/>
          <w:highlight w:val="none"/>
          <w:u w:val="single"/>
          <w:lang w:val="en-US" w:eastAsia="zh-CN" w:bidi="ar"/>
        </w:rPr>
        <w:t xml:space="preserve">                 </w:t>
      </w:r>
      <w:r>
        <w:rPr>
          <w:rFonts w:hint="eastAsia" w:ascii="宋体" w:hAnsi="宋体" w:cs="宋体"/>
          <w:color w:val="000000"/>
          <w:kern w:val="0"/>
          <w:sz w:val="28"/>
          <w:szCs w:val="28"/>
          <w:highlight w:val="none"/>
          <w:lang w:val="en-US" w:eastAsia="zh-CN" w:bidi="ar"/>
        </w:rPr>
        <w:t>。</w:t>
      </w:r>
      <w:r>
        <w:rPr>
          <w:rFonts w:hint="eastAsia" w:ascii="宋体" w:hAnsi="宋体" w:eastAsia="宋体" w:cs="宋体"/>
          <w:color w:val="000000"/>
          <w:kern w:val="0"/>
          <w:sz w:val="28"/>
          <w:szCs w:val="28"/>
          <w:highlight w:val="none"/>
          <w:lang w:val="en-US" w:eastAsia="zh-CN" w:bidi="ar"/>
        </w:rPr>
        <w:t>合同总价为一次性包杆价</w:t>
      </w:r>
      <w:r>
        <w:rPr>
          <w:rFonts w:hint="eastAsia" w:ascii="宋体" w:hAnsi="宋体" w:cs="宋体"/>
          <w:color w:val="000000"/>
          <w:kern w:val="0"/>
          <w:sz w:val="28"/>
          <w:szCs w:val="28"/>
          <w:highlight w:val="none"/>
          <w:lang w:val="en-US" w:eastAsia="zh-CN" w:bidi="ar"/>
        </w:rPr>
        <w:t>（含购样费用）</w:t>
      </w:r>
      <w:r>
        <w:rPr>
          <w:rFonts w:hint="eastAsia" w:ascii="宋体" w:hAnsi="宋体" w:eastAsia="宋体" w:cs="宋体"/>
          <w:color w:val="000000"/>
          <w:kern w:val="0"/>
          <w:sz w:val="28"/>
          <w:szCs w:val="28"/>
          <w:highlight w:val="none"/>
          <w:lang w:val="en-US" w:eastAsia="zh-CN" w:bidi="ar"/>
        </w:rPr>
        <w:t>，不受市场价格变化因素的影响</w:t>
      </w:r>
      <w:r>
        <w:rPr>
          <w:rFonts w:hint="eastAsia" w:ascii="宋体" w:hAnsi="宋体" w:cs="宋体"/>
          <w:color w:val="000000"/>
          <w:kern w:val="0"/>
          <w:sz w:val="28"/>
          <w:szCs w:val="28"/>
          <w:highlight w:val="none"/>
          <w:lang w:val="en-US" w:eastAsia="zh-CN" w:bidi="ar"/>
        </w:rPr>
        <w:t>。</w:t>
      </w:r>
    </w:p>
    <w:p w14:paraId="5E5FCB70">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u w:val="single"/>
          <w:lang w:val="en-US" w:eastAsia="zh-CN" w:bidi="ar"/>
        </w:rPr>
      </w:pPr>
      <w:r>
        <w:rPr>
          <w:rFonts w:hint="eastAsia" w:ascii="宋体" w:hAnsi="宋体" w:eastAsia="宋体" w:cs="宋体"/>
          <w:color w:val="000000"/>
          <w:kern w:val="0"/>
          <w:sz w:val="28"/>
          <w:szCs w:val="28"/>
          <w:highlight w:val="none"/>
          <w:lang w:val="en-US" w:eastAsia="zh-CN" w:bidi="ar"/>
        </w:rPr>
        <w:t>5.服务时限：</w:t>
      </w:r>
      <w:r>
        <w:rPr>
          <w:rFonts w:hint="eastAsia" w:ascii="宋体" w:hAnsi="宋体" w:eastAsia="宋体" w:cs="宋体"/>
          <w:color w:val="000000"/>
          <w:kern w:val="0"/>
          <w:sz w:val="28"/>
          <w:szCs w:val="28"/>
          <w:highlight w:val="none"/>
          <w:u w:val="single"/>
          <w:lang w:val="en-US" w:eastAsia="zh-CN" w:bidi="ar"/>
        </w:rPr>
        <w:t>合同签订之日起至    年  月  日。</w:t>
      </w:r>
    </w:p>
    <w:p w14:paraId="0E27B301">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default" w:ascii="宋体" w:hAnsi="宋体" w:eastAsia="宋体" w:cs="宋体"/>
          <w:color w:val="000000"/>
          <w:kern w:val="0"/>
          <w:sz w:val="28"/>
          <w:szCs w:val="28"/>
          <w:highlight w:val="none"/>
          <w:u w:val="single"/>
          <w:lang w:val="en-US" w:eastAsia="zh-CN" w:bidi="ar"/>
        </w:rPr>
      </w:pPr>
      <w:r>
        <w:rPr>
          <w:rFonts w:hint="eastAsia" w:ascii="宋体" w:hAnsi="宋体" w:eastAsia="宋体" w:cs="宋体"/>
          <w:color w:val="000000"/>
          <w:kern w:val="0"/>
          <w:sz w:val="28"/>
          <w:szCs w:val="28"/>
          <w:highlight w:val="none"/>
          <w:lang w:val="en-US" w:eastAsia="zh-CN" w:bidi="ar"/>
        </w:rPr>
        <w:t>6.服务地点：</w:t>
      </w:r>
      <w:r>
        <w:rPr>
          <w:rFonts w:hint="eastAsia" w:ascii="宋体" w:hAnsi="宋体" w:eastAsia="宋体" w:cs="宋体"/>
          <w:color w:val="000000"/>
          <w:kern w:val="0"/>
          <w:sz w:val="28"/>
          <w:szCs w:val="28"/>
          <w:highlight w:val="none"/>
          <w:u w:val="single"/>
          <w:lang w:val="en-US" w:eastAsia="zh-CN" w:bidi="ar"/>
        </w:rPr>
        <w:t xml:space="preserve">                                </w:t>
      </w:r>
    </w:p>
    <w:p w14:paraId="5D579B14">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 xml:space="preserve">二、 甲方委托乙方的具体事项   </w:t>
      </w:r>
      <w:r>
        <w:rPr>
          <w:rFonts w:hint="eastAsia" w:ascii="宋体" w:hAnsi="宋体" w:eastAsia="宋体" w:cs="宋体"/>
          <w:color w:val="000000"/>
          <w:kern w:val="0"/>
          <w:sz w:val="28"/>
          <w:szCs w:val="28"/>
          <w:highlight w:val="none"/>
          <w:lang w:val="en-US" w:eastAsia="zh-CN" w:bidi="ar"/>
        </w:rPr>
        <w:t xml:space="preserve">    </w:t>
      </w:r>
    </w:p>
    <w:p w14:paraId="67D390B7">
      <w:pPr>
        <w:keepNext w:val="0"/>
        <w:keepLines w:val="0"/>
        <w:pageBreakBefore w:val="0"/>
        <w:widowControl/>
        <w:numPr>
          <w:ilvl w:val="0"/>
          <w:numId w:val="0"/>
        </w:numPr>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cs="宋体"/>
          <w:color w:val="000000"/>
          <w:kern w:val="0"/>
          <w:sz w:val="28"/>
          <w:szCs w:val="28"/>
          <w:highlight w:val="none"/>
          <w:lang w:val="en-US" w:eastAsia="zh-CN" w:bidi="ar"/>
        </w:rPr>
        <w:t>1.</w:t>
      </w:r>
      <w:r>
        <w:rPr>
          <w:rFonts w:hint="eastAsia" w:ascii="宋体" w:hAnsi="宋体" w:eastAsia="宋体" w:cs="宋体"/>
          <w:color w:val="000000"/>
          <w:kern w:val="0"/>
          <w:sz w:val="28"/>
          <w:szCs w:val="28"/>
          <w:highlight w:val="none"/>
          <w:lang w:val="en-US" w:eastAsia="zh-CN" w:bidi="ar"/>
        </w:rPr>
        <w:t xml:space="preserve">由乙方完成甲方委托的抽检任务的样品采集、检验，并按时出具检验报告、填报检验结果，并对抽样过程合法性和检验数据准确性负责。     </w:t>
      </w:r>
    </w:p>
    <w:p w14:paraId="4767DAEC">
      <w:pPr>
        <w:keepNext w:val="0"/>
        <w:keepLines w:val="0"/>
        <w:pageBreakBefore w:val="0"/>
        <w:widowControl/>
        <w:numPr>
          <w:ilvl w:val="0"/>
          <w:numId w:val="0"/>
        </w:numPr>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2.乙方按照甲方对抽样品种、检验项目、批次数量和采样区域分布等要求，制订详细可行的抽检工作实施方案，征得甲方同意，并报甲方备案。</w:t>
      </w:r>
    </w:p>
    <w:p w14:paraId="657C105C">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3.乙方应按规定的时限完成检验、信息填报。发现不合格的，应按要求报送电子及纸版材料。涉及突发事件或违法案件的抽检，乙方应在检验技术许可情况下的最短时间内出具检验报告书。</w:t>
      </w:r>
    </w:p>
    <w:p w14:paraId="1C2E6EEE">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4.乙方根据甲方认可的抽检工作实施方案采集样品。在组织抽样、检验过程中，不得随意调整抽样对象、抽样地点、抽检产品的种类、品种；如因客观情况 必须进行调整的，需征得甲方同意。</w:t>
      </w:r>
    </w:p>
    <w:p w14:paraId="0DFBFE97">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5.乙方严格按照甲方要求的项目及检验方法进行检验，并及时将有关数据填报录入指定的抽检信息系统。</w:t>
      </w:r>
    </w:p>
    <w:p w14:paraId="6AEBBC4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6.乙方应按照有关法律法规和技术规范要求开展抽样、检验、留样保存与处理以及各种原始记录制作、归档与保存等各项工作；并在每批任务完成后，结合行业发展及本单位检验工作实际，对承担的抽检监测情况进行风险分析或质量分析，撰写相关总结报告，并按要求及时报送甲方。</w:t>
      </w:r>
    </w:p>
    <w:p w14:paraId="0CE1CE4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三、 甲方的义务</w:t>
      </w:r>
    </w:p>
    <w:p w14:paraId="771AEFB7">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1.甲方应向乙方提供有效的抽检计划方案文件、委托书和其他乙方服务内容需要的书面材料。</w:t>
      </w:r>
    </w:p>
    <w:p w14:paraId="099ED6FF">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2.甲方应保证指定的抽检信息系统正常使用。</w:t>
      </w:r>
    </w:p>
    <w:p w14:paraId="1B52556E">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3.甲方应在职责范围内协助乙方解决抽检工作中遇到的问题。</w:t>
      </w:r>
    </w:p>
    <w:p w14:paraId="2324A0EF">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4.甲方按时对乙方任务完成情况予以确认，如期按合同约定向乙方支付抽检费用。</w:t>
      </w:r>
    </w:p>
    <w:p w14:paraId="69F672F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四、 甲方的权利</w:t>
      </w:r>
    </w:p>
    <w:p w14:paraId="368008A7">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1.甲方有权催促乙方进度，要求乙方按时完成抽检任务。</w:t>
      </w:r>
    </w:p>
    <w:p w14:paraId="308308A0">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2.甲方有权对乙方的抽检监测工作质量进行考核，必要时派专家和工作人员对甲方委托范围内的工作进行监督检查等相关工作。</w:t>
      </w:r>
    </w:p>
    <w:p w14:paraId="28F57B2B">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3.涉及突发事件的抽检，甲方可随时通知乙方开展抽检工作，乙方不得以任何理由推拖和拒绝。</w:t>
      </w:r>
    </w:p>
    <w:p w14:paraId="06A26C50">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4.甲方有权利就委托的事项提出其他合法、合理的要求。</w:t>
      </w:r>
    </w:p>
    <w:p w14:paraId="78ED2E29">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五、乙方的义务</w:t>
      </w:r>
    </w:p>
    <w:p w14:paraId="4E603AE0">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1.乙方应具备所承担抽检监测任务涉及的检验项目的检验能力、相关资质 (非标准检验方法除外) 和完成任务的资金保障，按照有关法律法规和技术规范要求开展工作，做好质量控制和规范管理，确保检验结果客观、准确。</w:t>
      </w:r>
    </w:p>
    <w:p w14:paraId="6E4EA388">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2.乙方应根据甲方要求制订</w:t>
      </w:r>
      <w:r>
        <w:rPr>
          <w:rFonts w:hint="eastAsia" w:ascii="宋体" w:hAnsi="宋体" w:cs="宋体"/>
          <w:color w:val="000000"/>
          <w:kern w:val="0"/>
          <w:sz w:val="28"/>
          <w:szCs w:val="28"/>
          <w:highlight w:val="none"/>
          <w:lang w:val="en-US" w:eastAsia="zh-CN" w:bidi="ar"/>
        </w:rPr>
        <w:t>产品</w:t>
      </w:r>
      <w:r>
        <w:rPr>
          <w:rFonts w:hint="eastAsia" w:ascii="宋体" w:hAnsi="宋体" w:eastAsia="宋体" w:cs="宋体"/>
          <w:color w:val="000000"/>
          <w:kern w:val="0"/>
          <w:sz w:val="28"/>
          <w:szCs w:val="28"/>
          <w:highlight w:val="none"/>
          <w:lang w:val="en-US" w:eastAsia="zh-CN" w:bidi="ar"/>
        </w:rPr>
        <w:t>抽检工作实施方案，严格遵守甲方关于抽样区域、环节和品种的要求，严格遵守时间进度要求和抽检工作纪律。 抽样过程中发现经营单位的违法行为，应当日内向甲方及所在地市场监管部门报告。</w:t>
      </w:r>
    </w:p>
    <w:p w14:paraId="2942D69D">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乙方应拥有安全有效的信息化管理系统和信息分析汇总人员，按时完成抽检监测及数据报送工作。及时、准确地上报样品信息、检验结果、检验报告和抽检监测工作分析总结报告。检验过程中发现被检样品存在严重安全问题的，或检验出现明显异常情况的，应当在发现问题并确认无误后立即将问题或有关情况向甲方报告。</w:t>
      </w:r>
    </w:p>
    <w:p w14:paraId="3BD4184A">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4.乙方应积极接受甲方对抽检工作监督检查和考核，参加甲方组织的能力验证、盲样比对等质控考核等活动；并积极参加甲方组织的与</w:t>
      </w:r>
      <w:r>
        <w:rPr>
          <w:rFonts w:hint="eastAsia" w:ascii="宋体" w:hAnsi="宋体" w:cs="宋体"/>
          <w:color w:val="000000"/>
          <w:kern w:val="0"/>
          <w:sz w:val="28"/>
          <w:szCs w:val="28"/>
          <w:highlight w:val="none"/>
          <w:lang w:val="en-US" w:eastAsia="zh-CN" w:bidi="ar"/>
        </w:rPr>
        <w:t>产品</w:t>
      </w:r>
      <w:r>
        <w:rPr>
          <w:rFonts w:hint="eastAsia" w:ascii="宋体" w:hAnsi="宋体" w:eastAsia="宋体" w:cs="宋体"/>
          <w:color w:val="000000"/>
          <w:kern w:val="0"/>
          <w:sz w:val="28"/>
          <w:szCs w:val="28"/>
          <w:highlight w:val="none"/>
          <w:lang w:val="en-US" w:eastAsia="zh-CN" w:bidi="ar"/>
        </w:rPr>
        <w:t>抽检工作有关的宣传、培训、分析研判等活动。</w:t>
      </w:r>
    </w:p>
    <w:p w14:paraId="33E6A975">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5.乙方应指派专人负责项目联络工作，确保24小时通讯畅通，及时响应，如有变化应及时告知甲方。</w:t>
      </w:r>
    </w:p>
    <w:p w14:paraId="3B576B7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6.乙方应按有关规定配合做好不合格样品的复检和异议工作，如复检结论与初检结论不一致，复检相关费用由乙方承担。</w:t>
      </w:r>
    </w:p>
    <w:p w14:paraId="117D09D4">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default"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7.乙方</w:t>
      </w:r>
      <w:r>
        <w:rPr>
          <w:rFonts w:hint="default" w:ascii="宋体" w:hAnsi="宋体" w:eastAsia="宋体" w:cs="宋体"/>
          <w:color w:val="000000"/>
          <w:kern w:val="0"/>
          <w:sz w:val="28"/>
          <w:szCs w:val="28"/>
          <w:highlight w:val="none"/>
          <w:lang w:val="en-US" w:eastAsia="zh-CN" w:bidi="ar"/>
        </w:rPr>
        <w:t>在实施抽样前</w:t>
      </w:r>
      <w:r>
        <w:rPr>
          <w:rFonts w:hint="eastAsia" w:ascii="宋体" w:hAnsi="宋体" w:eastAsia="宋体" w:cs="宋体"/>
          <w:color w:val="000000"/>
          <w:kern w:val="0"/>
          <w:sz w:val="28"/>
          <w:szCs w:val="28"/>
          <w:highlight w:val="none"/>
          <w:lang w:val="en-US" w:eastAsia="zh-CN" w:bidi="ar"/>
        </w:rPr>
        <w:t>不得</w:t>
      </w:r>
      <w:r>
        <w:rPr>
          <w:rFonts w:hint="default" w:ascii="宋体" w:hAnsi="宋体" w:eastAsia="宋体" w:cs="宋体"/>
          <w:color w:val="000000"/>
          <w:kern w:val="0"/>
          <w:sz w:val="28"/>
          <w:szCs w:val="28"/>
          <w:highlight w:val="none"/>
          <w:lang w:val="en-US" w:eastAsia="zh-CN" w:bidi="ar"/>
        </w:rPr>
        <w:t>以任何方式将监督抽查方案有关内容告知被抽样生产者、销售者</w:t>
      </w:r>
      <w:r>
        <w:rPr>
          <w:rFonts w:hint="eastAsia" w:ascii="宋体" w:hAnsi="宋体" w:eastAsia="宋体" w:cs="宋体"/>
          <w:color w:val="000000"/>
          <w:kern w:val="0"/>
          <w:sz w:val="28"/>
          <w:szCs w:val="28"/>
          <w:highlight w:val="none"/>
          <w:lang w:val="en-US" w:eastAsia="zh-CN" w:bidi="ar"/>
        </w:rPr>
        <w:t>。</w:t>
      </w:r>
    </w:p>
    <w:p w14:paraId="3990BE38">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六、乙方的权利</w:t>
      </w:r>
    </w:p>
    <w:p w14:paraId="1C560A0A">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1.乙方可以要求甲方保证指定的抽检信息系统顺畅，为抽样和填报提供充分条件。</w:t>
      </w:r>
    </w:p>
    <w:p w14:paraId="4509FF83">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2.乙方有权向甲方提出合理化的意见建议。</w:t>
      </w:r>
    </w:p>
    <w:p w14:paraId="4E978CFC">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3.乙方有权要求甲方按合同规定付款。</w:t>
      </w:r>
    </w:p>
    <w:p w14:paraId="7ABCB6B5">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4.乙方有权在法律、规定和合同许可的范围内对甲方的质疑、法律追究等事项进行合理合法的辩解和申述。</w:t>
      </w:r>
    </w:p>
    <w:p w14:paraId="15B9018D">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七、违约责任</w:t>
      </w:r>
    </w:p>
    <w:p w14:paraId="47280DC0">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发现下列问题之一的， 甲方均有权拒付相应批次的抽检费用：</w:t>
      </w:r>
    </w:p>
    <w:p w14:paraId="7AC55BA8">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1.乙方擅自将承检的任务委托其它检验机构抽检的；</w:t>
      </w:r>
    </w:p>
    <w:p w14:paraId="308E8FDB">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2.乙方未按时完成承检任务的；</w:t>
      </w:r>
    </w:p>
    <w:p w14:paraId="3EBC1E16">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3.未经甲方批准，租赁或者借用他人检测设备的；</w:t>
      </w:r>
    </w:p>
    <w:p w14:paraId="2D51288F">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4.未经甲方同意，擅自调整抽样区域、环节和品种的；</w:t>
      </w:r>
    </w:p>
    <w:p w14:paraId="05E58575">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5.因乙方工作失误造成检验报告退修、异议被认可的；</w:t>
      </w:r>
    </w:p>
    <w:p w14:paraId="5F318CE9">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6.因乙方其他违法违规行为影响抽检工作的。</w:t>
      </w:r>
    </w:p>
    <w:p w14:paraId="3741BCC6">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黑体" w:hAnsi="黑体" w:eastAsia="黑体" w:cs="黑体"/>
          <w:color w:val="000000"/>
          <w:kern w:val="0"/>
          <w:sz w:val="28"/>
          <w:szCs w:val="28"/>
          <w:highlight w:val="none"/>
          <w:lang w:val="en-US" w:eastAsia="zh-CN" w:bidi="ar"/>
        </w:rPr>
      </w:pPr>
      <w:r>
        <w:rPr>
          <w:rFonts w:hint="eastAsia" w:ascii="黑体" w:hAnsi="黑体" w:eastAsia="黑体" w:cs="黑体"/>
          <w:color w:val="000000"/>
          <w:kern w:val="0"/>
          <w:sz w:val="28"/>
          <w:szCs w:val="28"/>
          <w:highlight w:val="none"/>
          <w:lang w:val="en-US" w:eastAsia="zh-CN" w:bidi="ar"/>
        </w:rPr>
        <w:t>八、合同的解除与终止</w:t>
      </w:r>
    </w:p>
    <w:p w14:paraId="5AF2BFE4">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1.在抽样检验过程中，如发现乙方有出具虚假或伪造的检验报告，甲方有权随时解除合同，并要求乙方赔偿损失，由乙方承担由此产生的一切后果和不良影响。如发现乙方有与承检任务相关的违法违规现象，甲方有权追究乙方及当事人的法律责任。</w:t>
      </w:r>
    </w:p>
    <w:p w14:paraId="3E830F97">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2.乙方未按照甲方要求进行抽样检验或在甲方组织的监督检查、质控考核中发现存在影响抽检工作的重大问题时， 甲方有权报政府采购监督部门中止合同， 并要求乙方限期整改；若乙方拒不整改，或整改后仍不符合要求的，甲方报请政府采购监督部门同意，有权解除合同，并要求乙方赔偿损失、承担由此产生的一切后果和不良影响。</w:t>
      </w:r>
    </w:p>
    <w:p w14:paraId="3E255105">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3.本合同因期限届满、履行完毕、一方解除或者其他法定事由而终止。</w:t>
      </w:r>
    </w:p>
    <w:p w14:paraId="7A3F2E68">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cs="宋体"/>
          <w:color w:val="000000"/>
          <w:kern w:val="0"/>
          <w:sz w:val="28"/>
          <w:szCs w:val="28"/>
          <w:highlight w:val="none"/>
          <w:lang w:val="en-US" w:eastAsia="zh-CN" w:bidi="ar"/>
        </w:rPr>
        <w:t>九</w:t>
      </w:r>
      <w:r>
        <w:rPr>
          <w:rFonts w:hint="eastAsia" w:ascii="宋体" w:hAnsi="宋体" w:eastAsia="宋体" w:cs="宋体"/>
          <w:color w:val="000000"/>
          <w:kern w:val="0"/>
          <w:sz w:val="28"/>
          <w:szCs w:val="28"/>
          <w:highlight w:val="none"/>
          <w:lang w:val="en-US" w:eastAsia="zh-CN" w:bidi="ar"/>
        </w:rPr>
        <w:t>、双方因本合同发生争议，双方先行协商解决，如协商无效，任何一方可以向甲方所在地人民法院起诉。</w:t>
      </w:r>
    </w:p>
    <w:p w14:paraId="3E2A513A">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十、本合同自甲乙双方签字盖章之日起生效。合同壹式肆份，甲乙双方各执贰份。</w:t>
      </w:r>
    </w:p>
    <w:p w14:paraId="1D1533D6">
      <w:pPr>
        <w:keepNext w:val="0"/>
        <w:keepLines w:val="0"/>
        <w:pageBreakBefore w:val="0"/>
        <w:widowControl/>
        <w:suppressLineNumbers w:val="0"/>
        <w:tabs>
          <w:tab w:val="left" w:pos="442"/>
        </w:tabs>
        <w:kinsoku/>
        <w:wordWrap/>
        <w:overflowPunct/>
        <w:topLinePunct w:val="0"/>
        <w:autoSpaceDE/>
        <w:autoSpaceDN/>
        <w:bidi w:val="0"/>
        <w:adjustRightInd/>
        <w:snapToGrid/>
        <w:spacing w:line="384" w:lineRule="auto"/>
        <w:ind w:firstLine="56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8"/>
          <w:szCs w:val="28"/>
          <w:highlight w:val="none"/>
          <w:lang w:val="en-US" w:eastAsia="zh-CN" w:bidi="ar"/>
        </w:rPr>
        <w:t>十</w:t>
      </w:r>
      <w:r>
        <w:rPr>
          <w:rFonts w:hint="eastAsia" w:ascii="宋体" w:hAnsi="宋体" w:cs="宋体"/>
          <w:color w:val="000000"/>
          <w:kern w:val="0"/>
          <w:sz w:val="28"/>
          <w:szCs w:val="28"/>
          <w:highlight w:val="none"/>
          <w:lang w:val="en-US" w:eastAsia="zh-CN" w:bidi="ar"/>
        </w:rPr>
        <w:t>一</w:t>
      </w:r>
      <w:r>
        <w:rPr>
          <w:rFonts w:hint="eastAsia" w:ascii="宋体" w:hAnsi="宋体" w:eastAsia="宋体" w:cs="宋体"/>
          <w:color w:val="000000"/>
          <w:kern w:val="0"/>
          <w:sz w:val="28"/>
          <w:szCs w:val="28"/>
          <w:highlight w:val="none"/>
          <w:lang w:val="en-US" w:eastAsia="zh-CN" w:bidi="ar"/>
        </w:rPr>
        <w:t>、本合同附件部分，是本合同的组成部分，适用于本合同的有关规定，具有同等效力。</w:t>
      </w:r>
    </w:p>
    <w:p w14:paraId="0A618276">
      <w:pPr>
        <w:rPr>
          <w:rFonts w:hint="eastAsia"/>
          <w:highlight w:val="none"/>
          <w:lang w:val="en-US" w:eastAsia="zh-CN"/>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4"/>
        <w:gridCol w:w="5168"/>
      </w:tblGrid>
      <w:tr w14:paraId="212A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1AEDD6A3">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甲方：              （盖章） </w:t>
            </w:r>
          </w:p>
        </w:tc>
        <w:tc>
          <w:tcPr>
            <w:tcW w:w="5168" w:type="dxa"/>
            <w:tcBorders>
              <w:top w:val="nil"/>
              <w:left w:val="nil"/>
              <w:bottom w:val="nil"/>
              <w:right w:val="nil"/>
            </w:tcBorders>
            <w:noWrap w:val="0"/>
            <w:vAlign w:val="top"/>
          </w:tcPr>
          <w:p w14:paraId="1D38D796">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乙方：                  （盖章）</w:t>
            </w:r>
          </w:p>
        </w:tc>
      </w:tr>
      <w:tr w14:paraId="35C7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5F37346A">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地址： </w:t>
            </w:r>
          </w:p>
        </w:tc>
        <w:tc>
          <w:tcPr>
            <w:tcW w:w="5168" w:type="dxa"/>
            <w:tcBorders>
              <w:top w:val="nil"/>
              <w:left w:val="nil"/>
              <w:bottom w:val="nil"/>
              <w:right w:val="nil"/>
            </w:tcBorders>
            <w:noWrap w:val="0"/>
            <w:vAlign w:val="top"/>
          </w:tcPr>
          <w:p w14:paraId="338B29E1">
            <w:pPr>
              <w:pStyle w:val="22"/>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地址：             </w:t>
            </w:r>
          </w:p>
        </w:tc>
      </w:tr>
      <w:tr w14:paraId="5790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4A515AA2">
            <w:pPr>
              <w:pStyle w:val="22"/>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邮政编码： </w:t>
            </w:r>
          </w:p>
        </w:tc>
        <w:tc>
          <w:tcPr>
            <w:tcW w:w="5168" w:type="dxa"/>
            <w:tcBorders>
              <w:top w:val="nil"/>
              <w:left w:val="nil"/>
              <w:bottom w:val="nil"/>
              <w:right w:val="nil"/>
            </w:tcBorders>
            <w:noWrap w:val="0"/>
            <w:vAlign w:val="top"/>
          </w:tcPr>
          <w:p w14:paraId="1D10E2B5">
            <w:pPr>
              <w:pStyle w:val="22"/>
              <w:rPr>
                <w:rFonts w:hint="default"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邮政编码： </w:t>
            </w:r>
          </w:p>
        </w:tc>
      </w:tr>
      <w:tr w14:paraId="7E42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470EEF9A">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法定代表人或其授权的代理人：</w:t>
            </w:r>
          </w:p>
        </w:tc>
        <w:tc>
          <w:tcPr>
            <w:tcW w:w="5168" w:type="dxa"/>
            <w:tcBorders>
              <w:top w:val="nil"/>
              <w:left w:val="nil"/>
              <w:bottom w:val="nil"/>
              <w:right w:val="nil"/>
            </w:tcBorders>
            <w:noWrap w:val="0"/>
            <w:vAlign w:val="top"/>
          </w:tcPr>
          <w:p w14:paraId="3A90B19E">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法定代表人或其授权的代理人：</w:t>
            </w:r>
          </w:p>
          <w:p w14:paraId="6BDF17B7">
            <w:pPr>
              <w:pStyle w:val="22"/>
              <w:rPr>
                <w:rFonts w:hint="eastAsia" w:ascii="宋体" w:hAnsi="宋体" w:eastAsia="宋体" w:cs="宋体"/>
                <w:color w:val="000000"/>
                <w:kern w:val="0"/>
                <w:sz w:val="24"/>
                <w:szCs w:val="24"/>
                <w:highlight w:val="none"/>
                <w:lang w:val="en-US" w:eastAsia="zh-CN" w:bidi="ar"/>
              </w:rPr>
            </w:pPr>
          </w:p>
        </w:tc>
      </w:tr>
      <w:tr w14:paraId="06181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43165836">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开户银行：</w:t>
            </w:r>
          </w:p>
        </w:tc>
        <w:tc>
          <w:tcPr>
            <w:tcW w:w="5168" w:type="dxa"/>
            <w:tcBorders>
              <w:top w:val="nil"/>
              <w:left w:val="nil"/>
              <w:bottom w:val="nil"/>
              <w:right w:val="nil"/>
            </w:tcBorders>
            <w:noWrap w:val="0"/>
            <w:vAlign w:val="top"/>
          </w:tcPr>
          <w:p w14:paraId="1D87DB19">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开户银行： </w:t>
            </w:r>
          </w:p>
        </w:tc>
      </w:tr>
      <w:tr w14:paraId="1FCCD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360CDA69">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账号：</w:t>
            </w:r>
          </w:p>
        </w:tc>
        <w:tc>
          <w:tcPr>
            <w:tcW w:w="5168" w:type="dxa"/>
            <w:tcBorders>
              <w:top w:val="nil"/>
              <w:left w:val="nil"/>
              <w:bottom w:val="nil"/>
              <w:right w:val="nil"/>
            </w:tcBorders>
            <w:noWrap w:val="0"/>
            <w:vAlign w:val="top"/>
          </w:tcPr>
          <w:p w14:paraId="74B2F66A">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账号： </w:t>
            </w:r>
          </w:p>
        </w:tc>
      </w:tr>
      <w:tr w14:paraId="3F917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79705AD0">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 xml:space="preserve">电话： </w:t>
            </w:r>
          </w:p>
        </w:tc>
        <w:tc>
          <w:tcPr>
            <w:tcW w:w="5168" w:type="dxa"/>
            <w:tcBorders>
              <w:top w:val="nil"/>
              <w:left w:val="nil"/>
              <w:bottom w:val="nil"/>
              <w:right w:val="nil"/>
            </w:tcBorders>
            <w:noWrap w:val="0"/>
            <w:vAlign w:val="top"/>
          </w:tcPr>
          <w:p w14:paraId="7120BD51">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电话：  </w:t>
            </w:r>
          </w:p>
        </w:tc>
      </w:tr>
      <w:tr w14:paraId="64C7B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18E2753F">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 xml:space="preserve">传真： </w:t>
            </w:r>
          </w:p>
        </w:tc>
        <w:tc>
          <w:tcPr>
            <w:tcW w:w="5168" w:type="dxa"/>
            <w:tcBorders>
              <w:top w:val="nil"/>
              <w:left w:val="nil"/>
              <w:bottom w:val="nil"/>
              <w:right w:val="nil"/>
            </w:tcBorders>
            <w:noWrap w:val="0"/>
            <w:vAlign w:val="top"/>
          </w:tcPr>
          <w:p w14:paraId="5150C193">
            <w:pPr>
              <w:pStyle w:val="22"/>
              <w:rPr>
                <w:rFonts w:hint="default" w:ascii="黑体" w:hAnsi="Times New Roman" w:eastAsia="黑体" w:cs="Times New Roman"/>
                <w:sz w:val="21"/>
                <w:szCs w:val="22"/>
                <w:highlight w:val="none"/>
                <w:vertAlign w:val="baseline"/>
                <w:lang w:val="en-US" w:eastAsia="zh-CN" w:bidi="ar-SA"/>
              </w:rPr>
            </w:pPr>
            <w:r>
              <w:rPr>
                <w:rFonts w:hint="eastAsia" w:ascii="宋体" w:hAnsi="宋体" w:eastAsia="宋体" w:cs="宋体"/>
                <w:color w:val="000000"/>
                <w:kern w:val="0"/>
                <w:sz w:val="24"/>
                <w:szCs w:val="24"/>
                <w:highlight w:val="none"/>
                <w:lang w:val="en-US" w:eastAsia="zh-CN" w:bidi="ar"/>
              </w:rPr>
              <w:t xml:space="preserve">传真： </w:t>
            </w:r>
          </w:p>
        </w:tc>
      </w:tr>
      <w:tr w14:paraId="555A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5C9878F1">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 xml:space="preserve">电子邮箱： </w:t>
            </w:r>
          </w:p>
        </w:tc>
        <w:tc>
          <w:tcPr>
            <w:tcW w:w="5168" w:type="dxa"/>
            <w:tcBorders>
              <w:top w:val="nil"/>
              <w:left w:val="nil"/>
              <w:bottom w:val="nil"/>
              <w:right w:val="nil"/>
            </w:tcBorders>
            <w:noWrap w:val="0"/>
            <w:vAlign w:val="top"/>
          </w:tcPr>
          <w:p w14:paraId="4449D859">
            <w:pPr>
              <w:pStyle w:val="22"/>
              <w:rPr>
                <w:rFonts w:hint="eastAsia" w:ascii="黑体" w:hAnsi="Times New Roman" w:eastAsia="黑体" w:cs="Times New Roman"/>
                <w:sz w:val="21"/>
                <w:szCs w:val="22"/>
                <w:highlight w:val="none"/>
                <w:vertAlign w:val="baseline"/>
                <w:lang w:val="en-US" w:eastAsia="zh-CN" w:bidi="ar-SA"/>
              </w:rPr>
            </w:pPr>
            <w:r>
              <w:rPr>
                <w:rFonts w:hint="eastAsia" w:ascii="宋体" w:hAnsi="宋体" w:eastAsia="宋体" w:cs="宋体"/>
                <w:color w:val="000000"/>
                <w:kern w:val="0"/>
                <w:sz w:val="24"/>
                <w:szCs w:val="24"/>
                <w:highlight w:val="none"/>
                <w:lang w:val="en-US" w:eastAsia="zh-CN" w:bidi="ar"/>
              </w:rPr>
              <w:t xml:space="preserve">电子邮箱： </w:t>
            </w:r>
          </w:p>
        </w:tc>
      </w:tr>
      <w:tr w14:paraId="3B896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94" w:type="dxa"/>
            <w:tcBorders>
              <w:top w:val="nil"/>
              <w:left w:val="nil"/>
              <w:bottom w:val="nil"/>
              <w:right w:val="nil"/>
            </w:tcBorders>
            <w:noWrap w:val="0"/>
            <w:vAlign w:val="top"/>
          </w:tcPr>
          <w:p w14:paraId="5CA852F3">
            <w:pPr>
              <w:pStyle w:val="22"/>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签订日期：</w:t>
            </w:r>
          </w:p>
        </w:tc>
        <w:tc>
          <w:tcPr>
            <w:tcW w:w="5168" w:type="dxa"/>
            <w:tcBorders>
              <w:top w:val="nil"/>
              <w:left w:val="nil"/>
              <w:bottom w:val="nil"/>
              <w:right w:val="nil"/>
            </w:tcBorders>
            <w:noWrap w:val="0"/>
            <w:vAlign w:val="top"/>
          </w:tcPr>
          <w:p w14:paraId="5AEDBB5A">
            <w:pPr>
              <w:pStyle w:val="22"/>
              <w:rPr>
                <w:rFonts w:hint="eastAsia"/>
                <w:highlight w:val="none"/>
                <w:vertAlign w:val="baseline"/>
                <w:lang w:val="en-US" w:eastAsia="zh-CN"/>
              </w:rPr>
            </w:pPr>
            <w:r>
              <w:rPr>
                <w:rFonts w:hint="eastAsia" w:ascii="宋体" w:hAnsi="宋体" w:eastAsia="宋体" w:cs="宋体"/>
                <w:color w:val="000000"/>
                <w:kern w:val="0"/>
                <w:sz w:val="24"/>
                <w:szCs w:val="24"/>
                <w:highlight w:val="none"/>
                <w:lang w:val="en-US" w:eastAsia="zh-CN" w:bidi="ar"/>
              </w:rPr>
              <w:t>签订日期：</w:t>
            </w:r>
          </w:p>
        </w:tc>
      </w:tr>
    </w:tbl>
    <w:p w14:paraId="7697A20F">
      <w:pPr>
        <w:pStyle w:val="22"/>
        <w:rPr>
          <w:highlight w:val="none"/>
        </w:rPr>
      </w:pPr>
    </w:p>
    <w:p w14:paraId="7CA18F65">
      <w:pPr>
        <w:rPr>
          <w:highlight w:val="none"/>
        </w:rPr>
      </w:pPr>
    </w:p>
    <w:p w14:paraId="67DE4FD1">
      <w:pPr>
        <w:pStyle w:val="10"/>
      </w:pPr>
    </w:p>
    <w:sectPr>
      <w:footerReference r:id="rId3" w:type="default"/>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0D14F">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0F6265">
                          <w:pPr>
                            <w:pStyle w:val="10"/>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90F6265">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iOWE1MWE4MDRlYThhNjAzYjdhZjMwMDA3OTM2YWMifQ=="/>
  </w:docVars>
  <w:rsids>
    <w:rsidRoot w:val="00000000"/>
    <w:rsid w:val="035234AD"/>
    <w:rsid w:val="052D4EEB"/>
    <w:rsid w:val="06471F77"/>
    <w:rsid w:val="069731EB"/>
    <w:rsid w:val="07822663"/>
    <w:rsid w:val="08602EE2"/>
    <w:rsid w:val="0AB75B5C"/>
    <w:rsid w:val="0B417C0C"/>
    <w:rsid w:val="0C1378CA"/>
    <w:rsid w:val="0C6952B0"/>
    <w:rsid w:val="0F667ACD"/>
    <w:rsid w:val="10675755"/>
    <w:rsid w:val="113E7E34"/>
    <w:rsid w:val="148E01E4"/>
    <w:rsid w:val="14AF76CB"/>
    <w:rsid w:val="177B0129"/>
    <w:rsid w:val="199F72BB"/>
    <w:rsid w:val="1E2E3C5B"/>
    <w:rsid w:val="22C70C2F"/>
    <w:rsid w:val="25423AAE"/>
    <w:rsid w:val="279F537D"/>
    <w:rsid w:val="290E60DD"/>
    <w:rsid w:val="2B630D6A"/>
    <w:rsid w:val="2DA51213"/>
    <w:rsid w:val="33A855B9"/>
    <w:rsid w:val="399C2F95"/>
    <w:rsid w:val="3C5C1231"/>
    <w:rsid w:val="3E974FE5"/>
    <w:rsid w:val="40073668"/>
    <w:rsid w:val="443F2FD9"/>
    <w:rsid w:val="47A41011"/>
    <w:rsid w:val="48442155"/>
    <w:rsid w:val="49DE4B55"/>
    <w:rsid w:val="4A054BF3"/>
    <w:rsid w:val="4A082E01"/>
    <w:rsid w:val="4C3D2BD2"/>
    <w:rsid w:val="4E4F2DA9"/>
    <w:rsid w:val="51ED6B61"/>
    <w:rsid w:val="54F70F5A"/>
    <w:rsid w:val="581A3C8F"/>
    <w:rsid w:val="58AD7CDE"/>
    <w:rsid w:val="59114C7D"/>
    <w:rsid w:val="596B0BEF"/>
    <w:rsid w:val="59F507B4"/>
    <w:rsid w:val="5BB83AF3"/>
    <w:rsid w:val="5D7C0ECC"/>
    <w:rsid w:val="5F0A6892"/>
    <w:rsid w:val="6151138E"/>
    <w:rsid w:val="670405A8"/>
    <w:rsid w:val="68DC2DD6"/>
    <w:rsid w:val="6E2C195B"/>
    <w:rsid w:val="6FC07921"/>
    <w:rsid w:val="70357BF9"/>
    <w:rsid w:val="74B10258"/>
    <w:rsid w:val="7637063A"/>
    <w:rsid w:val="76E05F19"/>
    <w:rsid w:val="78462278"/>
    <w:rsid w:val="7C240B22"/>
    <w:rsid w:val="7DBA07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1"/>
    <w:basedOn w:val="1"/>
    <w:next w:val="1"/>
    <w:link w:val="2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8">
    <w:name w:val="heading 2"/>
    <w:basedOn w:val="7"/>
    <w:next w:val="1"/>
    <w:unhideWhenUsed/>
    <w:qFormat/>
    <w:uiPriority w:val="0"/>
    <w:pPr>
      <w:keepNext/>
      <w:keepLines/>
      <w:spacing w:beforeLines="0" w:beforeAutospacing="0" w:afterLines="0" w:afterAutospacing="0" w:line="240" w:lineRule="auto"/>
      <w:outlineLvl w:val="1"/>
    </w:pPr>
    <w:rPr>
      <w:rFonts w:eastAsia="仿宋"/>
      <w:sz w:val="24"/>
    </w:rPr>
  </w:style>
  <w:style w:type="character" w:default="1" w:styleId="16">
    <w:name w:val="Default Paragraph Font"/>
    <w:semiHidden/>
    <w:qFormat/>
    <w:uiPriority w:val="0"/>
  </w:style>
  <w:style w:type="table" w:default="1" w:styleId="14">
    <w:name w:val="Normal Table"/>
    <w:semiHidden/>
    <w:qFormat/>
    <w:uiPriority w:val="0"/>
    <w:tblPr>
      <w:tblStyle w:val="14"/>
      <w:tblCellMar>
        <w:top w:w="0" w:type="dxa"/>
        <w:left w:w="108" w:type="dxa"/>
        <w:bottom w:w="0" w:type="dxa"/>
        <w:right w:w="108" w:type="dxa"/>
      </w:tblCellMar>
    </w:tblPr>
  </w:style>
  <w:style w:type="paragraph" w:styleId="2">
    <w:name w:val="Normal Indent"/>
    <w:basedOn w:val="1"/>
    <w:next w:val="3"/>
    <w:qFormat/>
    <w:uiPriority w:val="99"/>
    <w:pPr>
      <w:widowControl/>
      <w:spacing w:before="100" w:beforeAutospacing="1" w:after="100" w:afterAutospacing="1" w:line="240" w:lineRule="auto"/>
      <w:ind w:firstLine="0" w:firstLineChars="0"/>
      <w:jc w:val="left"/>
    </w:pPr>
    <w:rPr>
      <w:rFonts w:ascii="Arial Unicode MS" w:hAnsi="Arial Unicode MS" w:eastAsia="宋体" w:cs="Times New Roman"/>
      <w:kern w:val="0"/>
      <w:szCs w:val="24"/>
    </w:rPr>
  </w:style>
  <w:style w:type="paragraph" w:styleId="3">
    <w:name w:val="Body Text First Indent 2"/>
    <w:basedOn w:val="4"/>
    <w:next w:val="1"/>
    <w:qFormat/>
    <w:uiPriority w:val="99"/>
    <w:pPr>
      <w:spacing w:after="120" w:line="240" w:lineRule="auto"/>
      <w:ind w:left="420" w:leftChars="200" w:firstLine="420" w:firstLineChars="200"/>
    </w:pPr>
    <w:rPr>
      <w:rFonts w:ascii="Times New Roman" w:hAnsi="Times New Roman"/>
      <w:sz w:val="21"/>
      <w:szCs w:val="24"/>
    </w:rPr>
  </w:style>
  <w:style w:type="paragraph" w:styleId="4">
    <w:name w:val="Body Text Indent"/>
    <w:basedOn w:val="1"/>
    <w:next w:val="5"/>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Body Text 3"/>
    <w:basedOn w:val="1"/>
    <w:next w:val="6"/>
    <w:unhideWhenUsed/>
    <w:qFormat/>
    <w:uiPriority w:val="99"/>
    <w:pPr>
      <w:spacing w:after="120"/>
    </w:pPr>
    <w:rPr>
      <w:sz w:val="16"/>
      <w:szCs w:val="16"/>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9">
    <w:name w:val="Body Text"/>
    <w:basedOn w:val="1"/>
    <w:next w:val="1"/>
    <w:qFormat/>
    <w:uiPriority w:val="0"/>
    <w:pPr>
      <w:spacing w:after="120"/>
    </w:pPr>
    <w:rPr>
      <w:szCs w:val="24"/>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13">
    <w:name w:val="Body Text First Indent"/>
    <w:basedOn w:val="9"/>
    <w:unhideWhenUsed/>
    <w:qFormat/>
    <w:uiPriority w:val="0"/>
    <w:pPr>
      <w:spacing w:after="0" w:line="240" w:lineRule="auto"/>
      <w:ind w:firstLine="420" w:firstLineChars="100"/>
    </w:pPr>
    <w:rPr>
      <w:sz w:val="18"/>
      <w:szCs w:val="18"/>
    </w:rPr>
  </w:style>
  <w:style w:type="table" w:styleId="15">
    <w:name w:val="Table Grid"/>
    <w:basedOn w:val="14"/>
    <w:qFormat/>
    <w:uiPriority w:val="0"/>
    <w:pPr>
      <w:widowControl w:val="0"/>
      <w:jc w:val="both"/>
    </w:pPr>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uiPriority w:val="0"/>
    <w:rPr>
      <w:color w:val="771CAA"/>
      <w:u w:val="none"/>
    </w:rPr>
  </w:style>
  <w:style w:type="character" w:styleId="18">
    <w:name w:val="Emphasis"/>
    <w:basedOn w:val="16"/>
    <w:qFormat/>
    <w:uiPriority w:val="0"/>
    <w:rPr>
      <w:color w:val="F73131"/>
    </w:rPr>
  </w:style>
  <w:style w:type="character" w:styleId="19">
    <w:name w:val="Hyperlink"/>
    <w:basedOn w:val="16"/>
    <w:uiPriority w:val="0"/>
    <w:rPr>
      <w:color w:val="2440B3"/>
      <w:u w:val="none"/>
    </w:rPr>
  </w:style>
  <w:style w:type="character" w:styleId="20">
    <w:name w:val="HTML Cite"/>
    <w:basedOn w:val="16"/>
    <w:uiPriority w:val="0"/>
    <w:rPr>
      <w:color w:val="008000"/>
    </w:rPr>
  </w:style>
  <w:style w:type="character" w:customStyle="1" w:styleId="21">
    <w:name w:val="标题 1 Char"/>
    <w:link w:val="7"/>
    <w:qFormat/>
    <w:uiPriority w:val="0"/>
    <w:rPr>
      <w:rFonts w:ascii="Arial" w:hAnsi="Arial"/>
      <w:kern w:val="44"/>
      <w:sz w:val="28"/>
    </w:rPr>
  </w:style>
  <w:style w:type="paragraph" w:customStyle="1" w:styleId="22">
    <w:name w:val="Default"/>
    <w:next w:val="1"/>
    <w:qFormat/>
    <w:uiPriority w:val="0"/>
    <w:pPr>
      <w:widowControl w:val="0"/>
      <w:autoSpaceDE w:val="0"/>
      <w:autoSpaceDN w:val="0"/>
      <w:adjustRightInd w:val="0"/>
    </w:pPr>
    <w:rPr>
      <w:rFonts w:ascii="黑体" w:hAnsi="Times New Roman" w:eastAsia="黑体" w:cs="Times New Roman"/>
      <w:sz w:val="21"/>
      <w:szCs w:val="22"/>
      <w:lang w:val="en-US" w:eastAsia="zh-CN" w:bidi="ar-SA"/>
    </w:rPr>
  </w:style>
  <w:style w:type="character" w:customStyle="1" w:styleId="23">
    <w:name w:val="c-icon"/>
    <w:basedOn w:val="16"/>
    <w:uiPriority w:val="0"/>
  </w:style>
  <w:style w:type="character" w:customStyle="1" w:styleId="24">
    <w:name w:val="hover26"/>
    <w:basedOn w:val="16"/>
    <w:uiPriority w:val="0"/>
  </w:style>
  <w:style w:type="character" w:customStyle="1" w:styleId="25">
    <w:name w:val="hover27"/>
    <w:basedOn w:val="16"/>
    <w:uiPriority w:val="0"/>
    <w:rPr>
      <w:color w:val="315EFB"/>
    </w:rPr>
  </w:style>
  <w:style w:type="paragraph" w:customStyle="1" w:styleId="26">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2403</Words>
  <Characters>2444</Characters>
  <Lines>0</Lines>
  <Paragraphs>0</Paragraphs>
  <TotalTime>12</TotalTime>
  <ScaleCrop>false</ScaleCrop>
  <LinksUpToDate>false</LinksUpToDate>
  <CharactersWithSpaces>2757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2022-05-08T02:54:00Z</dcterms:created>
  <dc:creator>Administrator.PC-20211217ISBI</dc:creator>
  <cp:lastModifiedBy>葱</cp:lastModifiedBy>
  <dcterms:modified xsi:type="dcterms:W3CDTF">2025-09-05T07:51:51Z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443553E53B0545C8A2ABD21B269AD6F4_13</vt:lpwstr>
  </property>
  <property fmtid="{D5CDD505-2E9C-101B-9397-08002B2CF9AE}" pid="4" name="KSOTemplateDocerSaveRecord">
    <vt:lpwstr>eyJoZGlkIjoiMDJiOWE1MWE4MDRlYThhNjAzYjdhZjMwMDA3OTM2YWMifQ==</vt:lpwstr>
  </property>
</Properties>
</file>