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版本号：YYZFCG竞争性磋商（2025）91号20250828001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榆阳区青山路街道办事处福安社区体育小区下水管道改造及地面修补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YYZFCG竞争性磋商（2025）91号</w:t>
      </w:r>
      <w:r>
        <w:br/>
      </w:r>
      <w:r>
        <w:br/>
      </w:r>
      <w:r>
        <w:br/>
      </w:r>
    </w:p>
    <w:p>
      <w:pPr>
        <w:pStyle w:val="null3"/>
        <w:jc w:val="center"/>
        <w:outlineLvl w:val="2"/>
      </w:pPr>
      <w:r>
        <w:rPr>
          <w:rFonts w:ascii="仿宋_GB2312" w:hAnsi="仿宋_GB2312" w:cs="仿宋_GB2312" w:eastAsia="仿宋_GB2312"/>
          <w:sz w:val="28"/>
          <w:b/>
        </w:rPr>
        <w:t>榆林市榆阳区青山路街道办事处</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榆林市榆阳区青山路街道办事处</w:t>
      </w:r>
      <w:r>
        <w:rPr>
          <w:rFonts w:ascii="仿宋_GB2312" w:hAnsi="仿宋_GB2312" w:cs="仿宋_GB2312" w:eastAsia="仿宋_GB2312"/>
        </w:rPr>
        <w:t>委托，拟对</w:t>
      </w:r>
      <w:r>
        <w:rPr>
          <w:rFonts w:ascii="仿宋_GB2312" w:hAnsi="仿宋_GB2312" w:cs="仿宋_GB2312" w:eastAsia="仿宋_GB2312"/>
        </w:rPr>
        <w:t>榆阳区青山路街道办事处福安社区体育小区下水管道改造及地面修补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YYZFCG竞争性磋商（2025）91号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榆阳区青山路街道办事处福安社区体育小区下水管道改造及地面修补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改造项目主要包括拆除路面、基层、砖石结构，铺设污水塑料管道、砌筑检查井、成品雨水槽 ；主要功能或目标:改造下水管道及地面修补。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采购包1（榆林市榆阳区青山路街道办事处福安社区体育小区下水管道改造及地面修补的采购项目）：属于专门面向小微企业采购。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1、本采购包专门面向小微企业采购：本项目专门面向小微企业采购。投标人应填写《中小企业声明函（工程、服务）》，本项目面向小微企业总体预留比例为 100 % 。</w:t>
      </w:r>
    </w:p>
    <w:p>
      <w:pPr>
        <w:pStyle w:val="null3"/>
      </w:pPr>
      <w:r>
        <w:rPr>
          <w:rFonts w:ascii="仿宋_GB2312" w:hAnsi="仿宋_GB2312" w:cs="仿宋_GB2312" w:eastAsia="仿宋_GB2312"/>
        </w:rPr>
        <w:t>2、有效的主体资格证明文件：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3、法定代表人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4、社会保障资金缴纳证明：提供近一年年度至递交磋商响应文件截止时间已缴存的至少三个月的社会保障资金银行缴存单据或社保机构开具的社会保险参保缴费情况证明，依法不需要缴纳社会保障资金的提供相关证明材料。</w:t>
      </w:r>
    </w:p>
    <w:p>
      <w:pPr>
        <w:pStyle w:val="null3"/>
      </w:pPr>
      <w:r>
        <w:rPr>
          <w:rFonts w:ascii="仿宋_GB2312" w:hAnsi="仿宋_GB2312" w:cs="仿宋_GB2312" w:eastAsia="仿宋_GB2312"/>
        </w:rPr>
        <w:t>5、税收缴纳证明：提供近一年年度至递交磋商响应文件截止时间已缴纳的至少三个月的纳税证明（银行缴费凭证）或完税证明，依法免税的提供相关证明材料。</w:t>
      </w:r>
    </w:p>
    <w:p>
      <w:pPr>
        <w:pStyle w:val="null3"/>
      </w:pPr>
      <w:r>
        <w:rPr>
          <w:rFonts w:ascii="仿宋_GB2312" w:hAnsi="仿宋_GB2312" w:cs="仿宋_GB2312" w:eastAsia="仿宋_GB2312"/>
        </w:rPr>
        <w:t>6、商业信誉：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pPr>
      <w:r>
        <w:rPr>
          <w:rFonts w:ascii="仿宋_GB2312" w:hAnsi="仿宋_GB2312" w:cs="仿宋_GB2312" w:eastAsia="仿宋_GB2312"/>
        </w:rPr>
        <w:t>7、供应商资质：供应商须具有建筑工程施工总承包三级及以上资质。</w:t>
      </w:r>
    </w:p>
    <w:p>
      <w:pPr>
        <w:pStyle w:val="null3"/>
      </w:pPr>
      <w:r>
        <w:rPr>
          <w:rFonts w:ascii="仿宋_GB2312" w:hAnsi="仿宋_GB2312" w:cs="仿宋_GB2312" w:eastAsia="仿宋_GB2312"/>
        </w:rPr>
        <w:t>8、拟派项目负责人专业及资质要求：拟派本项目负责人的建造师注册证书（具备建筑工程二级及以上资格）、安全生产考核合格证书（B证）及近一年年度至递交磋商响应文件截止时间在本单位至少三个月的社会保障资金银行缴存单据或社保机构开具的社会保险参保缴费情况证明，且无在建项目［须通过“陕西省建筑市场监管与诚信信息发布平台”（http://jzscyth.shaanxi.gov.cn:7001/PDR/network/credit/home）查询（查询日期为从磋商公告发布之日起至磋商响应文件递交截止时间前，以网页截图加盖供应商公章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榆林市榆阳区青山路街道办事处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榆阳区常乐路29号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榆林市榆阳区青山路街道办事处经办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13468899872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艾先聪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18629388603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采购包1：179,467.52元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榆林市榆阳区青山路街道办事处</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榆林市榆阳区青山路街道办事处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榆林市榆阳区青山路街道办事处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工程质量合格，材料安全环保，达到使用条件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179,467.52</w:t>
      </w:r>
    </w:p>
    <w:p>
      <w:pPr>
        <w:pStyle w:val="null3"/>
      </w:pPr>
      <w:r>
        <w:rPr>
          <w:rFonts w:ascii="仿宋_GB2312" w:hAnsi="仿宋_GB2312" w:cs="仿宋_GB2312" w:eastAsia="仿宋_GB2312"/>
        </w:rPr>
        <w:t>采购包最高限价（元）: 179,467.52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179,467.52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233"/>
              <w:gridCol w:w="480"/>
              <w:gridCol w:w="560"/>
              <w:gridCol w:w="560"/>
              <w:gridCol w:w="265"/>
              <w:gridCol w:w="452"/>
            </w:tblGrid>
            <w:tr>
              <w:tc>
                <w:tcPr>
                  <w:tcW w:type="dxa" w:w="233"/>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8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11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26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45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233"/>
                  <w:vMerge/>
                  <w:tcBorders>
                    <w:top w:val="single" w:color="000000" w:sz="4"/>
                    <w:left w:val="single" w:color="000000" w:sz="4"/>
                    <w:bottom w:val="single" w:color="000000" w:sz="4"/>
                    <w:right w:val="single" w:color="000000" w:sz="4"/>
                  </w:tcBorders>
                </w:tcPr>
                <w:p/>
              </w:tc>
              <w:tc>
                <w:tcPr>
                  <w:tcW w:type="dxa" w:w="480"/>
                  <w:vMerge/>
                  <w:tcBorders>
                    <w:top w:val="single" w:color="000000" w:sz="4"/>
                    <w:left w:val="single" w:color="000000" w:sz="4"/>
                    <w:bottom w:val="single" w:color="000000" w:sz="4"/>
                    <w:right w:val="single" w:color="000000" w:sz="4"/>
                  </w:tcBorders>
                </w:tcPr>
                <w:p/>
              </w:tc>
              <w:tc>
                <w:tcPr>
                  <w:tcW w:type="dxa" w:w="1120"/>
                  <w:gridSpan w:val="2"/>
                  <w:vMerge/>
                  <w:tcBorders>
                    <w:top w:val="single" w:color="000000" w:sz="4"/>
                    <w:left w:val="single" w:color="000000" w:sz="4"/>
                    <w:bottom w:val="single" w:color="000000" w:sz="4"/>
                    <w:right w:val="single" w:color="000000" w:sz="4"/>
                  </w:tcBorders>
                </w:tcP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040801001001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拆除路面</w:t>
                  </w:r>
                  <w:r>
                    <w:br/>
                  </w:r>
                  <w:r>
                    <w:rPr>
                      <w:rFonts w:ascii="仿宋_GB2312" w:hAnsi="仿宋_GB2312" w:cs="仿宋_GB2312" w:eastAsia="仿宋_GB2312"/>
                      <w:sz w:val="19"/>
                      <w:color w:val="000000"/>
                    </w:rPr>
                    <w:t xml:space="preserve"> 厚150mm</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90</w:t>
                  </w: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040801002001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拆除基层</w:t>
                  </w:r>
                  <w:r>
                    <w:br/>
                  </w:r>
                  <w:r>
                    <w:rPr>
                      <w:rFonts w:ascii="仿宋_GB2312" w:hAnsi="仿宋_GB2312" w:cs="仿宋_GB2312" w:eastAsia="仿宋_GB2312"/>
                      <w:sz w:val="19"/>
                      <w:color w:val="000000"/>
                    </w:rPr>
                    <w:t xml:space="preserve"> 厚220mm</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90</w:t>
                  </w: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040801006001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拆除砖石结构</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112</w:t>
                  </w: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040801005001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拆除管道DN110</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30</w:t>
                  </w: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040103001001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填方</w:t>
                  </w:r>
                  <w:r>
                    <w:br/>
                  </w:r>
                  <w:r>
                    <w:rPr>
                      <w:rFonts w:ascii="仿宋_GB2312" w:hAnsi="仿宋_GB2312" w:cs="仿宋_GB2312" w:eastAsia="仿宋_GB2312"/>
                      <w:sz w:val="19"/>
                      <w:color w:val="000000"/>
                    </w:rPr>
                    <w:t xml:space="preserve"> 回填3:7灰土</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67.5</w:t>
                  </w: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040101002001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挖沟槽土方</w:t>
                  </w:r>
                  <w:r>
                    <w:br/>
                  </w:r>
                  <w:r>
                    <w:rPr>
                      <w:rFonts w:ascii="仿宋_GB2312" w:hAnsi="仿宋_GB2312" w:cs="仿宋_GB2312" w:eastAsia="仿宋_GB2312"/>
                      <w:sz w:val="19"/>
                      <w:color w:val="000000"/>
                    </w:rPr>
                    <w:t xml:space="preserve"> 人工挖沟槽土方长30m*宽1.5m*高1.5m</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67.5</w:t>
                  </w: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040103002001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余方弃置</w:t>
                  </w:r>
                  <w:r>
                    <w:br/>
                  </w:r>
                  <w:r>
                    <w:rPr>
                      <w:rFonts w:ascii="仿宋_GB2312" w:hAnsi="仿宋_GB2312" w:cs="仿宋_GB2312" w:eastAsia="仿宋_GB2312"/>
                      <w:sz w:val="19"/>
                      <w:color w:val="000000"/>
                    </w:rPr>
                    <w:t xml:space="preserve"> 渣土汽运15km</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129.5</w:t>
                  </w: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040501006001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塑料管道铺设</w:t>
                  </w:r>
                  <w:r>
                    <w:br/>
                  </w:r>
                  <w:r>
                    <w:rPr>
                      <w:rFonts w:ascii="仿宋_GB2312" w:hAnsi="仿宋_GB2312" w:cs="仿宋_GB2312" w:eastAsia="仿宋_GB2312"/>
                      <w:sz w:val="19"/>
                      <w:color w:val="000000"/>
                    </w:rPr>
                    <w:t xml:space="preserve"> 污水管PVC DN110</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30</w:t>
                  </w: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040504001001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砌筑污水检查井</w:t>
                  </w:r>
                  <w:r>
                    <w:br/>
                  </w:r>
                  <w:r>
                    <w:rPr>
                      <w:rFonts w:ascii="仿宋_GB2312" w:hAnsi="仿宋_GB2312" w:cs="仿宋_GB2312" w:eastAsia="仿宋_GB2312"/>
                      <w:sz w:val="19"/>
                      <w:color w:val="000000"/>
                    </w:rPr>
                    <w:t xml:space="preserve"> 1.材料:砖砌</w:t>
                  </w:r>
                  <w:r>
                    <w:br/>
                  </w:r>
                  <w:r>
                    <w:rPr>
                      <w:rFonts w:ascii="仿宋_GB2312" w:hAnsi="仿宋_GB2312" w:cs="仿宋_GB2312" w:eastAsia="仿宋_GB2312"/>
                      <w:sz w:val="19"/>
                      <w:color w:val="000000"/>
                    </w:rPr>
                    <w:t xml:space="preserve"> 2.井深、尺寸:直径1200mm深2400mm</w:t>
                  </w:r>
                  <w:r>
                    <w:br/>
                  </w:r>
                  <w:r>
                    <w:rPr>
                      <w:rFonts w:ascii="仿宋_GB2312" w:hAnsi="仿宋_GB2312" w:cs="仿宋_GB2312" w:eastAsia="仿宋_GB2312"/>
                      <w:sz w:val="19"/>
                      <w:color w:val="000000"/>
                    </w:rPr>
                    <w:t xml:space="preserve"> 3.垫层、基础:厚度、材料品种、强度:C30</w:t>
                  </w:r>
                  <w:r>
                    <w:br/>
                  </w:r>
                  <w:r>
                    <w:rPr>
                      <w:rFonts w:ascii="仿宋_GB2312" w:hAnsi="仿宋_GB2312" w:cs="仿宋_GB2312" w:eastAsia="仿宋_GB2312"/>
                      <w:sz w:val="19"/>
                      <w:color w:val="000000"/>
                    </w:rPr>
                    <w:t xml:space="preserve"> 4.井盖</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座</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23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CB001</w:t>
                  </w:r>
                </w:p>
              </w:tc>
              <w:tc>
                <w:tcPr>
                  <w:tcW w:type="dxa" w:w="11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成品雨水槽</w:t>
                  </w:r>
                  <w:r>
                    <w:br/>
                  </w:r>
                  <w:r>
                    <w:rPr>
                      <w:rFonts w:ascii="仿宋_GB2312" w:hAnsi="仿宋_GB2312" w:cs="仿宋_GB2312" w:eastAsia="仿宋_GB2312"/>
                      <w:sz w:val="19"/>
                      <w:color w:val="000000"/>
                    </w:rPr>
                    <w:t xml:space="preserve"> 1.槽宽30cm、深30cm</w:t>
                  </w:r>
                  <w:r>
                    <w:br/>
                  </w:r>
                  <w:r>
                    <w:rPr>
                      <w:rFonts w:ascii="仿宋_GB2312" w:hAnsi="仿宋_GB2312" w:cs="仿宋_GB2312" w:eastAsia="仿宋_GB2312"/>
                      <w:sz w:val="19"/>
                      <w:color w:val="000000"/>
                    </w:rPr>
                    <w:t xml:space="preserve"> 2.箅子</w:t>
                  </w:r>
                </w:p>
              </w:tc>
              <w:tc>
                <w:tcPr>
                  <w:tcW w:type="dxa" w:w="26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4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150</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符合国家行业技术规范标准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提供具有财务审计资质单位出具的近一年年度的 财务审计报告（至少包括资产负债表、利润表、 现金流量表、所有者权益变动表及其附注）；成 立时间至磋商响应文件递交截止时间不足一年的 ，可提供成立后任意时段的资产负债表或其磋商 响应文件递交截止时间前三个月内基本存款账户 开户银行出具的资信证明。供应商需在项目电子 化交易系统中按要求上传相应证明文件并进行电 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本采购包专门面向小微企业采购</w:t>
            </w:r>
          </w:p>
        </w:tc>
        <w:tc>
          <w:tcPr>
            <w:tcW w:type="dxa" w:w="3322"/>
          </w:tcPr>
          <w:p>
            <w:pPr>
              <w:pStyle w:val="null3"/>
            </w:pPr>
            <w:r>
              <w:rPr>
                <w:rFonts w:ascii="仿宋_GB2312" w:hAnsi="仿宋_GB2312" w:cs="仿宋_GB2312" w:eastAsia="仿宋_GB2312"/>
              </w:rPr>
              <w:t>本项目专门面向小微企业采购。投标人应填写《中小企业声明函（工程、服务）》，本项目面向小微企业总体预留比例为 100 % 。</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有效的主体资格证明文件</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供应商应提交的相关资格证明材料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提供近一年年度至递交磋商响应文件截止时间已缴存的至少三个月的社会保障资金银行缴存单据或社保机构开具的社会保险参保缴费情况证明，依法不需要缴纳社会保障资金的提供相关证明材料。</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提供近一年年度至递交磋商响应文件截止时间已缴纳的至少三个月的纳税证明（银行缴费凭证）或完税证明，依法免税的提供相关证明材料。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供应商须具有建筑工程施工总承包三级及以上资质。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拟派项目负责人专业及资质要求</w:t>
            </w:r>
          </w:p>
        </w:tc>
        <w:tc>
          <w:tcPr>
            <w:tcW w:type="dxa" w:w="3322"/>
          </w:tcPr>
          <w:p>
            <w:pPr>
              <w:pStyle w:val="null3"/>
            </w:pPr>
            <w:r>
              <w:rPr>
                <w:rFonts w:ascii="仿宋_GB2312" w:hAnsi="仿宋_GB2312" w:cs="仿宋_GB2312" w:eastAsia="仿宋_GB2312"/>
              </w:rPr>
              <w:t>拟派本项目负责人的建造师注册证书（具备建筑工程二级及以上资格）、安全生产考核合格证书（B证）及近一年年度至递交磋商响应文件截止时间在本单位至少三个月的社会保障资金银行缴存单据或社保机构开具的社会保险参保缴费情况证明，且无在建项目［须通过“陕西省建筑市场监管与诚信信息发布平台”（http://jzscyth.shaanxi.gov.cn:7001/PDR/network/credit/home）查询（查询日期为从磋商公告发布之日起至磋商响应文件递交截止时间前，以网页截图加盖供应商公章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 10.承诺</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9.有完全理解并接受磋商文件合同基本条款要求的描述。10.理解并承诺</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施工方案全面、合理，施工方法先进，可行性强，完全满足工程施工要求的得15分； 施工方案较完整、合理，施工方案有针对性且可行，满足工程施工要求的得12分； 施工方案存在部分不完整，施工方法针对本项目基本可行的得8分； 提供的施工方案不完整，施工方法针对本项目不可行的得3分； 未提供或明显不合理的不得分。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有清晰合理的工期计划措施，实施进度安排合理，可行性强，具有详细明确的实施进度计划表，能够确保工程如期保质完成的得5分； 进度安排合理，有一定的可行性，实施进度计划基本明确的能够基本保证项目如期完成的得3分； 进度安排合理性、可行性均较差的得1分； 未提供或不能保证项目如期完成的不得分。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确保文明施工、环境保护的组织措施</w:t>
            </w:r>
          </w:p>
        </w:tc>
        <w:tc>
          <w:tcPr>
            <w:tcW w:type="dxa" w:w="2492"/>
          </w:tcPr>
          <w:p>
            <w:pPr>
              <w:pStyle w:val="null3"/>
            </w:pPr>
            <w:r>
              <w:rPr>
                <w:rFonts w:ascii="仿宋_GB2312" w:hAnsi="仿宋_GB2312" w:cs="仿宋_GB2312" w:eastAsia="仿宋_GB2312"/>
              </w:rPr>
              <w:t>措施全面、完整，能从多方面确保文明施工、考虑影响环境得因素，并提出相关解决和防治措施，实施度高、可落地性强，可确保达到环境保护的要求得5分； 措施基本全面、完整，基本有一定的可行性，能基本满足文明施工、环境保护要求的得3分 措施存在较大不合理性、内容简单的得1分；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安全生产保证措施</w:t>
            </w:r>
          </w:p>
        </w:tc>
        <w:tc>
          <w:tcPr>
            <w:tcW w:type="dxa" w:w="2492"/>
          </w:tcPr>
          <w:p>
            <w:pPr>
              <w:pStyle w:val="null3"/>
            </w:pPr>
            <w:r>
              <w:rPr>
                <w:rFonts w:ascii="仿宋_GB2312" w:hAnsi="仿宋_GB2312" w:cs="仿宋_GB2312" w:eastAsia="仿宋_GB2312"/>
              </w:rPr>
              <w:t>措施完整全面，能够从多方面保证安全生产，且合理性、可行性强的得5分； 措施基本完整全面，能从多个方面确保安全生产，基本合理、可行的得3分； 措施不完整、全面，但有一定的可行性的得1分；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可能出现的问题及重大故障，（包括但不限于因施工造成的水、电、通信的中断抢修、恶劣天气、人为因素等情况）分析全面，应急措施和解决方案具有完全全面的分析，应急措施和解决方案合理和完全可行的得10分； 针对本项目可能出现的问题及重大故障有全面的分析，应急措施和解决方案合理可行的得8分； 针对本项目可能出现的问题及重大故障有得基本全面的分析，应急措施和解决方案基本合理可行的得5分； 针对本项目可能出现的问题及重大故障有分析，但分析不全面，应急措施和解决方案部分不合理可行的得3分； 未提供或存在明显不合理的不得分。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新技术、新产品、新工艺、新材料应用方案合理、可行、科学、符合项目实施需求合理的得5分； 新技术、新产品、新工艺、新材料应用方案较合理、较可行、较符合项目实施需求的得3分； 新技术、新产品、新工艺、新材料应用方案较差的，表达不明确、不清晰、较混乱的得1分；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投入本项目机械设备及劳动力安排</w:t>
            </w:r>
          </w:p>
        </w:tc>
        <w:tc>
          <w:tcPr>
            <w:tcW w:type="dxa" w:w="2492"/>
          </w:tcPr>
          <w:p>
            <w:pPr>
              <w:pStyle w:val="null3"/>
            </w:pPr>
            <w:r>
              <w:rPr>
                <w:rFonts w:ascii="仿宋_GB2312" w:hAnsi="仿宋_GB2312" w:cs="仿宋_GB2312" w:eastAsia="仿宋_GB2312"/>
              </w:rPr>
              <w:t>机械配备投入合理且数量充足、投入计划紧贴项目进度，劳动力安排合理，可操作性强，能够确保项目如期保质完成的得5分； 机械配备投入计划基本合理，基本与项目进度匹配，劳动力数量基本合理，计划表基本清晰、可行，能保证项目建设进度的得3分； 机械配备投入数量存在部分不合理，与项目建设进度匹配度较差，劳动力数量存在部分不合理，计划表不清晰、可行性较差的得1分；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施工组织及项目管理设置合理、全面。对工程项目的实施具有有效地计划、组织、协调、控制，针对性强、可行性强，能完全确保实现项目的管理目标的得10分； 施工组织及项目管理设置合理、全面。对工程项目的实施具有一定的计划、组织、协调、控制效果，有一定的合理性和可行性的得6分； 施工组织及项目管理设置基本全面、合理，基本能确保实现项目管理目标的得3分； 未提供或安排不合理，达不到管理目标的不得分。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提供近三年（2022年1月1日及以后）同类项目业绩，1个计5分，最高计10分。（需附合同或中标通知书）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质量承诺</w:t>
            </w:r>
          </w:p>
        </w:tc>
        <w:tc>
          <w:tcPr>
            <w:tcW w:type="dxa" w:w="2492"/>
          </w:tcPr>
          <w:p>
            <w:pPr>
              <w:pStyle w:val="null3"/>
            </w:pPr>
            <w:r>
              <w:rPr>
                <w:rFonts w:ascii="仿宋_GB2312" w:hAnsi="仿宋_GB2312" w:cs="仿宋_GB2312" w:eastAsia="仿宋_GB2312"/>
              </w:rPr>
              <w:t>响应供应商对工期时限、工程质量及进度、实施过程中沟通、协调及管理方案等内容作出承诺： 承诺全面且从多个角度明确地做出承诺、有可行性且满足项目需求的得10分； 承诺较不全面但对承诺内容有可行性的6分； 承诺简单、不全面且承诺中存在较大不合理性的得3分；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1.本次磋商设最高投标限价（采购预算）。供应商的磋商报价超过最高投标限价的视为废标，不再参与下一步评审。 2、采用低价优先法计算，未超出财政预算，实质性满足磋商文件要求且最后报价最低的报价为磋商基准价，其价格分为满分20分。其它供应商的价格分统一按照下列公式计算：磋商报价得分=（磋商基准价/最后磋商报价）×价格分值×100%。 3、磋商报价不完整的，不进入评标基准价的计算，本项得0分。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