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版本号：YYZFCG竞争性磋商（2025）73号20250902002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马合镇农牧服务站维修改造项目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YYZFCG竞争性磋商（2025）73号</w:t>
      </w:r>
      <w:r>
        <w:br/>
      </w:r>
      <w:r>
        <w:br/>
      </w:r>
      <w:r>
        <w:br/>
      </w:r>
    </w:p>
    <w:p>
      <w:pPr>
        <w:pStyle w:val="null3"/>
        <w:jc w:val="center"/>
        <w:outlineLvl w:val="2"/>
      </w:pPr>
      <w:r>
        <w:rPr>
          <w:rFonts w:ascii="仿宋_GB2312" w:hAnsi="仿宋_GB2312" w:cs="仿宋_GB2312" w:eastAsia="仿宋_GB2312"/>
          <w:sz w:val="28"/>
          <w:b/>
        </w:rPr>
        <w:t>榆阳区马合镇人民政府</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榆阳区马合镇人民政府</w:t>
      </w:r>
      <w:r>
        <w:rPr>
          <w:rFonts w:ascii="仿宋_GB2312" w:hAnsi="仿宋_GB2312" w:cs="仿宋_GB2312" w:eastAsia="仿宋_GB2312"/>
        </w:rPr>
        <w:t>委托，拟对</w:t>
      </w:r>
      <w:r>
        <w:rPr>
          <w:rFonts w:ascii="仿宋_GB2312" w:hAnsi="仿宋_GB2312" w:cs="仿宋_GB2312" w:eastAsia="仿宋_GB2312"/>
        </w:rPr>
        <w:t>马合镇农牧服务站维修改造项目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YYZFCG竞争性磋商（2025）73号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马合镇农牧服务站维修改造项目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马合镇农牧站维修改造工程： 涉及改造为一层内装、室内楼梯改造、屋面排水维修、室外围墙改造、大门改造内容。一层地暖改造；一层设备动力配电改造。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采购包1（马合镇农牧服务站维修改造项目）：属于专门面向小微企业采购。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1、有效的主体资格证明：供应商为响应招标并参加投标的合法注册的企业法人、事业法人或其他组织。企业法人应提供合法有效的标识有统一社会信用代码的营业执 照副本:事业法人应提供事业单位法人证书:其他组织应提供国家规定合法登记证明文件</w:t>
      </w:r>
    </w:p>
    <w:p>
      <w:pPr>
        <w:pStyle w:val="null3"/>
      </w:pPr>
      <w:r>
        <w:rPr>
          <w:rFonts w:ascii="仿宋_GB2312" w:hAnsi="仿宋_GB2312" w:cs="仿宋_GB2312" w:eastAsia="仿宋_GB2312"/>
        </w:rPr>
        <w:t>2、法定代表人委托授权书：供应商应授权合法的人员参加投标全过程，其中法定代表人/负责人直接投标，须提交法定代表人/负责人身份证明书和身份证。法定代表人，负责人授权代表参加投标的，须出具法定代表人/负贵人授权书及授权代表身份证。</w:t>
      </w:r>
    </w:p>
    <w:p>
      <w:pPr>
        <w:pStyle w:val="null3"/>
      </w:pPr>
      <w:r>
        <w:rPr>
          <w:rFonts w:ascii="仿宋_GB2312" w:hAnsi="仿宋_GB2312" w:cs="仿宋_GB2312" w:eastAsia="仿宋_GB2312"/>
        </w:rPr>
        <w:t>3、商业信用：供应商应具备良好的商业信当，提供参加政府采购活动前3年内在经营活动中没有重大违法记录的书面声明；须通过“信用中国”网站(wwv.creditchina.gov.cn)和中国政府采购网(wnwnw.ccgP·gov.cn)查询相关主体信用记录(查询日期为从招标文件发公告之日起至投标截止日以网页截图加盖投标人公章为准。对列入失信被执行人、重大税收违法案件当事人名单、政府采购严重违法失信行为记录名单及其他重大违法记录，不符合《中华人民共和国政府采购法》第二十二条规定条件的将拒绝其参与政府采购活动。</w:t>
      </w:r>
    </w:p>
    <w:p>
      <w:pPr>
        <w:pStyle w:val="null3"/>
      </w:pPr>
      <w:r>
        <w:rPr>
          <w:rFonts w:ascii="仿宋_GB2312" w:hAnsi="仿宋_GB2312" w:cs="仿宋_GB2312" w:eastAsia="仿宋_GB2312"/>
        </w:rPr>
        <w:t>4、资质要求：①投标供应商须具备建筑工程施工总承包二级及以上资质。②投标供应商须具备有效的安全生产许可证，③拟派往本项目的建造师必须为本单位的注册人员且具备建筑工程专业二级及以上建造师资格，具备住房和城乡建设主管部门颁发的安全生产考核合格证书(B证)，未担任其他在建工程的项目经理(无在建承诺书)，且本企业近一个月可查询的养老保险缴费证明:</w:t>
      </w:r>
    </w:p>
    <w:p>
      <w:pPr>
        <w:pStyle w:val="null3"/>
      </w:pPr>
      <w:r>
        <w:rPr>
          <w:rFonts w:ascii="仿宋_GB2312" w:hAnsi="仿宋_GB2312" w:cs="仿宋_GB2312" w:eastAsia="仿宋_GB2312"/>
        </w:rPr>
        <w:t>5、税收缴纳证明：供应商提供上一年度至开标前已缴纳的至少一个月的纳税证明或完税证明，纳税证明或完税证明上应有代收机构或税务机关的公章。依法免税的供应商应提供相关文件证明。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社会保障资金缴纳证明：供应商提供上一年度至开标前已缴存的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7、本项目全部面向小微企业采购：本项目全部面向小微企业采购，投标人应填写《中小企业声明函》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榆阳区马合镇人民政府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榆阳区马合镇东马合村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榆阳区马合镇人民政府经办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17791134534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艾先聪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18629388603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采购包1：244,813.90元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榆阳区马合镇人民政府</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榆阳区马合镇人民政府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榆阳区马合镇人民政府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按照合同要求履行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联系人：榆阳区政府采购中心</w:t>
      </w:r>
    </w:p>
    <w:p>
      <w:pPr>
        <w:pStyle w:val="null3"/>
      </w:pPr>
      <w:r>
        <w:rPr>
          <w:rFonts w:ascii="仿宋_GB2312" w:hAnsi="仿宋_GB2312" w:cs="仿宋_GB2312" w:eastAsia="仿宋_GB2312"/>
        </w:rPr>
        <w:t>联系电话：0912-3518917</w:t>
      </w:r>
    </w:p>
    <w:p>
      <w:pPr>
        <w:pStyle w:val="null3"/>
      </w:pPr>
      <w:r>
        <w:rPr>
          <w:rFonts w:ascii="仿宋_GB2312" w:hAnsi="仿宋_GB2312" w:cs="仿宋_GB2312" w:eastAsia="仿宋_GB2312"/>
        </w:rPr>
        <w:t>地址：榆阳区政务服务中心325室</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244,813.90</w:t>
      </w:r>
    </w:p>
    <w:p>
      <w:pPr>
        <w:pStyle w:val="null3"/>
      </w:pPr>
      <w:r>
        <w:rPr>
          <w:rFonts w:ascii="仿宋_GB2312" w:hAnsi="仿宋_GB2312" w:cs="仿宋_GB2312" w:eastAsia="仿宋_GB2312"/>
        </w:rPr>
        <w:t>采购包最高限价（元）: 244,813.90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农牧站维修改造项目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244,813.90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标的名称：农牧站维修改造项目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马合镇农牧站维修改造工程所涉及的改造内容的施工质量需满足相关规范要求，质量要求：合格。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符合国家行业技术规范标准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财务审计报告；（公司成立不足三年的需提供已出年份的审计报告，成立不足一年的提供任意三个月的资产负债表、利润表、现金流量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 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贵人授权书及授权代表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当，提供参加政府采购活动前3年内在经营活动中没有重大违法记录的书面声明；须通过“信用中国”网站(wwv.creditchina.gov.cn)和中国政府采购网(wnwnw.ccgP·gov.cn)查询相关主体信用记录(查询日期为从招标文件发公告之日起至投标截止日以网页截图加盖投标人公章为准。对列入失信被执行人、重大税收违法案件当事人名单、政府采购严重违法失信行为记录名单及其他重大违法记录，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①投标供应商须具备建筑工程施工总承包二级及以上资质。②投标供应商须具备有效的安全生产许可证，③拟派往本项目的建造师必须为本单位的注册人员且具备建筑工程专业二级及以上建造师资格，具备住房和城乡建设主管部门颁发的安全生产考核合格证书(B证)，未担任其他在建工程的项目经理(无在建承诺书)，且本企业近一个月可查询的养老保险缴费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供应商提供上一年度至开标前已缴纳的至少一个月的纳税证明或完税证明，纳税证明或完税证明上应有代收机构或税务机关的公章。依法免税的供应商应提供相关文件证明。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供应商提供上一年度至开标前已缴存的至少一个月的社会保障资金缴存单据或社保机构开具的社会保险参保缴费情况证明。依法不需要缴纳社会保障资金的供应商应提供相关文件证明。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本项目全部面向小微企业采购</w:t>
            </w:r>
          </w:p>
        </w:tc>
        <w:tc>
          <w:tcPr>
            <w:tcW w:type="dxa" w:w="3322"/>
          </w:tcPr>
          <w:p>
            <w:pPr>
              <w:pStyle w:val="null3"/>
            </w:pPr>
            <w:r>
              <w:rPr>
                <w:rFonts w:ascii="仿宋_GB2312" w:hAnsi="仿宋_GB2312" w:cs="仿宋_GB2312" w:eastAsia="仿宋_GB2312"/>
              </w:rPr>
              <w:t>本项目全部面向小微企业采购，投标人应填写《中小企业声明函》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 10.承诺</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9.有完全理解并接受磋商文件合同基本条款要求的描述。10.理解并作出承诺</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法定代表人授权委托书.docx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技术评审项：质量管理的技术措施</w:t>
            </w:r>
          </w:p>
        </w:tc>
        <w:tc>
          <w:tcPr>
            <w:tcW w:type="dxa" w:w="2492"/>
          </w:tcPr>
          <w:p>
            <w:pPr>
              <w:pStyle w:val="null3"/>
            </w:pPr>
            <w:r>
              <w:rPr>
                <w:rFonts w:ascii="仿宋_GB2312" w:hAnsi="仿宋_GB2312" w:cs="仿宋_GB2312" w:eastAsia="仿宋_GB2312"/>
              </w:rPr>
              <w:t>针对质量控制主要节点（不限于防水层施工、结构加固、水电改造等），有详细技术措施得6分； 不完整、不详细得3分； 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技术评审项：确保安全生产保证措施</w:t>
            </w:r>
          </w:p>
        </w:tc>
        <w:tc>
          <w:tcPr>
            <w:tcW w:type="dxa" w:w="2492"/>
          </w:tcPr>
          <w:p>
            <w:pPr>
              <w:pStyle w:val="null3"/>
            </w:pPr>
            <w:r>
              <w:rPr>
                <w:rFonts w:ascii="仿宋_GB2312" w:hAnsi="仿宋_GB2312" w:cs="仿宋_GB2312" w:eastAsia="仿宋_GB2312"/>
              </w:rPr>
              <w:t xml:space="preserve"> 措施完整全面，能够从多方面保证安全生产，且合理性、可行。其中： 1.有明确的安全管理人员和责任管理制度得2分； 2.有详细的维修的风险安全措施（如老旧瓷砖坠落、人行安全通道防护等）得2分； 3.有必要的安全设施设备（包括但不限于安全帽、安全带、护栏等，并设置清晰的安全警示牌）得1分； 4.有完整的针对本维修工程的安全交底得1分； 以上不完整、不详细，没有针对性不得分。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技术评审项：确保工期的技术组织措施</w:t>
            </w:r>
          </w:p>
        </w:tc>
        <w:tc>
          <w:tcPr>
            <w:tcW w:type="dxa" w:w="2492"/>
          </w:tcPr>
          <w:p>
            <w:pPr>
              <w:pStyle w:val="null3"/>
            </w:pPr>
            <w:r>
              <w:rPr>
                <w:rFonts w:ascii="仿宋_GB2312" w:hAnsi="仿宋_GB2312" w:cs="仿宋_GB2312" w:eastAsia="仿宋_GB2312"/>
              </w:rPr>
              <w:t>有清晰合理的工期计划措施，实施进度安排合理，可行性强，具有详细明确的实施进度计划表，能够确保工程如期保质完成的得5分； 进度安排合理，有一定的可行性，实施进度计划基本明确的能够基本保证项目如期完成的得3分； 进度安排合理性、可行性均较差的得1分； 未提供或不能保证项目如期完成的不得分。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技术评审项：资源配置计划</w:t>
            </w:r>
          </w:p>
        </w:tc>
        <w:tc>
          <w:tcPr>
            <w:tcW w:type="dxa" w:w="2492"/>
          </w:tcPr>
          <w:p>
            <w:pPr>
              <w:pStyle w:val="null3"/>
            </w:pPr>
            <w:r>
              <w:rPr>
                <w:rFonts w:ascii="仿宋_GB2312" w:hAnsi="仿宋_GB2312" w:cs="仿宋_GB2312" w:eastAsia="仿宋_GB2312"/>
              </w:rPr>
              <w:t>针对性强、可行性强，施工组织及项目管理设置合理、全面。对工程项目的实施具有完整的计划、组织、协调、控制效果，能完全确保实现项目的管理目标，其中： 1.主要设备机械表完善并符合本项目维修所需要得2分，不完善的得1分； 2.劳动力计划表工种安排详、协调、控制效果安排科学合理得2分，不完善的得1分。 3.未提供或明显不符合本项目施工内容的不得分。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技术评审项：保修方案</w:t>
            </w:r>
          </w:p>
        </w:tc>
        <w:tc>
          <w:tcPr>
            <w:tcW w:type="dxa" w:w="2492"/>
          </w:tcPr>
          <w:p>
            <w:pPr>
              <w:pStyle w:val="null3"/>
            </w:pPr>
            <w:r>
              <w:rPr>
                <w:rFonts w:ascii="仿宋_GB2312" w:hAnsi="仿宋_GB2312" w:cs="仿宋_GB2312" w:eastAsia="仿宋_GB2312"/>
              </w:rPr>
              <w:t>结合本项目实际，供应商依据国家相关规定对工程质量编制保修方案，内容包含但不限于保修范围、维修费用、保修人员配备和服务措施以及响应时间等，其中： 1.方案内容全面完整，切合项目具体情况，提出责任明确、要求具体的方案，内容紧扣项目实际，科学合理的得5分。 2.方案内容全面完整，切合项目具体情况，提出责任明确、要求具体的方案，内容未能紧扣项目实际，不科学的得3分。 3.方案内容完整，未切合项目具体情况，责任不明确、要求不具体，内容未能紧扣项目实际，不科学的得1分。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技术评审项：质量承诺</w:t>
            </w:r>
          </w:p>
        </w:tc>
        <w:tc>
          <w:tcPr>
            <w:tcW w:type="dxa" w:w="2492"/>
          </w:tcPr>
          <w:p>
            <w:pPr>
              <w:pStyle w:val="null3"/>
            </w:pPr>
            <w:r>
              <w:rPr>
                <w:rFonts w:ascii="仿宋_GB2312" w:hAnsi="仿宋_GB2312" w:cs="仿宋_GB2312" w:eastAsia="仿宋_GB2312"/>
              </w:rPr>
              <w:t>供应商对工期时限、工程质量及进度、实施过程中沟通、协调及管理方案等内容作出质量承诺书： 承诺书内容全面、且从多个角度明确地做出承诺的得4分； 承诺书简单、不全面得2分；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技术评审项：施工方案</w:t>
            </w:r>
          </w:p>
        </w:tc>
        <w:tc>
          <w:tcPr>
            <w:tcW w:type="dxa" w:w="2492"/>
          </w:tcPr>
          <w:p>
            <w:pPr>
              <w:pStyle w:val="null3"/>
            </w:pPr>
            <w:r>
              <w:rPr>
                <w:rFonts w:ascii="仿宋_GB2312" w:hAnsi="仿宋_GB2312" w:cs="仿宋_GB2312" w:eastAsia="仿宋_GB2312"/>
              </w:rPr>
              <w:t>施工方案全面、合理，可行性强，满足本项目维修内容。其中： 1.有本项目施工关键内容的具体施工方法得6分；不详细、不完整得3分。 2.主要施工内容有详细的施工工序安排得5分；不详细得3分。 3.针对本次维修的难点有详细方案描述的得5分；不详细、不完整得2分 4.有工完场清、有成品保护等内容描述得4分；不详细得2分。 5.施工方案明显不符合本项目施工内容的不得分。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技术评审项：确保安全生产和文明施工的技术组织措施</w:t>
            </w:r>
          </w:p>
        </w:tc>
        <w:tc>
          <w:tcPr>
            <w:tcW w:type="dxa" w:w="2492"/>
          </w:tcPr>
          <w:p>
            <w:pPr>
              <w:pStyle w:val="null3"/>
            </w:pPr>
            <w:r>
              <w:rPr>
                <w:rFonts w:ascii="仿宋_GB2312" w:hAnsi="仿宋_GB2312" w:cs="仿宋_GB2312" w:eastAsia="仿宋_GB2312"/>
              </w:rPr>
              <w:t>措施全面、完整，能从多方面确保文明施工、并提出相关解决和防治措施（不限于对减少灰尘、控制噪音等方面）可达到环境保护要求的得6分； 措施基本全面、有一定的可行性，能基本满足文明施工等环境保护要求的得4分； 措施存在较大不合理性、内容简单、没有针对性的简单的得2分；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技术评审项：确保本项目可能出现的问题及重大故障有详细分析及应对措施</w:t>
            </w:r>
          </w:p>
        </w:tc>
        <w:tc>
          <w:tcPr>
            <w:tcW w:type="dxa" w:w="2492"/>
          </w:tcPr>
          <w:p>
            <w:pPr>
              <w:pStyle w:val="null3"/>
            </w:pPr>
            <w:r>
              <w:rPr>
                <w:rFonts w:ascii="仿宋_GB2312" w:hAnsi="仿宋_GB2312" w:cs="仿宋_GB2312" w:eastAsia="仿宋_GB2312"/>
              </w:rPr>
              <w:t>针对本项目可能出现的问题及重大故障有详细分析，（包括但不限于因施工造成的水、电、通信的中断抢修及人为因素等情况）分析全面，应急措施和解决方案具有全面的分析，应急措施和解决方案较强合理性和可行性的得4分； 针对本项目可能出现的问题及重大故障有基本全面的分析，但没有针对性的得2分； 未提供或明显不符合本项目施工内容的的不得分。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技术评审项：确保新技术、新产品、新材料应用方案合理、可行</w:t>
            </w:r>
          </w:p>
        </w:tc>
        <w:tc>
          <w:tcPr>
            <w:tcW w:type="dxa" w:w="2492"/>
          </w:tcPr>
          <w:p>
            <w:pPr>
              <w:pStyle w:val="null3"/>
            </w:pPr>
            <w:r>
              <w:rPr>
                <w:rFonts w:ascii="仿宋_GB2312" w:hAnsi="仿宋_GB2312" w:cs="仿宋_GB2312" w:eastAsia="仿宋_GB2312"/>
              </w:rPr>
              <w:t>新技术、新产品、新工艺、新材料应用方案合理、可行、科学。其中： 每提出1项适合本维修工程的新技术或工艺，并说明其优点得2分，最高6分，未提供或明显不符合本项目施工内容的的不得分。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技术评审项：主要材料</w:t>
            </w:r>
          </w:p>
        </w:tc>
        <w:tc>
          <w:tcPr>
            <w:tcW w:type="dxa" w:w="2492"/>
          </w:tcPr>
          <w:p>
            <w:pPr>
              <w:pStyle w:val="null3"/>
            </w:pPr>
            <w:r>
              <w:rPr>
                <w:rFonts w:ascii="仿宋_GB2312" w:hAnsi="仿宋_GB2312" w:cs="仿宋_GB2312" w:eastAsia="仿宋_GB2312"/>
              </w:rPr>
              <w:t>所提供主要材料应有国家认可的环保产品证明文件（如绿色建材认证等），每提供一种得0.5分，最多得2分，未提供或明显不符合本项目施工内容的不得分。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技术评审项：人员组织</w:t>
            </w:r>
          </w:p>
        </w:tc>
        <w:tc>
          <w:tcPr>
            <w:tcW w:type="dxa" w:w="2492"/>
          </w:tcPr>
          <w:p>
            <w:pPr>
              <w:pStyle w:val="null3"/>
            </w:pPr>
            <w:r>
              <w:rPr>
                <w:rFonts w:ascii="仿宋_GB2312" w:hAnsi="仿宋_GB2312" w:cs="仿宋_GB2312" w:eastAsia="仿宋_GB2312"/>
              </w:rPr>
              <w:t>除项目经理和安全员外，每多提供1人得1分（包括且不限于施工员，质量员，材料员等），所有人员需提供身份证、岗位证、毕业证、职称等相关证明文件，最高得6分，未提供不得分。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商务评审项：同类业绩</w:t>
            </w:r>
          </w:p>
        </w:tc>
        <w:tc>
          <w:tcPr>
            <w:tcW w:type="dxa" w:w="2492"/>
          </w:tcPr>
          <w:p>
            <w:pPr>
              <w:pStyle w:val="null3"/>
            </w:pPr>
            <w:r>
              <w:rPr>
                <w:rFonts w:ascii="仿宋_GB2312" w:hAnsi="仿宋_GB2312" w:cs="仿宋_GB2312" w:eastAsia="仿宋_GB2312"/>
              </w:rPr>
              <w:t>提供近五年（2020年1月1日至今）同类项目业绩，1个业绩计3分，最高计6分。需附合同复印件（须提供合同首页、签字盖章页、合同内容页），所提供业绩以合同签订时间为准。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1.本次磋商设最高投标限价（采购预算）。供应商的磋商报价超过最高投标限价的视为废标，不再参与下一步评审。 2.采用低价优先法计算，未超出财政预算，实质性满足磋商文件要求且最后报价最低的报价为磋商基准价，其价格分为满分20分。其它供应商的价格分统一按照下列公式计算：磋商报价得分=（磋商基准价/最后磋商报价）×价格分值×100%。 3.磋商报价不完整的，不进入评标基准价的计算，本项得0分。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