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版本号：YYZFCG竞争性磋商（2025）110号20250915001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特殊教育学校活动场地维修改造项目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YYZFCG竞争性磋商（2025）110号</w:t>
      </w:r>
      <w:r>
        <w:br/>
      </w:r>
      <w:r>
        <w:br/>
      </w:r>
      <w:r>
        <w:br/>
      </w:r>
    </w:p>
    <w:p>
      <w:pPr>
        <w:pStyle w:val="null3"/>
        <w:jc w:val="center"/>
        <w:outlineLvl w:val="2"/>
      </w:pPr>
      <w:r>
        <w:rPr>
          <w:rFonts w:ascii="仿宋_GB2312" w:hAnsi="仿宋_GB2312" w:cs="仿宋_GB2312" w:eastAsia="仿宋_GB2312"/>
          <w:sz w:val="28"/>
          <w:b/>
        </w:rPr>
        <w:t>榆林市特殊教育学校</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榆林市特殊教育学校</w:t>
      </w:r>
      <w:r>
        <w:rPr>
          <w:rFonts w:ascii="仿宋_GB2312" w:hAnsi="仿宋_GB2312" w:cs="仿宋_GB2312" w:eastAsia="仿宋_GB2312"/>
        </w:rPr>
        <w:t>委托，拟对</w:t>
      </w:r>
      <w:r>
        <w:rPr>
          <w:rFonts w:ascii="仿宋_GB2312" w:hAnsi="仿宋_GB2312" w:cs="仿宋_GB2312" w:eastAsia="仿宋_GB2312"/>
        </w:rPr>
        <w:t>特殊教育学校活动场地维修改造项目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YYZFCG竞争性磋商（2025）110号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特殊教育学校活动场地维修改造项目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特殊教育学校活动场地维修改造项目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采购包1（榆林市特殊教育学校活动场地维修改造项目）：属于专门面向小微企业采购。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财务状况报告：提供具有财务审计资质单位出具的近一年度的财务审计报告（至少包括资产负债表、利润表、现金流量表、所有者权益变动表及其附注）；成立时间至磋商响应文件递交截止时间不足一年的，可提供成立后任意时段的资产负债表或其磋商响应文件递交截止时间前三个月内基本存款账户开户银行出具的资信证明。</w:t>
      </w:r>
    </w:p>
    <w:p>
      <w:pPr>
        <w:pStyle w:val="null3"/>
      </w:pPr>
      <w:r>
        <w:rPr>
          <w:rFonts w:ascii="仿宋_GB2312" w:hAnsi="仿宋_GB2312" w:cs="仿宋_GB2312" w:eastAsia="仿宋_GB2312"/>
        </w:rPr>
        <w:t>3、 社会保障资金缴纳证明 ：提供近一年年度至递交磋商响应文件截止时间已缴存的至少三个月的社会保障资金银行缴存单据或社保机构开具的社会保险参保缴费情况证明，依法不需要缴纳社会保障资金的提供相关证明材料。</w:t>
      </w:r>
    </w:p>
    <w:p>
      <w:pPr>
        <w:pStyle w:val="null3"/>
      </w:pPr>
      <w:r>
        <w:rPr>
          <w:rFonts w:ascii="仿宋_GB2312" w:hAnsi="仿宋_GB2312" w:cs="仿宋_GB2312" w:eastAsia="仿宋_GB2312"/>
        </w:rPr>
        <w:t>4、税收缴纳证明：提供近一年年度至递交磋商响应文件截止时间已缴纳的至少三个月的纳税证明（银行缴费凭证）或完税证明，依法免税的提供相关证明材料。</w:t>
      </w:r>
    </w:p>
    <w:p>
      <w:pPr>
        <w:pStyle w:val="null3"/>
      </w:pPr>
      <w:r>
        <w:rPr>
          <w:rFonts w:ascii="仿宋_GB2312" w:hAnsi="仿宋_GB2312" w:cs="仿宋_GB2312" w:eastAsia="仿宋_GB2312"/>
        </w:rPr>
        <w:t xml:space="preserve">5、商业信誉及无重大违法记录的书面声明：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 </w:t>
      </w:r>
    </w:p>
    <w:p>
      <w:pPr>
        <w:pStyle w:val="null3"/>
      </w:pPr>
      <w:r>
        <w:rPr>
          <w:rFonts w:ascii="仿宋_GB2312" w:hAnsi="仿宋_GB2312" w:cs="仿宋_GB2312" w:eastAsia="仿宋_GB2312"/>
        </w:rPr>
        <w:t>6、法定代表人委托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7、本项目不接受联合体投标：单位负责人为同一人或者存在直接控股、管理关系的不同供应商不得参加同一合同项下的政府采购活动。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8、资质要求：供应商须具备建筑工程施工总承包三级及以上资质；</w:t>
      </w:r>
    </w:p>
    <w:p>
      <w:pPr>
        <w:pStyle w:val="null3"/>
      </w:pPr>
      <w:r>
        <w:rPr>
          <w:rFonts w:ascii="仿宋_GB2312" w:hAnsi="仿宋_GB2312" w:cs="仿宋_GB2312" w:eastAsia="仿宋_GB2312"/>
        </w:rPr>
        <w:t>9、本项目专门面向小微企业采购，投标人应填写《中小企业声明函（工程）》：备注：1.《基本资格条件承诺函》、《法定代表人授权委托书》、《榆阳区政府采购工程类/货物类/服务类项目供应商信用承诺书》、《中小企业声明函》应按磋商文件给定的格式填写。 2.本项目专门面向小微企业采购，残疾人福利性单位、监狱企业投标视同为小微企业，不再单独享受价格扣除，中大型企业不可参与。</w:t>
      </w:r>
    </w:p>
    <w:p>
      <w:pPr>
        <w:pStyle w:val="null3"/>
      </w:pPr>
      <w:r>
        <w:rPr>
          <w:rFonts w:ascii="仿宋_GB2312" w:hAnsi="仿宋_GB2312" w:cs="仿宋_GB2312" w:eastAsia="仿宋_GB2312"/>
        </w:rPr>
        <w:t>10、项目负责人：拟派项目负责人须具有建筑工程二级注册建造师及以上执业资格，具备有效的安全生产考核合格证书，且未担任其他在建工程项目的项目经理。提供项目负责人2025年1月至今连续3个月社保经办机构出具的本企业社会缴纳证明（五险一金其中一项即可），依法不需要缴纳社会保障资金的应提供相关文件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榆林市特殊教育学校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榆林东沙</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榆林市特殊教育学校经办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17719632298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13402995599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采购包1：433,880.78元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塑胶</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塑胶</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塑胶</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榆林市特殊教育学校</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榆林市特殊教育学校</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榆林市特殊教育学校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榆林市特殊教育学校</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榆林市特殊教育学校</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榆林市特殊教育学校</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联系人：特殊教育学校</w:t>
      </w:r>
    </w:p>
    <w:p>
      <w:pPr>
        <w:pStyle w:val="null3"/>
      </w:pPr>
      <w:r>
        <w:rPr>
          <w:rFonts w:ascii="仿宋_GB2312" w:hAnsi="仿宋_GB2312" w:cs="仿宋_GB2312" w:eastAsia="仿宋_GB2312"/>
        </w:rPr>
        <w:t>联系电话：17719632298</w:t>
      </w:r>
    </w:p>
    <w:p>
      <w:pPr>
        <w:pStyle w:val="null3"/>
      </w:pPr>
      <w:r>
        <w:rPr>
          <w:rFonts w:ascii="仿宋_GB2312" w:hAnsi="仿宋_GB2312" w:cs="仿宋_GB2312" w:eastAsia="仿宋_GB2312"/>
        </w:rPr>
        <w:t>地址：东沙</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433,880.78</w:t>
      </w:r>
    </w:p>
    <w:p>
      <w:pPr>
        <w:pStyle w:val="null3"/>
      </w:pPr>
      <w:r>
        <w:rPr>
          <w:rFonts w:ascii="仿宋_GB2312" w:hAnsi="仿宋_GB2312" w:cs="仿宋_GB2312" w:eastAsia="仿宋_GB2312"/>
        </w:rPr>
        <w:t>采购包最高限价（元）: 433,880.78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433880.78</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433,880.78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标的名称：433880.78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6"/>
              <w:gridCol w:w="349"/>
              <w:gridCol w:w="208"/>
              <w:gridCol w:w="208"/>
              <w:gridCol w:w="424"/>
              <w:gridCol w:w="142"/>
              <w:gridCol w:w="278"/>
              <w:gridCol w:w="208"/>
              <w:gridCol w:w="208"/>
              <w:gridCol w:w="345"/>
            </w:tblGrid>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工程名称：榆林市特殊教育学校活动场地维修改造工程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2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拆除工程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011705001002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水泥砖60mm厚平面块料拆除</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1241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041001003001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拆除水泥砖基层及混凝土路面390mm厚</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1241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011702001002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混凝土道牙拆除</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011701001002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部分花池拆除</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22.8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011702001001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散水、基层拆除</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9.45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新建工程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011101005001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13mm厚塑胶地面</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753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011101002001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混凝土面层</w:t>
                  </w:r>
                  <w:r>
                    <w:br/>
                  </w:r>
                  <w:r>
                    <w:rPr>
                      <w:rFonts w:ascii="仿宋_GB2312" w:hAnsi="仿宋_GB2312" w:cs="仿宋_GB2312" w:eastAsia="仿宋_GB2312"/>
                      <w:sz w:val="19"/>
                      <w:color w:val="000000"/>
                    </w:rPr>
                    <w:t xml:space="preserve"> 1、150厚混凝土</w:t>
                  </w:r>
                  <w:r>
                    <w:br/>
                  </w:r>
                  <w:r>
                    <w:rPr>
                      <w:rFonts w:ascii="仿宋_GB2312" w:hAnsi="仿宋_GB2312" w:cs="仿宋_GB2312" w:eastAsia="仿宋_GB2312"/>
                      <w:sz w:val="19"/>
                      <w:color w:val="000000"/>
                    </w:rPr>
                    <w:t xml:space="preserve"> 2、300厚3:7灰土</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1241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010401007001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花池零星砌砖带基础</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5.82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011601005001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安砌侧（平、缘）石</w:t>
                  </w:r>
                  <w:r>
                    <w:br/>
                  </w:r>
                  <w:r>
                    <w:rPr>
                      <w:rFonts w:ascii="仿宋_GB2312" w:hAnsi="仿宋_GB2312" w:cs="仿宋_GB2312" w:eastAsia="仿宋_GB2312"/>
                      <w:sz w:val="19"/>
                      <w:color w:val="000000"/>
                    </w:rPr>
                    <w:t xml:space="preserve"> 1、1000*300*100混凝土长条石</w:t>
                  </w:r>
                  <w:r>
                    <w:br/>
                  </w:r>
                  <w:r>
                    <w:rPr>
                      <w:rFonts w:ascii="仿宋_GB2312" w:hAnsi="仿宋_GB2312" w:cs="仿宋_GB2312" w:eastAsia="仿宋_GB2312"/>
                      <w:sz w:val="19"/>
                      <w:color w:val="000000"/>
                    </w:rPr>
                    <w:t xml:space="preserve"> 2、30厚1:3水泥砂浆</w:t>
                  </w:r>
                  <w:r>
                    <w:br/>
                  </w:r>
                  <w:r>
                    <w:rPr>
                      <w:rFonts w:ascii="仿宋_GB2312" w:hAnsi="仿宋_GB2312" w:cs="仿宋_GB2312" w:eastAsia="仿宋_GB2312"/>
                      <w:sz w:val="19"/>
                      <w:color w:val="000000"/>
                    </w:rPr>
                    <w:t xml:space="preserve"> 3、150厚3:7灰土</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29.86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010502025001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散水</w:t>
                  </w:r>
                  <w:r>
                    <w:br/>
                  </w:r>
                  <w:r>
                    <w:rPr>
                      <w:rFonts w:ascii="仿宋_GB2312" w:hAnsi="仿宋_GB2312" w:cs="仿宋_GB2312" w:eastAsia="仿宋_GB2312"/>
                      <w:sz w:val="19"/>
                      <w:color w:val="000000"/>
                    </w:rPr>
                    <w:t xml:space="preserve"> 1.混凝土散水 散3</w:t>
                  </w:r>
                  <w:r>
                    <w:br/>
                  </w:r>
                  <w:r>
                    <w:rPr>
                      <w:rFonts w:ascii="仿宋_GB2312" w:hAnsi="仿宋_GB2312" w:cs="仿宋_GB2312" w:eastAsia="仿宋_GB2312"/>
                      <w:sz w:val="19"/>
                      <w:color w:val="000000"/>
                    </w:rPr>
                    <w:t xml:space="preserve"> 2.60厚C15混凝土面层1:1水泥砂子压光</w:t>
                  </w:r>
                  <w:r>
                    <w:br/>
                  </w:r>
                  <w:r>
                    <w:rPr>
                      <w:rFonts w:ascii="仿宋_GB2312" w:hAnsi="仿宋_GB2312" w:cs="仿宋_GB2312" w:eastAsia="仿宋_GB2312"/>
                      <w:sz w:val="19"/>
                      <w:color w:val="000000"/>
                    </w:rPr>
                    <w:t xml:space="preserve"> 3.150厚3:7灰土垫层，宽出面层300</w:t>
                  </w:r>
                  <w:r>
                    <w:br/>
                  </w:r>
                  <w:r>
                    <w:rPr>
                      <w:rFonts w:ascii="仿宋_GB2312" w:hAnsi="仿宋_GB2312" w:cs="仿宋_GB2312" w:eastAsia="仿宋_GB2312"/>
                      <w:sz w:val="19"/>
                      <w:color w:val="000000"/>
                    </w:rPr>
                    <w:t xml:space="preserve"> 4.素土夯实向外坡4%</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62.04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050201012001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排水沟</w:t>
                  </w:r>
                  <w:r>
                    <w:br/>
                  </w:r>
                  <w:r>
                    <w:rPr>
                      <w:rFonts w:ascii="仿宋_GB2312" w:hAnsi="仿宋_GB2312" w:cs="仿宋_GB2312" w:eastAsia="仿宋_GB2312"/>
                      <w:sz w:val="19"/>
                      <w:color w:val="000000"/>
                    </w:rPr>
                    <w:t xml:space="preserve"> 1、部位：场地周边</w:t>
                  </w:r>
                  <w:r>
                    <w:br/>
                  </w:r>
                  <w:r>
                    <w:rPr>
                      <w:rFonts w:ascii="仿宋_GB2312" w:hAnsi="仿宋_GB2312" w:cs="仿宋_GB2312" w:eastAsia="仿宋_GB2312"/>
                      <w:sz w:val="19"/>
                      <w:color w:val="000000"/>
                    </w:rPr>
                    <w:t xml:space="preserve"> 2、150厚5%水泥稳定土，素土夯实</w:t>
                  </w:r>
                  <w:r>
                    <w:br/>
                  </w:r>
                  <w:r>
                    <w:rPr>
                      <w:rFonts w:ascii="仿宋_GB2312" w:hAnsi="仿宋_GB2312" w:cs="仿宋_GB2312" w:eastAsia="仿宋_GB2312"/>
                      <w:sz w:val="19"/>
                      <w:color w:val="000000"/>
                    </w:rPr>
                    <w:t xml:space="preserve"> 3、200厚C20混凝土</w:t>
                  </w:r>
                  <w:r>
                    <w:br/>
                  </w:r>
                  <w:r>
                    <w:rPr>
                      <w:rFonts w:ascii="仿宋_GB2312" w:hAnsi="仿宋_GB2312" w:cs="仿宋_GB2312" w:eastAsia="仿宋_GB2312"/>
                      <w:sz w:val="19"/>
                      <w:color w:val="000000"/>
                    </w:rPr>
                    <w:t xml:space="preserve"> 4、30厚1:2.5防水砂浆</w:t>
                  </w:r>
                  <w:r>
                    <w:br/>
                  </w:r>
                  <w:r>
                    <w:rPr>
                      <w:rFonts w:ascii="仿宋_GB2312" w:hAnsi="仿宋_GB2312" w:cs="仿宋_GB2312" w:eastAsia="仿宋_GB2312"/>
                      <w:sz w:val="19"/>
                      <w:color w:val="000000"/>
                    </w:rPr>
                    <w:t xml:space="preserve"> 5、100厚C25钢筋混凝土盖板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工程名称：榆林市特殊教育学校活动场地维修改造工程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2 页  共 2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塑料管UPVC、PVC、PP-C、PP-R、PE管等</w:t>
                  </w:r>
                  <w:r>
                    <w:br/>
                  </w:r>
                  <w:r>
                    <w:rPr>
                      <w:rFonts w:ascii="仿宋_GB2312" w:hAnsi="仿宋_GB2312" w:cs="仿宋_GB2312" w:eastAsia="仿宋_GB2312"/>
                      <w:sz w:val="19"/>
                      <w:color w:val="000000"/>
                    </w:rPr>
                    <w:t xml:space="preserve"> 1.安装部位(室内、外):室外</w:t>
                  </w:r>
                  <w:r>
                    <w:br/>
                  </w:r>
                  <w:r>
                    <w:rPr>
                      <w:rFonts w:ascii="仿宋_GB2312" w:hAnsi="仿宋_GB2312" w:cs="仿宋_GB2312" w:eastAsia="仿宋_GB2312"/>
                      <w:sz w:val="19"/>
                      <w:color w:val="000000"/>
                    </w:rPr>
                    <w:t xml:space="preserve"> 2.输送介质(给水、排水、热媒体、燃气、雨水):雨水</w:t>
                  </w:r>
                  <w:r>
                    <w:br/>
                  </w:r>
                  <w:r>
                    <w:rPr>
                      <w:rFonts w:ascii="仿宋_GB2312" w:hAnsi="仿宋_GB2312" w:cs="仿宋_GB2312" w:eastAsia="仿宋_GB2312"/>
                      <w:sz w:val="19"/>
                      <w:color w:val="000000"/>
                    </w:rPr>
                    <w:t xml:space="preserve"> 3.材质：HDPE双壁波纹管</w:t>
                  </w:r>
                  <w:r>
                    <w:br/>
                  </w:r>
                  <w:r>
                    <w:rPr>
                      <w:rFonts w:ascii="仿宋_GB2312" w:hAnsi="仿宋_GB2312" w:cs="仿宋_GB2312" w:eastAsia="仿宋_GB2312"/>
                      <w:sz w:val="19"/>
                      <w:color w:val="000000"/>
                    </w:rPr>
                    <w:t xml:space="preserve"> 4.规格：DN200</w:t>
                  </w:r>
                  <w:r>
                    <w:br/>
                  </w:r>
                  <w:r>
                    <w:rPr>
                      <w:rFonts w:ascii="仿宋_GB2312" w:hAnsi="仿宋_GB2312" w:cs="仿宋_GB2312" w:eastAsia="仿宋_GB2312"/>
                      <w:sz w:val="19"/>
                      <w:color w:val="000000"/>
                    </w:rPr>
                    <w:t xml:space="preserve"> 5.连接形式：承插式橡胶圈连接</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040205007001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标识标线</w:t>
                  </w:r>
                  <w:r>
                    <w:br/>
                  </w:r>
                  <w:r>
                    <w:rPr>
                      <w:rFonts w:ascii="仿宋_GB2312" w:hAnsi="仿宋_GB2312" w:cs="仿宋_GB2312" w:eastAsia="仿宋_GB2312"/>
                      <w:sz w:val="19"/>
                      <w:color w:val="000000"/>
                    </w:rPr>
                    <w:t xml:space="preserve"> 1.形式:标线</w:t>
                  </w:r>
                  <w:r>
                    <w:br/>
                  </w:r>
                  <w:r>
                    <w:rPr>
                      <w:rFonts w:ascii="仿宋_GB2312" w:hAnsi="仿宋_GB2312" w:cs="仿宋_GB2312" w:eastAsia="仿宋_GB2312"/>
                      <w:sz w:val="19"/>
                      <w:color w:val="000000"/>
                    </w:rPr>
                    <w:t xml:space="preserve"> 2.油漆品种:热熔标线涂料</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0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一、塑胶面层铺设范围及要求活动场地按满铺进行设计，塑胶面层均为13毫米厚红色塑胶(复合型)。 二、材料技术参数及要求 1、塑胶:产品规格要求: A.厚度:见平面铺设示意图。 B.混合型结构，即采用“聚氨酯(PU)十橡胶颗粒十EPDM颗粒的复合结构，分为底层和面层，具体参数如下: 1)底层(约9-10mm,随厚度变化进行调整) 材料构成:PU胶黏剂:占比约15%-20%(重量比)，双组份聚氨酯胶，环保型(无溶剂、低VOCs)。 橡胶颗粒:占比约80%-85%,粒径-4mm(三元乙丙橡胶)，含胶量≥20%(增强弹性)。 施工工艺:将PU胶与橡胶颗粒按比例混合后，通过摊铺机或人工摊铺压实， 形成弹性缓冲层，表面粗糙以增强与面层的黏结力。 2)面层(约3-4mm) 材料构成:纯PU 胶浆:占比85-90%,覆盖力强，抗老化性能优异。 EPDM彩色颗粒:占比约10%-15%,粒径1-2mm,颜色均匀(如红色蓝色)，含胶量≥&gt;20%。 2、施工工艺:将PU 胶浆与EPDM颗粒混合后，用镘刀或喷涂设备均匀覆盖于底层，形成耐磨防滑层，表面颗粒外露约1/3。 3.物理性能指标 1)冲击吸收:35% ； 2)垂直变形:0.6-3.0mm ； 3)抗滑值(BPN):47(湿测，20℃) ； 4)拉伸强度:≥0.5MPa(非渗水型面层) ； 5)扯断伸长率:&gt;40%； 6)阻燃性:一级(离火自熄)； 7)耐老化性:人工老化500h后，拉伸强度保留率≥80% ； 8)有害物质限量要求:应符合GB36246-2018《中小学合成材料面层运动场》等相关国家标准。 4.技术参数要求: 1)生物基非渗水型聚氨酯塑胶跑道材料具有满CEC 097-2024无废低碳产品认证技术规范生物基合成材料运动场地面层的无废低碳产品认证证书，提供相关资料复件及在国家认监委网站查询截图。 2)塑胶活动场地在恒温23℃水中浸泡48小时，放置-30℃低温下冰东48小时，放置于85摄氏度烘箱内存放48小时，如此循环50次后，冲击吸收，垂直变形，拉伸强度，拉断伸长率等物理性能满GB36246-2018检测要求，提供具有“CMA或“CNAS"的合格检测报告。 3)塑胶活动场地疲劳寿命经循环波劳试验不低于15万次，符合GB/T 35465.4-2020检测标准要求，提供具有“CM"或"“CNAS。的合格检测报告。 4)塑肤活动场地在室外经过春夏秋冬四季交替，潮湿、高温、低温、干燥等环境下正常使用年，冲击吸收，垂直变形，拉伸强度和拉断伸长率保留率均≥95% ，满足GB36246-2018检测要求，提供具有“CMA”或“"CNAS"的合格检测报告。 5)塑胶活动场地面层耐污染性(30d)、毗碱性(50g/LNaHC03,1h)、 耐醇性(50%,1h)检验结果“无异常”，耐黄变性(30d)△E≤3.0,符合GB/T23999-2009检测要求，提供合格检测报告。 6)塑胶活动场地物理化学性能符合GB36246-2018、 GB/T14833-2020检测要求，提供具有"CMA”或"CNAS"的合格检测报告。</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或2025年度经审计的财务报告（包含审计报告和审计报告中所涉及的财务报表和报表附注），②可提供2024或2025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近一年度的财务审计报告（至少包括资产负债表、利润表、现金流量表、所有者权益变动表及其附注）；成立时间至磋商响应文件递交截止时间不足一年的，可提供成立后任意时段的资产负债表或其磋商响应文件递交截止时间前三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社会保障资金缴纳证明</w:t>
            </w:r>
          </w:p>
        </w:tc>
        <w:tc>
          <w:tcPr>
            <w:tcW w:type="dxa" w:w="3322"/>
          </w:tcPr>
          <w:p>
            <w:pPr>
              <w:pStyle w:val="null3"/>
            </w:pPr>
            <w:r>
              <w:rPr>
                <w:rFonts w:ascii="仿宋_GB2312" w:hAnsi="仿宋_GB2312" w:cs="仿宋_GB2312" w:eastAsia="仿宋_GB2312"/>
              </w:rPr>
              <w:t>提供近一年年度至递交磋商响应文件截止时间已缴存的至少三个月的社会保障资金银行缴存单据或社保机构开具的社会保险参保缴费情况证明，依法不需要缴纳社会保障资金的提供相关证明材料。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提供近一年年度至递交磋商响应文件截止时间已缴纳的至少三个月的纳税证明（银行缴费凭证）或完税证明，依法免税的提供相关证明材料。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商业信誉及无重大违法记录的书面声明</w:t>
            </w:r>
          </w:p>
        </w:tc>
        <w:tc>
          <w:tcPr>
            <w:tcW w:type="dxa" w:w="3322"/>
          </w:tcPr>
          <w:p>
            <w:pPr>
              <w:pStyle w:val="null3"/>
            </w:pPr>
            <w:r>
              <w:rPr>
                <w:rFonts w:ascii="仿宋_GB2312" w:hAnsi="仿宋_GB2312" w:cs="仿宋_GB2312" w:eastAsia="仿宋_GB2312"/>
              </w:rPr>
              <w:t xml:space="preserve">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供应商须具备建筑工程施工总承包三级及以上资质；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本项目专门面向小微企业采购，投标人应填写《中小企业声明函（工程）》</w:t>
            </w:r>
          </w:p>
        </w:tc>
        <w:tc>
          <w:tcPr>
            <w:tcW w:type="dxa" w:w="3322"/>
          </w:tcPr>
          <w:p>
            <w:pPr>
              <w:pStyle w:val="null3"/>
            </w:pPr>
            <w:r>
              <w:rPr>
                <w:rFonts w:ascii="仿宋_GB2312" w:hAnsi="仿宋_GB2312" w:cs="仿宋_GB2312" w:eastAsia="仿宋_GB2312"/>
              </w:rPr>
              <w:t>备注：1.《基本资格条件承诺函》、《法定代表人授权委托书》、《榆阳区政府采购工程类/货物类/服务类项目供应商信用承诺书》、《中小企业声明函》应按磋商文件给定的格式填写。 2.本项目专门面向小微企业采购，残疾人福利性单位、监狱企业投标视同为小微企业，不再单独享受价格扣除，中大型企业不可参与。</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有建筑工程二级注册建造师及以上执业资格，具备有效的安全生产考核合格证书，且未担任其他在建工程项目的项目经理。提供项目负责人2025年1月至今连续3个月社保经办机构出具的本企业社会缴纳证明（五险一金其中一项即可），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施工方案全面、合理，可行性强，满足本项目维修内容. 其中（1）有本项目施工关键内容的具体施工方法得6分；不详细、不完整得3分。 （2）主要施工内容有详细的施工工序安排得5分；不详细不完整得3分。 （3）针对本次维修的难点有详细方案描述的得5分；不详细、不完整得2分 （4）有工完场清、有成品保护等内容描述得4分；不详细不完整得2分。 （5）施工方案明显不符合本项目施工内容的不得分。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质量管理的技术措施</w:t>
            </w:r>
          </w:p>
        </w:tc>
        <w:tc>
          <w:tcPr>
            <w:tcW w:type="dxa" w:w="2492"/>
          </w:tcPr>
          <w:p>
            <w:pPr>
              <w:pStyle w:val="null3"/>
            </w:pPr>
            <w:r>
              <w:rPr>
                <w:rFonts w:ascii="仿宋_GB2312" w:hAnsi="仿宋_GB2312" w:cs="仿宋_GB2312" w:eastAsia="仿宋_GB2312"/>
              </w:rPr>
              <w:t>针对质量控制主要节点（不限于防水层施工、结构加固、水电改造等），有详细技术措施得12分，不完整、不详细得6分，质量管理技术措施明显不符合本项目要求的不得分.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确保文明施工、环境保护的组织措施</w:t>
            </w:r>
          </w:p>
        </w:tc>
        <w:tc>
          <w:tcPr>
            <w:tcW w:type="dxa" w:w="2492"/>
          </w:tcPr>
          <w:p>
            <w:pPr>
              <w:pStyle w:val="null3"/>
            </w:pPr>
            <w:r>
              <w:rPr>
                <w:rFonts w:ascii="仿宋_GB2312" w:hAnsi="仿宋_GB2312" w:cs="仿宋_GB2312" w:eastAsia="仿宋_GB2312"/>
              </w:rPr>
              <w:t>措施全面、完整，能从多方面确保文明施工、并提出相关解决和防治措施（不限于对减少灰尘、控制噪音等方面）可达到环境保护要求的得6分； 措施基本全面、有一定的可行性，能基本满足文明施工等环境保护要求的得4分； 措施存在较大不合理性、内容简单、没有针对性的得2分；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确保安全生产保证措施</w:t>
            </w:r>
          </w:p>
        </w:tc>
        <w:tc>
          <w:tcPr>
            <w:tcW w:type="dxa" w:w="2492"/>
          </w:tcPr>
          <w:p>
            <w:pPr>
              <w:pStyle w:val="null3"/>
            </w:pPr>
            <w:r>
              <w:rPr>
                <w:rFonts w:ascii="仿宋_GB2312" w:hAnsi="仿宋_GB2312" w:cs="仿宋_GB2312" w:eastAsia="仿宋_GB2312"/>
              </w:rPr>
              <w:t>措施完整全面，能够从多方面保证安全生产，且合理性、可行。 其中（1）有明确的安全管理人员和责任管理制度得2分； （2）有详细的维修的风险安全措施（如老旧瓷砖坠落、人行安全通道防护等）得2分； （3）有必要的安全设施设备（包括但不限于安全帽、安全带、护栏等，并设置清晰的安全警示牌）得1分； （4）有完整的针对本维修工程的安全交底得1分； 以上措施不完整，没有针对性和措施以及可操作性，不得分。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5分；进度安排合理，有一定的可行性，实施进度计划基本明确的能够基本保证项目如期完成的得3分； 进度安排合理性、可行性均较差的得1分； 未提供或不能保证项目如期完成的不得分。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问题及重大故障有详细分析，（包括但不限于因施工造成的水、电、通信的中断抢修及人为因素等情况）分析全面，应急措施和解决方案具有全面的分析，应急措施和解决方案较强合理性和可行性的得4分； 针对本项目可能出现的问题及重大故障有基本全面的分析，但没有针对性的得2分； 未提供或明显不符合本项目施工内容的的不得分。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针对性强、可行性强，施工组织及项目管理设置合理、全面。对工程项目的实施具有完整的计划、组织、协调、控制效果，能完全确保实现项目的管理目标 其中 （1）计划安排完善，设备能够完全满足或优于项目需要得 2 分，计划安排不完善，设备不满足需求的不得分； （2）劳动力计划，工种安排详细、相关保证措施安排科学合理得 2分，计划零散、无力，且进度计划有缺失不得分； （3）主要设备、机械基本满足本项目所需要，得2分，未提供或明显不符合本项目施工内容的不得分。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项目部人员组织</w:t>
            </w:r>
          </w:p>
        </w:tc>
        <w:tc>
          <w:tcPr>
            <w:tcW w:type="dxa" w:w="2492"/>
          </w:tcPr>
          <w:p>
            <w:pPr>
              <w:pStyle w:val="null3"/>
            </w:pPr>
            <w:r>
              <w:rPr>
                <w:rFonts w:ascii="仿宋_GB2312" w:hAnsi="仿宋_GB2312" w:cs="仿宋_GB2312" w:eastAsia="仿宋_GB2312"/>
              </w:rPr>
              <w:t>除项目经理和安全员外，每多提供1人得1分（包括且不限于施工员，质量员，材料员等），所有人员需提供身份证、岗位证、等相关证明文件，最高得6分，未提供不得分。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结合本项目实际，供应商依据国家相关规定对工程质量编制保修方案，内容包含但不限于保修范围、维修费用、保修人员配备和服务措施以及响应时间等 其中（1）方案内容全面完整，切合项目具体情况，提出责任明确、要求具体的方案，内容紧扣项目实际，科学合理的得5分。 （2）方案内容全面完整，切合项目具体情况，提出责任明确、要求具体的方案，内容未能紧扣项目实际，得3分。 （3）方案内容完整，未切合项目具体情况，责任不明确、要求不具体，内容未能紧扣项目实际，得1分。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提供近五年（2021年1月1日及以后）同类项目业绩，1个业绩计3分，最高计6分。需附合同复印件，所提供业绩以合同签订时间为准。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供应商对工期时限、工程质量及进度、实施过程中沟通、协调及管理方案等内容作出质量承诺书：承诺书内容全面、且从多个角度明确地做出承诺的得4分；承诺书简单、不全面得2分；未提供不得分。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1.本次磋商设最高投标限价（采购预算）。供应商的磋商报价超过最高投标限价的视为废标，不再参与下一步评审。 2、采用低价优先法计算，未超出财政预算，实质性满足磋商文件要求且最后报价最低的报价为磋商基准价，其价格分为满分20分。其它供应商的价格分统一按照下列公式计算：磋商报价得分=（磋商基准价/最后磋商报价）×价格分值×100%。 3、磋商报价不完整的，不进入评标基准价的计算，本项得0分。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详见附件：施工合同2025.9.15.docx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