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版本号：YYZFCG竞争性谈判（2025）24号20250915002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榆阳区小纪汗林场业务用车采购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YYZFCG竞争性谈判（2025）24号</w:t>
      </w:r>
      <w:r>
        <w:br/>
      </w:r>
      <w:r>
        <w:br/>
      </w:r>
      <w:r>
        <w:br/>
      </w:r>
    </w:p>
    <w:p>
      <w:pPr>
        <w:pStyle w:val="null3"/>
        <w:jc w:val="center"/>
        <w:outlineLvl w:val="2"/>
      </w:pPr>
      <w:r>
        <w:rPr>
          <w:rFonts w:ascii="仿宋_GB2312" w:hAnsi="仿宋_GB2312" w:cs="仿宋_GB2312" w:eastAsia="仿宋_GB2312"/>
          <w:sz w:val="28"/>
          <w:b/>
        </w:rPr>
        <w:t>榆林市榆阳区小纪汗林场</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榆林市榆阳区小纪汗林场</w:t>
      </w:r>
      <w:r>
        <w:rPr>
          <w:rFonts w:ascii="仿宋_GB2312" w:hAnsi="仿宋_GB2312" w:cs="仿宋_GB2312" w:eastAsia="仿宋_GB2312"/>
        </w:rPr>
        <w:t>委托，拟对</w:t>
      </w:r>
      <w:r>
        <w:rPr>
          <w:rFonts w:ascii="仿宋_GB2312" w:hAnsi="仿宋_GB2312" w:cs="仿宋_GB2312" w:eastAsia="仿宋_GB2312"/>
        </w:rPr>
        <w:t>榆阳区小纪汗林场业务用车采购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YYZFCG竞争性谈判（2025）24号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榆阳区小纪汗林场业务用车采购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根据榆阳区小纪汗林场业务需求，采购国产洒水车1辆，国产半封闭式皮卡车2辆。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为具有独立承担民事责任能力的法人、事业法人、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2、社会保障资金缴纳证明：提供 2025年01月01日至今已缴纳的至少 一个月的社会保障资金银行缴费单据或社保机构开具的社会保险参保缴费情况 证明，依法不需要缴纳社会保障资金的单位应提供相关证明材料。</w:t>
      </w:r>
    </w:p>
    <w:p>
      <w:pPr>
        <w:pStyle w:val="null3"/>
      </w:pPr>
      <w:r>
        <w:rPr>
          <w:rFonts w:ascii="仿宋_GB2312" w:hAnsi="仿宋_GB2312" w:cs="仿宋_GB2312" w:eastAsia="仿宋_GB2312"/>
        </w:rPr>
        <w:t>3、税收缴纳证明：提供 2025年01月01日至今已缴纳的至少一个月的 纳税证明或完税证明（时间以税款所属日期为准、税种须包含增值税或所得税）， 依法免税的单位应提供相关证明材料。</w:t>
      </w:r>
    </w:p>
    <w:p>
      <w:pPr>
        <w:pStyle w:val="null3"/>
      </w:pPr>
      <w:r>
        <w:rPr>
          <w:rFonts w:ascii="仿宋_GB2312" w:hAnsi="仿宋_GB2312" w:cs="仿宋_GB2312" w:eastAsia="仿宋_GB2312"/>
        </w:rPr>
        <w:t>4、财务状况报告：提供经审计后完整的2024年度赋码的财务审计报告，成立时间至提交磋商响应文件递交截止时间不足一年的可提供成立后任意时段的财 务报表或开标前三个月内基本存款账户开户银行出具的资信证明；其他组织提供银行出具的资信证明或财务报表。</w:t>
      </w:r>
    </w:p>
    <w:p>
      <w:pPr>
        <w:pStyle w:val="null3"/>
      </w:pPr>
      <w:r>
        <w:rPr>
          <w:rFonts w:ascii="仿宋_GB2312" w:hAnsi="仿宋_GB2312" w:cs="仿宋_GB2312" w:eastAsia="仿宋_GB2312"/>
        </w:rPr>
        <w:t>5、社会信誉：未被“国家企业信用信息公示系统”中列 入严重违法失信企业名单，未被“信用中国”网站列入经营异常名录信息名单， 未被“中国执行信息公开网”列入失信企业目录;参加本项目采购活动前三年内无重大违法活动记录。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榆林市榆阳区小纪汗林场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榆阳区小纪汗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榆林市榆阳区小纪汗林场经办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13892271153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艾先聪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18629388603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榆林市榆阳区小纪汗林场</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榆林市榆阳区小纪汗林场</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榆林市榆阳区小纪汗林场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榆林市榆阳区小纪汗林场</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联系人：榆林市榆阳区小纪汗林场经办</w:t>
      </w:r>
    </w:p>
    <w:p>
      <w:pPr>
        <w:pStyle w:val="null3"/>
      </w:pPr>
      <w:r>
        <w:rPr>
          <w:rFonts w:ascii="仿宋_GB2312" w:hAnsi="仿宋_GB2312" w:cs="仿宋_GB2312" w:eastAsia="仿宋_GB2312"/>
        </w:rPr>
        <w:t>联系电话：13892271153</w:t>
      </w:r>
    </w:p>
    <w:p>
      <w:pPr>
        <w:pStyle w:val="null3"/>
      </w:pPr>
      <w:r>
        <w:rPr>
          <w:rFonts w:ascii="仿宋_GB2312" w:hAnsi="仿宋_GB2312" w:cs="仿宋_GB2312" w:eastAsia="仿宋_GB2312"/>
        </w:rPr>
        <w:t>地址：榆阳区小纪汗林场</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根据榆阳区小纪汗林场业务需求，采购国产洒水车1辆，国产半封闭式皮卡车2辆。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榆阳区小纪汗林场业务用车采购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标的名称：榆阳区小纪汗林场业务用车采购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1、皮卡车</w:t>
            </w:r>
          </w:p>
          <w:p>
            <w:pPr>
              <w:pStyle w:val="null3"/>
            </w:pPr>
            <w:r>
              <w:rPr>
                <w:rFonts w:ascii="仿宋_GB2312" w:hAnsi="仿宋_GB2312" w:cs="仿宋_GB2312" w:eastAsia="仿宋_GB2312"/>
              </w:rPr>
              <w:t>车型尺寸:≥5400x1880x1880</w:t>
            </w:r>
            <w:r>
              <w:br/>
            </w:r>
            <w:r>
              <w:rPr>
                <w:rFonts w:ascii="仿宋_GB2312" w:hAnsi="仿宋_GB2312" w:cs="仿宋_GB2312" w:eastAsia="仿宋_GB2312"/>
              </w:rPr>
              <w:t xml:space="preserve"> 货箱尺寸(mm)≥1500x1500x510</w:t>
            </w:r>
            <w:r>
              <w:br/>
            </w:r>
            <w:r>
              <w:rPr>
                <w:rFonts w:ascii="仿宋_GB2312" w:hAnsi="仿宋_GB2312" w:cs="仿宋_GB2312" w:eastAsia="仿宋_GB2312"/>
              </w:rPr>
              <w:t xml:space="preserve"> 车身颜色：白色</w:t>
            </w:r>
            <w:r>
              <w:br/>
            </w:r>
            <w:r>
              <w:rPr>
                <w:rFonts w:ascii="仿宋_GB2312" w:hAnsi="仿宋_GB2312" w:cs="仿宋_GB2312" w:eastAsia="仿宋_GB2312"/>
              </w:rPr>
              <w:t xml:space="preserve"> 轴距 轴距≥3200mm</w:t>
            </w:r>
            <w:r>
              <w:br/>
            </w:r>
            <w:r>
              <w:rPr>
                <w:rFonts w:ascii="仿宋_GB2312" w:hAnsi="仿宋_GB2312" w:cs="仿宋_GB2312" w:eastAsia="仿宋_GB2312"/>
              </w:rPr>
              <w:t xml:space="preserve"> 燃油种类：汽油</w:t>
            </w:r>
            <w:r>
              <w:br/>
            </w:r>
            <w:r>
              <w:rPr>
                <w:rFonts w:ascii="仿宋_GB2312" w:hAnsi="仿宋_GB2312" w:cs="仿宋_GB2312" w:eastAsia="仿宋_GB2312"/>
              </w:rPr>
              <w:t xml:space="preserve"> 排量：≥2.0T</w:t>
            </w:r>
            <w:r>
              <w:br/>
            </w:r>
            <w:r>
              <w:rPr>
                <w:rFonts w:ascii="仿宋_GB2312" w:hAnsi="仿宋_GB2312" w:cs="仿宋_GB2312" w:eastAsia="仿宋_GB2312"/>
              </w:rPr>
              <w:t xml:space="preserve"> 净功率(kw)≥140kw</w:t>
            </w:r>
            <w:r>
              <w:br/>
            </w:r>
            <w:r>
              <w:rPr>
                <w:rFonts w:ascii="仿宋_GB2312" w:hAnsi="仿宋_GB2312" w:cs="仿宋_GB2312" w:eastAsia="仿宋_GB2312"/>
              </w:rPr>
              <w:t xml:space="preserve"> 驱动方式: 前置四驱</w:t>
            </w:r>
            <w:r>
              <w:br/>
            </w:r>
            <w:r>
              <w:rPr>
                <w:rFonts w:ascii="仿宋_GB2312" w:hAnsi="仿宋_GB2312" w:cs="仿宋_GB2312" w:eastAsia="仿宋_GB2312"/>
              </w:rPr>
              <w:t xml:space="preserve"> 变速箱:自动变速箱（8AT）</w:t>
            </w:r>
            <w:r>
              <w:br/>
            </w:r>
            <w:r>
              <w:rPr>
                <w:rFonts w:ascii="仿宋_GB2312" w:hAnsi="仿宋_GB2312" w:cs="仿宋_GB2312" w:eastAsia="仿宋_GB2312"/>
              </w:rPr>
              <w:t xml:space="preserve"> 环保标准:国 VI</w:t>
            </w:r>
            <w:r>
              <w:br/>
            </w:r>
            <w:r>
              <w:rPr>
                <w:rFonts w:ascii="仿宋_GB2312" w:hAnsi="仿宋_GB2312" w:cs="仿宋_GB2312" w:eastAsia="仿宋_GB2312"/>
              </w:rPr>
              <w:t xml:space="preserve"> 前悬架系统: 独立悬架</w:t>
            </w:r>
            <w:r>
              <w:br/>
            </w:r>
            <w:r>
              <w:rPr>
                <w:rFonts w:ascii="仿宋_GB2312" w:hAnsi="仿宋_GB2312" w:cs="仿宋_GB2312" w:eastAsia="仿宋_GB2312"/>
              </w:rPr>
              <w:t xml:space="preserve"> ABS: 有</w:t>
            </w:r>
            <w:r>
              <w:br/>
            </w:r>
            <w:r>
              <w:rPr>
                <w:rFonts w:ascii="仿宋_GB2312" w:hAnsi="仿宋_GB2312" w:cs="仿宋_GB2312" w:eastAsia="仿宋_GB2312"/>
              </w:rPr>
              <w:t xml:space="preserve"> 制动器 :盘式</w:t>
            </w:r>
            <w:r>
              <w:br/>
            </w:r>
            <w:r>
              <w:rPr>
                <w:rFonts w:ascii="仿宋_GB2312" w:hAnsi="仿宋_GB2312" w:cs="仿宋_GB2312" w:eastAsia="仿宋_GB2312"/>
              </w:rPr>
              <w:t xml:space="preserve"> 驾驶辅助影像: 倒车影像</w:t>
            </w:r>
          </w:p>
          <w:p>
            <w:pPr>
              <w:pStyle w:val="null3"/>
            </w:pPr>
            <w:r>
              <w:rPr>
                <w:rFonts w:ascii="仿宋_GB2312" w:hAnsi="仿宋_GB2312" w:cs="仿宋_GB2312" w:eastAsia="仿宋_GB2312"/>
              </w:rPr>
              <w:t>2、绿化喷洒车</w:t>
            </w:r>
          </w:p>
          <w:p>
            <w:pPr>
              <w:pStyle w:val="null3"/>
            </w:pPr>
            <w:r>
              <w:rPr>
                <w:rFonts w:ascii="仿宋_GB2312" w:hAnsi="仿宋_GB2312" w:cs="仿宋_GB2312" w:eastAsia="仿宋_GB2312"/>
              </w:rPr>
              <w:t>长宽高（mm）：长≥8300宽≥2300高≥2900</w:t>
            </w:r>
            <w:r>
              <w:br/>
            </w:r>
            <w:r>
              <w:rPr>
                <w:rFonts w:ascii="仿宋_GB2312" w:hAnsi="仿宋_GB2312" w:cs="仿宋_GB2312" w:eastAsia="仿宋_GB2312"/>
              </w:rPr>
              <w:t xml:space="preserve"> 燃料种类： 柴油</w:t>
            </w:r>
            <w:r>
              <w:br/>
            </w:r>
            <w:r>
              <w:rPr>
                <w:rFonts w:ascii="仿宋_GB2312" w:hAnsi="仿宋_GB2312" w:cs="仿宋_GB2312" w:eastAsia="仿宋_GB2312"/>
              </w:rPr>
              <w:t xml:space="preserve"> 发动机排量（L）： ≥6L</w:t>
            </w:r>
            <w:r>
              <w:br/>
            </w:r>
            <w:r>
              <w:rPr>
                <w:rFonts w:ascii="仿宋_GB2312" w:hAnsi="仿宋_GB2312" w:cs="仿宋_GB2312" w:eastAsia="仿宋_GB2312"/>
              </w:rPr>
              <w:t xml:space="preserve"> 功率（KW）： ≥165</w:t>
            </w:r>
            <w:r>
              <w:br/>
            </w:r>
            <w:r>
              <w:rPr>
                <w:rFonts w:ascii="仿宋_GB2312" w:hAnsi="仿宋_GB2312" w:cs="仿宋_GB2312" w:eastAsia="仿宋_GB2312"/>
              </w:rPr>
              <w:t xml:space="preserve"> 总质量： ≥18000kg</w:t>
            </w:r>
            <w:r>
              <w:br/>
            </w:r>
            <w:r>
              <w:rPr>
                <w:rFonts w:ascii="仿宋_GB2312" w:hAnsi="仿宋_GB2312" w:cs="仿宋_GB2312" w:eastAsia="仿宋_GB2312"/>
              </w:rPr>
              <w:t xml:space="preserve"> 整备质量： ≥7400kg</w:t>
            </w:r>
            <w:r>
              <w:br/>
            </w:r>
            <w:r>
              <w:rPr>
                <w:rFonts w:ascii="仿宋_GB2312" w:hAnsi="仿宋_GB2312" w:cs="仿宋_GB2312" w:eastAsia="仿宋_GB2312"/>
              </w:rPr>
              <w:t xml:space="preserve"> 变速箱：标准配置</w:t>
            </w:r>
            <w:r>
              <w:br/>
            </w:r>
            <w:r>
              <w:rPr>
                <w:rFonts w:ascii="仿宋_GB2312" w:hAnsi="仿宋_GB2312" w:cs="仿宋_GB2312" w:eastAsia="仿宋_GB2312"/>
              </w:rPr>
              <w:t xml:space="preserve"> 轴距（mm）： ≥4500</w:t>
            </w:r>
            <w:r>
              <w:br/>
            </w:r>
            <w:r>
              <w:rPr>
                <w:rFonts w:ascii="仿宋_GB2312" w:hAnsi="仿宋_GB2312" w:cs="仿宋_GB2312" w:eastAsia="仿宋_GB2312"/>
              </w:rPr>
              <w:t xml:space="preserve"> 环保标准： 国Ⅵ</w:t>
            </w:r>
            <w:r>
              <w:br/>
            </w:r>
            <w:r>
              <w:rPr>
                <w:rFonts w:ascii="仿宋_GB2312" w:hAnsi="仿宋_GB2312" w:cs="仿宋_GB2312" w:eastAsia="仿宋_GB2312"/>
              </w:rPr>
              <w:t xml:space="preserve"> 罐体容积： ≥10.0立方</w:t>
            </w:r>
            <w:r>
              <w:br/>
            </w:r>
            <w:r>
              <w:rPr>
                <w:rFonts w:ascii="仿宋_GB2312" w:hAnsi="仿宋_GB2312" w:cs="仿宋_GB2312" w:eastAsia="仿宋_GB2312"/>
              </w:rPr>
              <w:t xml:space="preserve"> 风送式喷雾机：流量≥15L/min，雾炮水平射程≥20m。</w:t>
            </w:r>
            <w:r>
              <w:br/>
            </w:r>
            <w:r>
              <w:rPr>
                <w:rFonts w:ascii="仿宋_GB2312" w:hAnsi="仿宋_GB2312" w:cs="仿宋_GB2312" w:eastAsia="仿宋_GB2312"/>
              </w:rPr>
              <w:t xml:space="preserve"> 罐体材质Q235优质板材，厚度≥4mm</w:t>
            </w:r>
            <w:r>
              <w:br/>
            </w:r>
            <w:r>
              <w:rPr>
                <w:rFonts w:ascii="仿宋_GB2312" w:hAnsi="仿宋_GB2312" w:cs="仿宋_GB2312" w:eastAsia="仿宋_GB2312"/>
              </w:rPr>
              <w:t xml:space="preserve"> 整车符合国家工信部要求，文件内需提供投标车辆 3C认证证书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成交通知书签发起30日内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榆阳区城区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车辆交付，验收合格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按国家相关标准及采购清单要求的技术参数</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供应商为具有独立承担民事责任能力的法人、事业法人、其他组织。企业法人应提供合法有效的标识有统一社会信用代码的营业执照；事业法人应提供事业单位法人证书；其他组织应提供合法登记证明文件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2025年01月01日至今已缴纳的至少 一个月的社会保障资金银行缴费单据或社保机构开具的社会保险参保缴费情况 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2025年01月01日至今已缴纳的至少一个月的 纳税证明或完税证明（时间以税款所属日期为准、税种须包含增值税或所得税）， 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提供经审计后完整的2024年度赋码的财务审计报告，成立时间至提交磋商响应文件递交截止时间不足一年的可提供成立后任意时段的财 务报表或开标前三个月内基本存款账户开户银行出具的资信证明；其他组织提供银行出具的资信证明或财务报表。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社会信誉</w:t>
            </w:r>
          </w:p>
        </w:tc>
        <w:tc>
          <w:tcPr>
            <w:tcW w:type="dxa" w:w="3322"/>
          </w:tcPr>
          <w:p>
            <w:pPr>
              <w:pStyle w:val="null3"/>
            </w:pPr>
            <w:r>
              <w:rPr>
                <w:rFonts w:ascii="仿宋_GB2312" w:hAnsi="仿宋_GB2312" w:cs="仿宋_GB2312" w:eastAsia="仿宋_GB2312"/>
              </w:rPr>
              <w:t>未被“国家企业信用信息公示系统”中列 入严重违法失信企业名单，未被“信用中国”网站列入经营异常名录信息名单， 未被“中国执行信息公开网”列入失信企业目录;参加本项目采购活动前三年内无重大违法活动记录。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8.无其他谈判文件或法规明确规定响应无效的事项 9.合同条款响应 10.承诺</w:t>
            </w:r>
          </w:p>
        </w:tc>
        <w:tc>
          <w:tcPr>
            <w:tcW w:type="dxa" w:w="3322"/>
          </w:tcPr>
          <w:p>
            <w:pPr>
              <w:pStyle w:val="null3"/>
            </w:pPr>
            <w:r>
              <w:rPr>
                <w:rFonts w:ascii="仿宋_GB2312" w:hAnsi="仿宋_GB2312" w:cs="仿宋_GB2312" w:eastAsia="仿宋_GB2312"/>
              </w:rPr>
              <w:t>1.响应文件语言符合谈判文件要求。 2.三处均无遗漏，且与所投项目名称、项目编号、标段（如有）一致。 3.均按谈判文件要求盖章（评分标准中要求提供的证明材料除外）。 4.响应文件应包含以下内容： （1）资格证明文件； （2）符合性证明文件； （3）投标方案。 5.响应文件有效期符合谈判文件的要求。 6.（1）投标报价符合唯一性要求： （2）开标一览表填写符合要求； （3）计量单位、报价货币均符合谈判文件要求； （4）未超出采购预算或谈判文件规定的最高限价。 7.完全理解并接受对合格投标人、合格的服务要求，实质性要求没有负偏离。 8.没有不符合谈判文件规定的被视为无效响应的其他条款。 9.有完全理解并接受谈判文件合同基本条款要求的描述。10.理解并作出承诺</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法定代表人授权委托书.docx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