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版本号：YYZFCG单一来源（2025）12号20260108001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榆林日报2025年宣传服务方案</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YYZFCG单一来源（2025）12号</w:t>
      </w:r>
      <w:r>
        <w:br/>
      </w:r>
      <w:r>
        <w:br/>
      </w:r>
      <w:r>
        <w:br/>
      </w:r>
    </w:p>
    <w:p>
      <w:pPr>
        <w:pStyle w:val="null3"/>
        <w:jc w:val="center"/>
        <w:outlineLvl w:val="5"/>
      </w:pPr>
      <w:r>
        <w:rPr>
          <w:rFonts w:ascii="仿宋_GB2312" w:hAnsi="仿宋_GB2312" w:cs="仿宋_GB2312" w:eastAsia="仿宋_GB2312"/>
          <w:sz w:val="15"/>
          <w:b/>
        </w:rPr>
        <w:t>中共榆林市榆阳区委宣传部</w:t>
      </w:r>
    </w:p>
    <w:p>
      <w:pPr>
        <w:pStyle w:val="null3"/>
        <w:jc w:val="center"/>
        <w:outlineLvl w:val="5"/>
      </w:pPr>
      <w:r>
        <w:rPr>
          <w:rFonts w:ascii="仿宋_GB2312" w:hAnsi="仿宋_GB2312" w:cs="仿宋_GB2312" w:eastAsia="仿宋_GB2312"/>
          <w:sz w:val="15"/>
          <w:b/>
        </w:rPr>
        <w:t>榆林市榆阳区政府采购中心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2026年01月08日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榆林市榆阳区政府采购中心</w:t>
      </w:r>
      <w:r>
        <w:rPr>
          <w:rFonts w:ascii="仿宋_GB2312" w:hAnsi="仿宋_GB2312" w:cs="仿宋_GB2312" w:eastAsia="仿宋_GB2312"/>
        </w:rPr>
        <w:t>（以下简称“代理机构”）受</w:t>
      </w:r>
      <w:r>
        <w:rPr>
          <w:rFonts w:ascii="仿宋_GB2312" w:hAnsi="仿宋_GB2312" w:cs="仿宋_GB2312" w:eastAsia="仿宋_GB2312"/>
        </w:rPr>
        <w:t>中共榆林市榆阳区委宣传部</w:t>
      </w:r>
      <w:r>
        <w:rPr>
          <w:rFonts w:ascii="仿宋_GB2312" w:hAnsi="仿宋_GB2312" w:cs="仿宋_GB2312" w:eastAsia="仿宋_GB2312"/>
        </w:rPr>
        <w:t>委托，拟对</w:t>
      </w:r>
      <w:r>
        <w:rPr>
          <w:rFonts w:ascii="仿宋_GB2312" w:hAnsi="仿宋_GB2312" w:cs="仿宋_GB2312" w:eastAsia="仿宋_GB2312"/>
        </w:rPr>
        <w:t>榆林日报2025年宣传服务方案</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YYZFCG单一来源（2025）12号</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榆林日报2025年宣传服务方案</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作为陕北地区的重要经济、文化、交通中心，过去一年，榆阳区在经济建设、文旅融合、综合改革、民生福祉和生态环境等方面均取得了积极进展。在此契机之下，榆阳区将通过市级主流媒体优势，以新时代中国特色社会主义思想为指导，聚焦用党的创新理论武装头脑、教育人民、推动工作，紧紧围绕榆阳区“十四五”规划中期评估与深化实施、打造区域高质量发展示范区等核心任务，坚持正确政治方向、舆论导向、价值取向，坚持守正创新、深度融合，讲好榆阳故事，传播榆阳声音，展示榆阳形象，为奋力谱写榆阳新时代追赶超越新篇章营造浓厚氛围。 围绕榆阳区预期重点工作方向，在市级党报、电视台等主流媒体计划提供以下全方位、多层次的宣传服务：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1、有效的主体资格：营业执照等主体资格证明文件。：供应商应提交的相关资格证明材料</w:t>
      </w:r>
    </w:p>
    <w:p>
      <w:pPr>
        <w:pStyle w:val="null3"/>
      </w:pPr>
      <w:r>
        <w:rPr>
          <w:rFonts w:ascii="仿宋_GB2312" w:hAnsi="仿宋_GB2312" w:cs="仿宋_GB2312" w:eastAsia="仿宋_GB2312"/>
        </w:rPr>
        <w:t>2、合法授权：法定代表人参加投标的，提供本人身份证复印件；法定代表人授权他人参 供应商应提交的相关资格证明材料加投标的，提供《法定代表人授权委托书》，格式自拟。</w:t>
      </w:r>
    </w:p>
    <w:p>
      <w:pPr>
        <w:pStyle w:val="null3"/>
      </w:pPr>
      <w:r>
        <w:rPr>
          <w:rFonts w:ascii="仿宋_GB2312" w:hAnsi="仿宋_GB2312" w:cs="仿宋_GB2312" w:eastAsia="仿宋_GB2312"/>
        </w:rPr>
        <w:t>3、信用：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供应商应提交的相关资格证明材料</w:t>
      </w:r>
    </w:p>
    <w:p>
      <w:pPr>
        <w:pStyle w:val="null3"/>
      </w:pPr>
      <w:r>
        <w:rPr>
          <w:rFonts w:ascii="仿宋_GB2312" w:hAnsi="仿宋_GB2312" w:cs="仿宋_GB2312" w:eastAsia="仿宋_GB2312"/>
        </w:rPr>
        <w:t>4、本项目不接受联合体投标：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响应文件封面 服务内容及服务邀请应答表 中小企业声明函残疾人福利性单位声明函 商务应答表服务方案标的清单供应商应提交的相关资格证明材料报价表响应函 监狱企业的证明文件）</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中共榆林市榆阳区委宣传部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榆林市上郡北路256号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中共榆林市榆阳区委宣传部经办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17719658883</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榆林市榆阳区政府采购中心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榆阳区政务服务中心325室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719000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榆阳区政府采购中心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0912-3518917</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榆林市榆阳区政府采购管理股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边志栋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0912-3518955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中共榆林市榆阳区委宣传部</w:t>
      </w:r>
      <w:r>
        <w:rPr>
          <w:rFonts w:ascii="仿宋_GB2312" w:hAnsi="仿宋_GB2312" w:cs="仿宋_GB2312" w:eastAsia="仿宋_GB2312"/>
        </w:rPr>
        <w:t>和</w:t>
      </w:r>
      <w:r>
        <w:rPr>
          <w:rFonts w:ascii="仿宋_GB2312" w:hAnsi="仿宋_GB2312" w:cs="仿宋_GB2312" w:eastAsia="仿宋_GB2312"/>
        </w:rPr>
        <w:t>榆林市榆阳区政府采购中心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榆林市榆阳区政府采购中心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中共榆林市榆阳区委宣传部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榆林市榆阳区政府采购中心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履约验收内容应涵盖项目所涉及的所有技术指标和参数，包括但不限于宣传服务的具体内容、宣传渠道、宣传频次、宣传效果评估方法等。验收小组需依据采购合同及技术规格书，逐一核对供应商所提供服务的技术细节，确保其完全符合合同约定的技术要求。对于宣传内容的准确性、时效性以及创新性，验收小组应进行重点审查，确保宣传服务能够达到预期的宣传效果和社会影响力。同时，验收小组还应关注供应商在技术实施过程中的合规性，包括但不限于版权使用、数据安全等方面，确保项目技术履约的合法性和规范性。</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中共榆林市榆阳区委宣传部</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榆林市榆阳区政府采购中心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作为陕北地区的重要经济、文化、交通中心，过去一年，榆阳区在经济建设、文旅融合、综合改革、民生福祉和生态环境等方面均取得了积极进展。在此契机之下，榆阳区将通过市级主流媒体优势，以新时代中国特色社会主义思想为指导，聚焦用党的创新理论武装头脑、教育人民、推动工作，紧紧围绕榆阳区“十四五”规划中期评估与深化实施、打造区域高质量发展示范区等核心任务，坚持正确政治方向、舆论导向、价值取向，坚持守正创新、深度融合，讲好榆阳故事，传播榆阳声音，展示榆阳形象，为奋力谱写榆阳新时代追赶超越新篇章营造浓厚氛围。 围绕榆阳区预期重点工作方向，在市级党报、电视台等主流媒体计划提供以下全方位、多层次的宣传服务：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围绕榆阳区2025年预期重点工作方向，在市级党报、电视台等主流媒体计划提供以下全方位、多层次的宣传服务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标的名称：围绕榆阳区2025年预期重点工作方向，在市级党报、电视台等主流媒体计划提供以下全方位、多层次的宣传服务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620"/>
              <w:gridCol w:w="525"/>
              <w:gridCol w:w="877"/>
              <w:gridCol w:w="525"/>
            </w:tblGrid>
            <w:tr>
              <w:tc>
                <w:tcPr>
                  <w:tcW w:type="dxa" w:w="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项目</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时间</w:t>
                  </w: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内容/规格</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r>
            <w:tr>
              <w:tc>
                <w:tcPr>
                  <w:tcW w:type="dxa" w:w="62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报纸版面</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2025年度</w:t>
                  </w: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每个整版（彩色 32cm*48cm）</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12版</w:t>
                  </w:r>
                </w:p>
              </w:tc>
            </w:tr>
            <w:tr>
              <w:tc>
                <w:tcPr>
                  <w:tcW w:type="dxa" w:w="62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规格</w:t>
                  </w: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项目</w:t>
                  </w:r>
                </w:p>
              </w:tc>
              <w:tc>
                <w:tcPr>
                  <w:tcW w:type="dxa" w:w="52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数量</w:t>
                  </w:r>
                </w:p>
              </w:tc>
            </w:tr>
            <w:tr>
              <w:tc>
                <w:tcPr>
                  <w:tcW w:type="dxa" w:w="620"/>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视频宣传</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高清1920*1080</w:t>
                  </w: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导演/策划</w:t>
                  </w:r>
                </w:p>
              </w:tc>
              <w:tc>
                <w:tcPr>
                  <w:tcW w:type="dxa" w:w="52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 xml:space="preserve">  10集</w:t>
                  </w:r>
                  <w:r>
                    <w:br/>
                  </w:r>
                  <w:r>
                    <w:rPr>
                      <w:rFonts w:ascii="仿宋_GB2312" w:hAnsi="仿宋_GB2312" w:cs="仿宋_GB2312" w:eastAsia="仿宋_GB2312"/>
                      <w:sz w:val="24"/>
                      <w:color w:val="000000"/>
                    </w:rPr>
                    <w:t xml:space="preserve"> （30秒—180秒/集）</w:t>
                  </w: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编导/撰稿</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拍摄/航拍（索尼摄像机/大疆无人机）</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剪辑</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字幕</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包 装（AE/特效/调色）</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配音</w:t>
                  </w:r>
                </w:p>
              </w:tc>
              <w:tc>
                <w:tcPr>
                  <w:tcW w:type="dxa" w:w="525"/>
                  <w:vMerge/>
                  <w:tcBorders>
                    <w:top w:val="single" w:color="000000" w:sz="4"/>
                    <w:left w:val="single" w:color="000000" w:sz="4"/>
                    <w:bottom w:val="single" w:color="000000" w:sz="4"/>
                    <w:right w:val="single" w:color="000000" w:sz="4"/>
                  </w:tcBorders>
                </w:tcPr>
                <w:p/>
              </w:tc>
            </w:tr>
            <w:tr>
              <w:tc>
                <w:tcPr>
                  <w:tcW w:type="dxa" w:w="620"/>
                  <w:vMerge/>
                  <w:tcBorders>
                    <w:top w:val="single" w:color="000000" w:sz="4"/>
                    <w:left w:val="single" w:color="000000" w:sz="4"/>
                    <w:bottom w:val="single" w:color="000000" w:sz="4"/>
                    <w:right w:val="single" w:color="000000" w:sz="4"/>
                  </w:tcBorders>
                </w:tcPr>
                <w:p/>
              </w:tc>
              <w:tc>
                <w:tcPr>
                  <w:tcW w:type="dxa" w:w="525"/>
                  <w:vMerge/>
                  <w:tcBorders>
                    <w:top w:val="single" w:color="000000" w:sz="4"/>
                    <w:left w:val="single" w:color="000000" w:sz="4"/>
                    <w:bottom w:val="single" w:color="000000" w:sz="4"/>
                    <w:right w:val="single" w:color="000000" w:sz="4"/>
                  </w:tcBorders>
                </w:tcPr>
                <w:p/>
              </w:tc>
              <w:tc>
                <w:tcPr>
                  <w:tcW w:type="dxa" w:w="87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宣发费（榆林广播电视综合频道、榆林传媒中心视频号、抖音号、快手等短视频平台发布按集收费）</w:t>
                  </w:r>
                </w:p>
              </w:tc>
              <w:tc>
                <w:tcPr>
                  <w:tcW w:type="dxa" w:w="525"/>
                  <w:vMerge/>
                  <w:tcBorders>
                    <w:top w:val="single" w:color="000000" w:sz="4"/>
                    <w:left w:val="single" w:color="000000" w:sz="4"/>
                    <w:bottom w:val="single" w:color="000000" w:sz="4"/>
                    <w:right w:val="single" w:color="000000" w:sz="4"/>
                  </w:tcBorders>
                </w:tcP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榆阳区</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合同签订后付款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参照采购文件中规定的参数的发布数量验收</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若供应商未能按照合同约定履行质量保修义务，采购方有权要求供应商承担违约责任，包括但不限于支付违约金、赔偿损失等。同时，双方应首先通过友好协商的方式解决因合同履行过程中产生的任何争议。若协商不成，任何一方均有权将争议提交至有管辖权的人民法院进行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有效的主体资格：营业执照等主体资格证明文件。</w:t>
            </w:r>
          </w:p>
        </w:tc>
        <w:tc>
          <w:tcPr>
            <w:tcW w:type="dxa" w:w="3322"/>
          </w:tcPr>
          <w:p>
            <w:pPr>
              <w:pStyle w:val="null3"/>
            </w:pPr>
            <w:r>
              <w:rPr>
                <w:rFonts w:ascii="仿宋_GB2312" w:hAnsi="仿宋_GB2312" w:cs="仿宋_GB2312" w:eastAsia="仿宋_GB2312"/>
              </w:rPr>
              <w:t>供应商应提交的相关资格证明材料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合法授权</w:t>
            </w:r>
          </w:p>
        </w:tc>
        <w:tc>
          <w:tcPr>
            <w:tcW w:type="dxa" w:w="3322"/>
          </w:tcPr>
          <w:p>
            <w:pPr>
              <w:pStyle w:val="null3"/>
            </w:pPr>
            <w:r>
              <w:rPr>
                <w:rFonts w:ascii="仿宋_GB2312" w:hAnsi="仿宋_GB2312" w:cs="仿宋_GB2312" w:eastAsia="仿宋_GB2312"/>
              </w:rPr>
              <w:t>法定代表人参加投标的，提供本人身份证复印件；法定代表人授权他人参 供应商应提交的相关资格证明材料加投标的，提供《法定代表人授权委托书》，格式自拟。</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具备良好的商业信誉，提供参加政府采购活动前三年内在经营活动中没有重大违法记录的书面声明（投标人按《投标（响应）函》承诺）；对列入失信被执行人、重大税收违法案件当事人名单、政府采购严重违法失信行为记录名单及其他不符合《中华人民共和国政府采购法》第二十二条规定条件的将拒绝其参与政府采购活动。投标人按《投标（响应）函》承诺，无需提供信用信息查询结果。若供应商自行提供查询结果的，仍以评审当天采购人查询结果为准。因查询渠道网站原因导致查无供应商信息的，不认定供应商资格审查不合格；评审结束后，通过其他渠道发现供应商存在不良信用记录的，不认定为资格审查错误，将依照有关规定进行调查处理。供应商应提交的相关资格证明材料</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采购项目提供整体设计、规范编制或者项目管理、监理、检测等服务的供应商，不得再参加该采购项目的其他采购活动。（投标人按《投标（响应）函》承诺）（响应文件封面 服务内容及服务邀请应答表 中小企业声明函残疾人福利性单位声明函 商务应答表服务方案标的清单供应商应提交的相关资格证明材料报价表响应函 监狱企业的证明文件）</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1.响应文件语言 2.响应文件封面、投标函、法定代表人授权委托书三处的项目名称、项目编号、标段（如有） 3.响应文件签署、盖章 4.响应文件组成 5.响应文件有效期 6.开标一览表 7.技术服务要求 8.无其他单一来源文件或法规明确规定响应无效的事项 9.合同条款响应。10.承诺</w:t>
            </w:r>
          </w:p>
        </w:tc>
        <w:tc>
          <w:tcPr>
            <w:tcW w:type="dxa" w:w="3322"/>
          </w:tcPr>
          <w:p>
            <w:pPr>
              <w:pStyle w:val="null3"/>
            </w:pPr>
            <w:r>
              <w:rPr>
                <w:rFonts w:ascii="仿宋_GB2312" w:hAnsi="仿宋_GB2312" w:cs="仿宋_GB2312" w:eastAsia="仿宋_GB2312"/>
              </w:rPr>
              <w:t>1.响应文件语言符合单一来源文件要求。 2.三处均无遗漏，且与所投项目名称、项目编号、标段（如有）一致。 3.均按单一来源文件要求盖章（评分标准中要求提供的证明材料除外）。 4.响应文件应包含以下内容： （1）资格证明文件； （2）符合性证明文件； （3）投标方案。 5.响应文件有效期符合单一来源文件的要求。 6.（1）投标报价符合唯一性要求： （2）开标一览表填写符合要求； （3）计量单位、报价货币均符合单一来源文件要求； （4）未超出采购预算或单一来源文件规定的最高限价。 7.完全理解并接受对合格投标人、合格的服务要求，实质性要求没有负偏离。 8.没有不符合单一来源文件规定的被视为无效响应的其他条款。 9.有完全理解并接受单一来源文件合同基本条款要求的描述。10.理解并作出承诺</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详见附件：县区专版合同（榆阳区报纸专版合同）.docx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