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版本号：YYZFCG竞争性磋商（2026）15号20260415001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古塔镇政府办公楼及附属楼防水保温改造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YYZFCG竞争性磋商（2026）15号</w:t>
      </w:r>
      <w:r>
        <w:br/>
      </w:r>
      <w:r>
        <w:br/>
      </w:r>
      <w:r>
        <w:br/>
      </w:r>
    </w:p>
    <w:p>
      <w:pPr>
        <w:pStyle w:val="null3"/>
        <w:jc w:val="center"/>
        <w:outlineLvl w:val="2"/>
      </w:pPr>
      <w:r>
        <w:rPr>
          <w:rFonts w:ascii="仿宋_GB2312" w:hAnsi="仿宋_GB2312" w:cs="仿宋_GB2312" w:eastAsia="仿宋_GB2312"/>
          <w:sz w:val="28"/>
          <w:b/>
        </w:rPr>
        <w:t>榆阳区古塔镇人民政府</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榆阳区古塔镇人民政府</w:t>
      </w:r>
      <w:r>
        <w:rPr>
          <w:rFonts w:ascii="仿宋_GB2312" w:hAnsi="仿宋_GB2312" w:cs="仿宋_GB2312" w:eastAsia="仿宋_GB2312"/>
        </w:rPr>
        <w:t>委托，拟对</w:t>
      </w:r>
      <w:r>
        <w:rPr>
          <w:rFonts w:ascii="仿宋_GB2312" w:hAnsi="仿宋_GB2312" w:cs="仿宋_GB2312" w:eastAsia="仿宋_GB2312"/>
        </w:rPr>
        <w:t>古塔镇政府办公楼及附属楼防水保温改造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YYZFCG竞争性磋商（2026）15号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古塔镇政府办公楼及附属楼防水保温改造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古塔镇政府办公楼及附属楼防水保温改造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采购包1（古塔镇政府办公楼及附属楼防水保温改造）：属于专门面向小微企业采购。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 法人应提供合法有效的标识有统一社会信用代码的营业执照；事业法人应提供事业 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 提交法定代表人/负责人身份证明文件。法定代表人/负责人授权代表参加投标的， 须出具法定代表人/负责人授权书、被授权人提供响应文件截止时间前一年内任意 一个月在投标人单位缴纳社会保障资金（养老保险或医疗保险）的缴纳证明。</w:t>
      </w:r>
    </w:p>
    <w:p>
      <w:pPr>
        <w:pStyle w:val="null3"/>
      </w:pPr>
      <w:r>
        <w:rPr>
          <w:rFonts w:ascii="仿宋_GB2312" w:hAnsi="仿宋_GB2312" w:cs="仿宋_GB2312" w:eastAsia="仿宋_GB2312"/>
        </w:rPr>
        <w:t>3、财务状况报告：供应商提供2025年度经审计的完整财务审计报告（审计报告应当包含报告正文、 资产负 债表、利润表、现金流量表、附注和会计师事务所营业执照，报告正文应 当有会计师事务所公章，2个注册会计师的证书、签字和盖章）或开标前三个月内 银行出具的资信证明，或财政部门认可的 政府采购专业担保机构出具的投标担保 函（以上三种形式的资料提供任何一种即可）。</w:t>
      </w:r>
    </w:p>
    <w:p>
      <w:pPr>
        <w:pStyle w:val="null3"/>
      </w:pPr>
      <w:r>
        <w:rPr>
          <w:rFonts w:ascii="仿宋_GB2312" w:hAnsi="仿宋_GB2312" w:cs="仿宋_GB2312" w:eastAsia="仿宋_GB2312"/>
        </w:rPr>
        <w:t>4、社会保障资金缴纳证明：供应商提供投标文件递交截止日前一年内的任意一个月的社会保障资金缴存单据或 社保机构开具的社会保险参保缴费情况证明，依法不需要缴纳社会保障资金的单位 应提供相关证明材料。</w:t>
      </w:r>
    </w:p>
    <w:p>
      <w:pPr>
        <w:pStyle w:val="null3"/>
      </w:pPr>
      <w:r>
        <w:rPr>
          <w:rFonts w:ascii="仿宋_GB2312" w:hAnsi="仿宋_GB2312" w:cs="仿宋_GB2312" w:eastAsia="仿宋_GB2312"/>
        </w:rPr>
        <w:t>5、税收缴纳证明：供应商提供投标文件递交截止日前一年内已缴存的任意一个月的纳税证明或完税证 明，纳税证明或完税证明上应有代收机构或税务机关的公章，依法免税的单位应提 供相关证明材料。</w:t>
      </w:r>
    </w:p>
    <w:p>
      <w:pPr>
        <w:pStyle w:val="null3"/>
      </w:pPr>
      <w:r>
        <w:rPr>
          <w:rFonts w:ascii="仿宋_GB2312" w:hAnsi="仿宋_GB2312" w:cs="仿宋_GB2312" w:eastAsia="仿宋_GB2312"/>
        </w:rPr>
        <w:t>6、书面声明（信用记录）：提供《供应商信用记录书面声明函》（按格式 填写，提供原件）。经查，投标人 未被列入“信用中国”网站记录的“失信被执行人”或“重大税收违法失信主体”名单； 不处于“中国政府采购网”记录的“政府采购严重违法失信行为记录名单”中的禁止参 加政府采购活动期间。</w:t>
      </w:r>
    </w:p>
    <w:p>
      <w:pPr>
        <w:pStyle w:val="null3"/>
      </w:pPr>
      <w:r>
        <w:rPr>
          <w:rFonts w:ascii="仿宋_GB2312" w:hAnsi="仿宋_GB2312" w:cs="仿宋_GB2312" w:eastAsia="仿宋_GB2312"/>
        </w:rPr>
        <w:t>7、承诺函：提供具有履行合同所必需的设备和专业技术能力的承诺。</w:t>
      </w:r>
    </w:p>
    <w:p>
      <w:pPr>
        <w:pStyle w:val="null3"/>
      </w:pPr>
      <w:r>
        <w:rPr>
          <w:rFonts w:ascii="仿宋_GB2312" w:hAnsi="仿宋_GB2312" w:cs="仿宋_GB2312" w:eastAsia="仿宋_GB2312"/>
        </w:rPr>
        <w:t>8、专业承包资质：供应商须具备建筑工程施工总承包三级及以上资质、安全生产许可证。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榆阳区古塔镇人民政府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古塔</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榆阳区古塔镇人民政府经办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18991095670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13402995599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采购包1：483,627.06元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榆阳区古塔镇人民政府</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榆阳区古塔镇人民政府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榆阳区古塔镇人民政府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联系电话：13402995599</w:t>
      </w:r>
    </w:p>
    <w:p>
      <w:pPr>
        <w:pStyle w:val="null3"/>
      </w:pPr>
      <w:r>
        <w:rPr>
          <w:rFonts w:ascii="仿宋_GB2312" w:hAnsi="仿宋_GB2312" w:cs="仿宋_GB2312" w:eastAsia="仿宋_GB2312"/>
        </w:rPr>
        <w:t>地址：榆阳区政务服务中心</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483,627.06</w:t>
      </w:r>
    </w:p>
    <w:p>
      <w:pPr>
        <w:pStyle w:val="null3"/>
      </w:pPr>
      <w:r>
        <w:rPr>
          <w:rFonts w:ascii="仿宋_GB2312" w:hAnsi="仿宋_GB2312" w:cs="仿宋_GB2312" w:eastAsia="仿宋_GB2312"/>
        </w:rPr>
        <w:t>采购包最高限价（元）: 483,627.06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483,627.06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无标识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 法人应提供合法有效的标识有统一社会信用代码的营业执照；事业法人应提供事业 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 提交法定代表人/负责人身份证明文件。法定代表人/负责人授权代表参加投标的， 须出具法定代表人/负责人授权书、被授权人提供响应文件截止时间前一年内任意 一个月在投标人单位缴纳社会保障资金（养老保险或医疗保险）的缴纳证明。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 资产负 债表、利润表、现金流量表、附注和会计师事务所营业执照，报告正文应 当有会计师事务所公章，2个注册会计师的证书、签字和盖章）或开标前三个月内 银行出具的资信证明，或财政部门认可的 政府采购专业担保机构出具的投标担保 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供应商提供投标文件递交截止日前一年内的任意一个月的社会保障资金缴存单据或 社保机构开具的社会保险参保缴费情况证明，依法不需要缴纳社会保障资金的单位 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供应商提供投标文件递交截止日前一年内已缴存的任意一个月的纳税证明或完税证 明，纳税证明或完税证明上应有代收机构或税务机关的公章，依法免税的单位应提 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提供《供应商信用记录书面声明函》（按格式 填写，提供原件）。经查，投标人 未被列入“信用中国”网站记录的“失信被执行人”或“重大税收违法失信主体”名单； 不处于“中国政府采购网”记录的“政府采购严重违法失信行为记录名单”中的禁止参 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专业承包资质</w:t>
            </w:r>
          </w:p>
        </w:tc>
        <w:tc>
          <w:tcPr>
            <w:tcW w:type="dxa" w:w="3322"/>
          </w:tcPr>
          <w:p>
            <w:pPr>
              <w:pStyle w:val="null3"/>
            </w:pPr>
            <w:r>
              <w:rPr>
                <w:rFonts w:ascii="仿宋_GB2312" w:hAnsi="仿宋_GB2312" w:cs="仿宋_GB2312" w:eastAsia="仿宋_GB2312"/>
              </w:rPr>
              <w:t>供应商须具备建筑工程施工总承包三级及以上资质、安全生产许可证。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磋商报价</w:t>
            </w:r>
          </w:p>
        </w:tc>
        <w:tc>
          <w:tcPr>
            <w:tcW w:type="dxa" w:w="2492"/>
          </w:tcPr>
          <w:p>
            <w:pPr>
              <w:pStyle w:val="null3"/>
            </w:pPr>
            <w:r>
              <w:rPr>
                <w:rFonts w:ascii="仿宋_GB2312" w:hAnsi="仿宋_GB2312" w:cs="仿宋_GB2312" w:eastAsia="仿宋_GB2312"/>
              </w:rPr>
              <w:t>实质性满足磋商文件的要求且最终报价进行计算： 最后报价（30分）：满足磋商文件要求且报价合理最低的供应商的价格为基准价，其价格分为满分。 其他供应商的价格分按照下列公式计算： 磋商报价得分=（基准价/最后报价）×30 磋商小组发现某一供应商的最后报价明显低于其他供应商的最终报价，使得其报价可能低于其成本的，应当要求该供应商在30分钟内作出书面说明并提供相应的证明材料。供应商在有效时间内不能合理说明或者不能提供相应证明材料的，由磋商小组认定该供应商以低于成本报价竞标，其供应商的最后报价不予认可，作无效响应处理视为自动放弃，基准价以次低价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施工方案全面、合理，可行性强，满足本项目维修内容. 评审标准： （1）本项目施工关键内容的施工方法具体完整得4分；不详细、不完整2分。 （2）主要施工内容有详细的施工工序及工艺安排等得4分；不详细、不完整得2分。 （3）针对本次维修的难点有详细方案描述的得4分；不详细、不完整得2分。 （4）有工完场清、有成品保护等内容描述得4分；不详细得2分。 （5）施工方案有明显不符合本项目施工内容的不得分。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质量管理和保证措施全面、合理，可行性强，满足本项目维修内容. 评审标准： （1）有完善的质量管理体系及具体详实可行的质量保证措施； （2）有不限于维修改造等主要节点的质量控制措施内容，得8分； （3）有基本的质量管理和措施，质量保证措施基本合理，得 6分； （4）有基本合理的质量管理，但质量保证措施内容不完整得4分； （5）有质量管理和保证措施，但不具体、没有针对性，得2分； （6）未提供得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安全生产管理 体系及保证措施</w:t>
            </w:r>
          </w:p>
        </w:tc>
        <w:tc>
          <w:tcPr>
            <w:tcW w:type="dxa" w:w="2492"/>
          </w:tcPr>
          <w:p>
            <w:pPr>
              <w:pStyle w:val="null3"/>
            </w:pPr>
            <w:r>
              <w:rPr>
                <w:rFonts w:ascii="仿宋_GB2312" w:hAnsi="仿宋_GB2312" w:cs="仿宋_GB2312" w:eastAsia="仿宋_GB2312"/>
              </w:rPr>
              <w:t>针对本项目有完善的安全生产管理体系，措施完整全面，能够从多方面保证安全生产，且合理性、可行。 评审标准： （1）有明确的安全管理人员、管理制度和责任管理制度得2分； （2）有详细的安全措施（如消防安全、人行安全通道防护等）得2分； （3）有必要的安全设施设备（包括但不限于安全帽、等并设置清晰的安全警示牌）得2分； （4）有完整的针对本维修工程的安全交底得2分； 上述4项内容中有缺陷或不完整、不详细，没有针对性分别扣1分，未提供不得分。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确保文明施工的技术措施及环境保护施</w:t>
            </w:r>
          </w:p>
        </w:tc>
        <w:tc>
          <w:tcPr>
            <w:tcW w:type="dxa" w:w="2492"/>
          </w:tcPr>
          <w:p>
            <w:pPr>
              <w:pStyle w:val="null3"/>
            </w:pPr>
            <w:r>
              <w:rPr>
                <w:rFonts w:ascii="仿宋_GB2312" w:hAnsi="仿宋_GB2312" w:cs="仿宋_GB2312" w:eastAsia="仿宋_GB2312"/>
              </w:rPr>
              <w:t>措施全面、完整，能从多方面确保文明施工。 评审标准： （1）提出合理可行的文明施工解决和防治措施（不限于对减少灰尘、控制噪音等方面）可达到环境保护要求的得6分； （2）措施基本完整、有一定的可行性，能基本满足文明施工等环境保护要求的得4分； （3）措施存在较大不合理性、内容简单、没有针对本项目性的得2分；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项目应急预案</w:t>
            </w:r>
          </w:p>
        </w:tc>
        <w:tc>
          <w:tcPr>
            <w:tcW w:type="dxa" w:w="2492"/>
          </w:tcPr>
          <w:p>
            <w:pPr>
              <w:pStyle w:val="null3"/>
            </w:pPr>
            <w:r>
              <w:rPr>
                <w:rFonts w:ascii="仿宋_GB2312" w:hAnsi="仿宋_GB2312" w:cs="仿宋_GB2312" w:eastAsia="仿宋_GB2312"/>
              </w:rPr>
              <w:t>针对本项目有应急预案，而且预案要科学、合理、详细。 评审标准： （1）预案科学可行，且对本项目有可能出现的问题及重大故障有全面的分析的得6分； （2）有应急预案，预案基本能够针对本项目得4分； （3）虽然有应急预案但不能针对本项目具体内容，得2分； （4）虽然有应急预案但简单不合理或未提供不得分。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施工机械设备配备计划和劳动力安排计划</w:t>
            </w:r>
          </w:p>
        </w:tc>
        <w:tc>
          <w:tcPr>
            <w:tcW w:type="dxa" w:w="2492"/>
          </w:tcPr>
          <w:p>
            <w:pPr>
              <w:pStyle w:val="null3"/>
            </w:pPr>
            <w:r>
              <w:rPr>
                <w:rFonts w:ascii="仿宋_GB2312" w:hAnsi="仿宋_GB2312" w:cs="仿宋_GB2312" w:eastAsia="仿宋_GB2312"/>
              </w:rPr>
              <w:t>机械种类齐备合理、劳动力计划安排工种齐全。 评审标准： （1）设备选型配置齐全，能够完全满足项目需要，劳动力计划工种合理、数量充足，得8分； （2）机械设备配置基本合理，劳动力基本数量充足，得 6分； （3）机械设备配置及劳动力计划比较简单得4分； （4）机械设备安排不合理，劳动力不合理得2分 未提供得分。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拟投入项目管理人员</w:t>
            </w:r>
          </w:p>
        </w:tc>
        <w:tc>
          <w:tcPr>
            <w:tcW w:type="dxa" w:w="2492"/>
          </w:tcPr>
          <w:p>
            <w:pPr>
              <w:pStyle w:val="null3"/>
            </w:pPr>
            <w:r>
              <w:rPr>
                <w:rFonts w:ascii="仿宋_GB2312" w:hAnsi="仿宋_GB2312" w:cs="仿宋_GB2312" w:eastAsia="仿宋_GB2312"/>
              </w:rPr>
              <w:t>项目管理人员配置满足施工要求、同时证件齐全合理， 评审标准： （1）管理人员设置满足施工要求、所附各类证明材料齐全，得6分； （2）管理人员岗位设置基本满足施工要求、所附相关证明材料基本齐全，得4分； （3）管理人员安排不合理或者所附相关证明材料不齐全，得2分； 未提供相关证明资料不得分。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新技术、工艺</w:t>
            </w:r>
          </w:p>
        </w:tc>
        <w:tc>
          <w:tcPr>
            <w:tcW w:type="dxa" w:w="2492"/>
          </w:tcPr>
          <w:p>
            <w:pPr>
              <w:pStyle w:val="null3"/>
            </w:pPr>
            <w:r>
              <w:rPr>
                <w:rFonts w:ascii="仿宋_GB2312" w:hAnsi="仿宋_GB2312" w:cs="仿宋_GB2312" w:eastAsia="仿宋_GB2312"/>
              </w:rPr>
              <w:t>新技术、新产品、新工艺、新材料应用方案合理、可行、科学。 其中：每提出1项适合本维修工程的新技术或工艺，并说明其优点得2分，最高4分，未提供或存在明显不符合本项目施工内容的不得分。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2023年1月1日至今已完工（以合同完工日期为准）的类似项目业绩1个得4分，每增加1个类似项目加2分，累计得分最高8分。 注：以提供的业绩证明材料为准（含中标通知书、施工合同）。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