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神木市2024年滨河新区街道骆驼场村仓储物流配套设施项目</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竞争性磋商公告</w:t>
      </w:r>
    </w:p>
    <w:p>
      <w:pPr>
        <w:pStyle w:val="3"/>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hint="eastAsia" w:ascii="仿宋" w:hAnsi="仿宋" w:eastAsia="仿宋" w:cs="仿宋"/>
          <w:b w:val="0"/>
          <w:bCs w:val="0"/>
          <w:color w:val="333333"/>
          <w:szCs w:val="24"/>
        </w:rPr>
      </w:pPr>
      <w:r>
        <w:rPr>
          <w:rStyle w:val="7"/>
          <w:rFonts w:hint="eastAsia" w:ascii="仿宋" w:hAnsi="仿宋" w:eastAsia="仿宋" w:cs="仿宋"/>
          <w:b w:val="0"/>
          <w:bCs w:val="0"/>
          <w:color w:val="333333"/>
          <w:szCs w:val="24"/>
          <w:shd w:val="clear" w:color="auto" w:fill="FFFFFF"/>
        </w:rPr>
        <w:t>项目概况</w:t>
      </w:r>
    </w:p>
    <w:p>
      <w:pPr>
        <w:pStyle w:val="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rPr>
      </w:pPr>
      <w:r>
        <w:rPr>
          <w:rFonts w:hint="eastAsia" w:ascii="仿宋" w:hAnsi="仿宋" w:eastAsia="仿宋" w:cs="仿宋"/>
          <w:color w:val="333333"/>
          <w:u w:val="single"/>
          <w:shd w:val="clear" w:color="auto" w:fill="FFFFFF"/>
          <w:lang w:eastAsia="zh-CN"/>
        </w:rPr>
        <w:t>神木市2024年滨河新区街道骆驼场村仓储物流配套设施项目</w:t>
      </w:r>
      <w:r>
        <w:rPr>
          <w:rFonts w:hint="eastAsia" w:ascii="仿宋" w:hAnsi="仿宋" w:eastAsia="仿宋" w:cs="仿宋"/>
          <w:color w:val="333333"/>
          <w:highlight w:val="none"/>
          <w:shd w:val="clear" w:color="auto" w:fill="FFFFFF"/>
        </w:rPr>
        <w:t>的潜在供应商应在</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全国公共资源交易中心平台（陕西省）（http://www.sxggzyjy.cn/）</w:t>
      </w:r>
      <w:r>
        <w:rPr>
          <w:rFonts w:hint="eastAsia" w:ascii="仿宋" w:hAnsi="仿宋" w:eastAsia="仿宋" w:cs="仿宋"/>
          <w:highlight w:val="none"/>
          <w:shd w:val="clear" w:color="auto" w:fill="FFFFFF"/>
        </w:rPr>
        <w:t>获取采购文件，并于</w:t>
      </w:r>
      <w:r>
        <w:rPr>
          <w:rFonts w:hint="eastAsia" w:ascii="仿宋" w:hAnsi="仿宋" w:eastAsia="仿宋" w:cs="仿宋"/>
          <w:highlight w:val="none"/>
          <w:u w:val="single"/>
          <w:shd w:val="clear" w:color="auto" w:fill="FFFFFF"/>
        </w:rPr>
        <w:t>202</w:t>
      </w:r>
      <w:r>
        <w:rPr>
          <w:rFonts w:hint="eastAsia" w:ascii="仿宋" w:hAnsi="仿宋" w:eastAsia="仿宋" w:cs="仿宋"/>
          <w:highlight w:val="none"/>
          <w:u w:val="single"/>
          <w:shd w:val="clear" w:color="auto" w:fill="FFFFFF"/>
          <w:lang w:val="en-US" w:eastAsia="zh-CN"/>
        </w:rPr>
        <w:t>4</w:t>
      </w:r>
      <w:r>
        <w:rPr>
          <w:rFonts w:hint="eastAsia" w:ascii="仿宋" w:hAnsi="仿宋" w:eastAsia="仿宋" w:cs="仿宋"/>
          <w:highlight w:val="none"/>
          <w:u w:val="single"/>
          <w:shd w:val="clear" w:color="auto" w:fill="FFFFFF"/>
        </w:rPr>
        <w:t>年</w:t>
      </w:r>
      <w:r>
        <w:rPr>
          <w:rFonts w:hint="eastAsia" w:ascii="仿宋" w:hAnsi="仿宋" w:eastAsia="仿宋" w:cs="仿宋"/>
          <w:highlight w:val="none"/>
          <w:u w:val="single"/>
          <w:shd w:val="clear" w:color="auto" w:fill="FFFFFF"/>
          <w:lang w:val="en-US" w:eastAsia="zh-CN"/>
        </w:rPr>
        <w:t>05</w:t>
      </w:r>
      <w:r>
        <w:rPr>
          <w:rFonts w:hint="eastAsia" w:ascii="仿宋" w:hAnsi="仿宋" w:eastAsia="仿宋" w:cs="仿宋"/>
          <w:highlight w:val="none"/>
          <w:u w:val="single"/>
          <w:shd w:val="clear" w:color="auto" w:fill="FFFFFF"/>
        </w:rPr>
        <w:t>月</w:t>
      </w:r>
      <w:r>
        <w:rPr>
          <w:rFonts w:hint="eastAsia" w:ascii="仿宋" w:hAnsi="仿宋" w:eastAsia="仿宋" w:cs="仿宋"/>
          <w:highlight w:val="none"/>
          <w:u w:val="single"/>
          <w:shd w:val="clear" w:color="auto" w:fill="FFFFFF"/>
          <w:lang w:val="en-US" w:eastAsia="zh-CN"/>
        </w:rPr>
        <w:t>11</w:t>
      </w:r>
      <w:r>
        <w:rPr>
          <w:rFonts w:hint="eastAsia" w:ascii="仿宋" w:hAnsi="仿宋" w:eastAsia="仿宋" w:cs="仿宋"/>
          <w:highlight w:val="none"/>
          <w:u w:val="single"/>
          <w:shd w:val="clear" w:color="auto" w:fill="FFFFFF"/>
        </w:rPr>
        <w:t>日</w:t>
      </w:r>
      <w:r>
        <w:rPr>
          <w:rFonts w:hint="eastAsia" w:ascii="仿宋" w:hAnsi="仿宋" w:eastAsia="仿宋" w:cs="仿宋"/>
          <w:highlight w:val="none"/>
          <w:u w:val="single"/>
          <w:shd w:val="clear" w:color="auto" w:fill="FFFFFF"/>
          <w:lang w:val="en-US" w:eastAsia="zh-CN"/>
        </w:rPr>
        <w:t>13</w:t>
      </w:r>
      <w:r>
        <w:rPr>
          <w:rFonts w:hint="eastAsia" w:ascii="仿宋" w:hAnsi="仿宋" w:eastAsia="仿宋" w:cs="仿宋"/>
          <w:highlight w:val="none"/>
          <w:u w:val="single"/>
          <w:shd w:val="clear" w:color="auto" w:fill="FFFFFF"/>
        </w:rPr>
        <w:t>时</w:t>
      </w:r>
      <w:r>
        <w:rPr>
          <w:rFonts w:hint="eastAsia" w:ascii="仿宋" w:hAnsi="仿宋" w:eastAsia="仿宋" w:cs="仿宋"/>
          <w:highlight w:val="none"/>
          <w:u w:val="single"/>
          <w:shd w:val="clear" w:color="auto" w:fill="FFFFFF"/>
          <w:lang w:val="en-US" w:eastAsia="zh-CN"/>
        </w:rPr>
        <w:t>30</w:t>
      </w:r>
      <w:r>
        <w:rPr>
          <w:rFonts w:hint="eastAsia" w:ascii="仿宋" w:hAnsi="仿宋" w:eastAsia="仿宋" w:cs="仿宋"/>
          <w:highlight w:val="none"/>
          <w:u w:val="single"/>
          <w:shd w:val="clear" w:color="auto" w:fill="FFFFFF"/>
        </w:rPr>
        <w:t xml:space="preserve">分 </w:t>
      </w:r>
      <w:r>
        <w:rPr>
          <w:rFonts w:hint="eastAsia" w:ascii="仿宋" w:hAnsi="仿宋" w:eastAsia="仿宋" w:cs="仿宋"/>
          <w:highlight w:val="none"/>
          <w:shd w:val="clear" w:color="auto" w:fill="FFFFFF"/>
        </w:rPr>
        <w:t>（北京时间）前递交响应文</w:t>
      </w:r>
      <w:r>
        <w:rPr>
          <w:rFonts w:hint="eastAsia" w:ascii="仿宋" w:hAnsi="仿宋" w:eastAsia="仿宋" w:cs="仿宋"/>
          <w:shd w:val="clear" w:color="auto" w:fill="FFFFFF"/>
        </w:rPr>
        <w:t>件。</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一、项目基本情况</w:t>
      </w:r>
    </w:p>
    <w:p>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SCZK2024-CS-0872/001</w:t>
      </w:r>
    </w:p>
    <w:p>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神木市2024年滨河新区街道骆驼场村仓储物流配套设施项目</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采购方式：竞争性磋商</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2130591.36</w:t>
      </w:r>
      <w:r>
        <w:rPr>
          <w:rFonts w:hint="eastAsia" w:ascii="仿宋" w:hAnsi="仿宋" w:eastAsia="仿宋" w:cs="仿宋"/>
          <w:sz w:val="24"/>
        </w:rPr>
        <w:t>元</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u w:val="single"/>
          <w:lang w:eastAsia="zh-CN"/>
        </w:rPr>
        <w:t>神木市2024年滨河新区街道骆驼场村仓储物流配套设施项目</w:t>
      </w:r>
      <w:r>
        <w:rPr>
          <w:rFonts w:hint="eastAsia" w:ascii="仿宋" w:hAnsi="仿宋" w:eastAsia="仿宋" w:cs="仿宋"/>
          <w:sz w:val="24"/>
        </w:rPr>
        <w:t xml:space="preserve">） </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2130591.36</w:t>
      </w:r>
      <w:r>
        <w:rPr>
          <w:rFonts w:hint="eastAsia" w:ascii="仿宋" w:hAnsi="仿宋" w:eastAsia="仿宋" w:cs="仿宋"/>
          <w:sz w:val="24"/>
        </w:rPr>
        <w:t>元</w:t>
      </w:r>
    </w:p>
    <w:p>
      <w:pPr>
        <w:spacing w:line="520" w:lineRule="exact"/>
        <w:ind w:firstLine="480" w:firstLineChars="200"/>
        <w:outlineLvl w:val="1"/>
        <w:rPr>
          <w:rFonts w:hint="eastAsia" w:ascii="仿宋" w:hAnsi="仿宋" w:eastAsia="仿宋" w:cs="仿宋"/>
          <w:sz w:val="24"/>
          <w:lang w:val="en-US" w:eastAsia="zh-CN"/>
        </w:rPr>
      </w:pPr>
      <w:r>
        <w:rPr>
          <w:rFonts w:hint="eastAsia" w:ascii="仿宋" w:hAnsi="仿宋" w:eastAsia="仿宋" w:cs="仿宋"/>
          <w:sz w:val="24"/>
          <w:lang w:val="en-US" w:eastAsia="zh-CN"/>
        </w:rPr>
        <w:t>合同包最高限价：2130591.36元</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49"/>
        <w:gridCol w:w="1072"/>
        <w:gridCol w:w="1253"/>
        <w:gridCol w:w="1684"/>
        <w:gridCol w:w="164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jc w:val="center"/>
              <w:rPr>
                <w:rFonts w:hint="eastAsia" w:ascii="仿宋" w:hAnsi="仿宋" w:eastAsia="仿宋" w:cs="仿宋"/>
                <w:b/>
                <w:sz w:val="24"/>
              </w:rPr>
            </w:pPr>
            <w:r>
              <w:rPr>
                <w:rFonts w:hint="eastAsia" w:ascii="仿宋" w:hAnsi="仿宋" w:eastAsia="仿宋" w:cs="仿宋"/>
                <w:b/>
                <w:sz w:val="24"/>
              </w:rPr>
              <w:t>品目号</w:t>
            </w:r>
          </w:p>
        </w:tc>
        <w:tc>
          <w:tcPr>
            <w:tcW w:w="1049" w:type="dxa"/>
            <w:vAlign w:val="center"/>
          </w:tcPr>
          <w:p>
            <w:pPr>
              <w:jc w:val="center"/>
              <w:rPr>
                <w:rFonts w:hint="eastAsia" w:ascii="仿宋" w:hAnsi="仿宋" w:eastAsia="仿宋" w:cs="仿宋"/>
                <w:b/>
                <w:sz w:val="24"/>
              </w:rPr>
            </w:pPr>
            <w:r>
              <w:rPr>
                <w:rFonts w:hint="eastAsia" w:ascii="仿宋" w:hAnsi="仿宋" w:eastAsia="仿宋" w:cs="仿宋"/>
                <w:b/>
                <w:sz w:val="24"/>
              </w:rPr>
              <w:t>品目名称</w:t>
            </w:r>
          </w:p>
        </w:tc>
        <w:tc>
          <w:tcPr>
            <w:tcW w:w="1072" w:type="dxa"/>
            <w:vAlign w:val="center"/>
          </w:tcPr>
          <w:p>
            <w:pPr>
              <w:jc w:val="center"/>
              <w:rPr>
                <w:rFonts w:hint="eastAsia" w:ascii="仿宋" w:hAnsi="仿宋" w:eastAsia="仿宋" w:cs="仿宋"/>
                <w:b/>
                <w:sz w:val="24"/>
              </w:rPr>
            </w:pPr>
            <w:r>
              <w:rPr>
                <w:rFonts w:hint="eastAsia" w:ascii="仿宋" w:hAnsi="仿宋" w:eastAsia="仿宋" w:cs="仿宋"/>
                <w:b/>
                <w:sz w:val="24"/>
              </w:rPr>
              <w:t>采购标的</w:t>
            </w:r>
          </w:p>
        </w:tc>
        <w:tc>
          <w:tcPr>
            <w:tcW w:w="1253" w:type="dxa"/>
            <w:vAlign w:val="center"/>
          </w:tcPr>
          <w:p>
            <w:pPr>
              <w:jc w:val="center"/>
              <w:rPr>
                <w:rFonts w:hint="eastAsia" w:ascii="仿宋" w:hAnsi="仿宋" w:eastAsia="仿宋" w:cs="仿宋"/>
                <w:b/>
                <w:sz w:val="24"/>
              </w:rPr>
            </w:pPr>
            <w:r>
              <w:rPr>
                <w:rFonts w:hint="eastAsia" w:ascii="仿宋" w:hAnsi="仿宋" w:eastAsia="仿宋" w:cs="仿宋"/>
                <w:b/>
                <w:sz w:val="24"/>
              </w:rPr>
              <w:t>数量</w:t>
            </w:r>
          </w:p>
          <w:p>
            <w:pPr>
              <w:jc w:val="center"/>
              <w:rPr>
                <w:rFonts w:hint="eastAsia" w:ascii="仿宋" w:hAnsi="仿宋" w:eastAsia="仿宋" w:cs="仿宋"/>
                <w:b/>
                <w:sz w:val="24"/>
              </w:rPr>
            </w:pPr>
            <w:r>
              <w:rPr>
                <w:rFonts w:hint="eastAsia" w:ascii="仿宋" w:hAnsi="仿宋" w:eastAsia="仿宋" w:cs="仿宋"/>
                <w:b/>
                <w:sz w:val="24"/>
              </w:rPr>
              <w:t>（单位）</w:t>
            </w:r>
          </w:p>
        </w:tc>
        <w:tc>
          <w:tcPr>
            <w:tcW w:w="1684" w:type="dxa"/>
            <w:vAlign w:val="center"/>
          </w:tcPr>
          <w:p>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40" w:type="dxa"/>
            <w:vAlign w:val="center"/>
          </w:tcPr>
          <w:p>
            <w:pPr>
              <w:jc w:val="center"/>
              <w:rPr>
                <w:rFonts w:hint="eastAsia" w:ascii="仿宋" w:hAnsi="仿宋" w:eastAsia="仿宋" w:cs="仿宋"/>
                <w:b/>
                <w:sz w:val="24"/>
              </w:rPr>
            </w:pPr>
            <w:r>
              <w:rPr>
                <w:rFonts w:hint="eastAsia" w:ascii="仿宋" w:hAnsi="仿宋" w:eastAsia="仿宋" w:cs="仿宋"/>
                <w:b/>
                <w:sz w:val="24"/>
              </w:rPr>
              <w:t>品目预算（元）</w:t>
            </w:r>
          </w:p>
        </w:tc>
        <w:tc>
          <w:tcPr>
            <w:tcW w:w="1640" w:type="dxa"/>
            <w:vAlign w:val="center"/>
          </w:tcPr>
          <w:p>
            <w:pPr>
              <w:jc w:val="center"/>
              <w:rPr>
                <w:rFonts w:hint="eastAsia" w:ascii="仿宋" w:hAnsi="仿宋" w:eastAsia="仿宋" w:cs="仿宋"/>
                <w:b/>
                <w:sz w:val="24"/>
              </w:rPr>
            </w:pPr>
            <w:r>
              <w:rPr>
                <w:rFonts w:hint="eastAsia" w:ascii="仿宋" w:hAnsi="仿宋" w:eastAsia="仿宋" w:cs="仿宋"/>
                <w:b/>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8" w:type="dxa"/>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1049" w:type="dxa"/>
            <w:vAlign w:val="center"/>
          </w:tcPr>
          <w:p>
            <w:pPr>
              <w:jc w:val="center"/>
              <w:rPr>
                <w:rFonts w:hint="eastAsia" w:ascii="仿宋" w:hAnsi="仿宋" w:eastAsia="仿宋" w:cs="仿宋"/>
                <w:sz w:val="24"/>
              </w:rPr>
            </w:pPr>
            <w:r>
              <w:rPr>
                <w:rFonts w:hint="eastAsia" w:ascii="仿宋" w:hAnsi="仿宋" w:eastAsia="仿宋" w:cs="仿宋"/>
                <w:sz w:val="24"/>
              </w:rPr>
              <w:t>其他构筑物工程施工</w:t>
            </w:r>
          </w:p>
        </w:tc>
        <w:tc>
          <w:tcPr>
            <w:tcW w:w="1072"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骆驼场村仓储物流配套设施项目</w:t>
            </w:r>
          </w:p>
        </w:tc>
        <w:tc>
          <w:tcPr>
            <w:tcW w:w="1253" w:type="dxa"/>
            <w:vAlign w:val="center"/>
          </w:tcPr>
          <w:p>
            <w:pPr>
              <w:jc w:val="center"/>
              <w:rPr>
                <w:rFonts w:hint="eastAsia" w:ascii="仿宋" w:hAnsi="仿宋" w:eastAsia="仿宋" w:cs="仿宋"/>
                <w:sz w:val="24"/>
              </w:rPr>
            </w:pPr>
            <w:r>
              <w:rPr>
                <w:rFonts w:hint="eastAsia" w:ascii="仿宋" w:hAnsi="仿宋" w:eastAsia="仿宋" w:cs="仿宋"/>
                <w:sz w:val="24"/>
              </w:rPr>
              <w:t>1（项）</w:t>
            </w:r>
          </w:p>
        </w:tc>
        <w:tc>
          <w:tcPr>
            <w:tcW w:w="1684" w:type="dxa"/>
            <w:vAlign w:val="center"/>
          </w:tcPr>
          <w:p>
            <w:pPr>
              <w:jc w:val="center"/>
              <w:rPr>
                <w:rFonts w:hint="eastAsia" w:ascii="仿宋" w:hAnsi="仿宋" w:eastAsia="仿宋" w:cs="仿宋"/>
                <w:sz w:val="24"/>
              </w:rPr>
            </w:pPr>
            <w:r>
              <w:rPr>
                <w:rFonts w:hint="eastAsia" w:ascii="仿宋" w:hAnsi="仿宋" w:eastAsia="仿宋" w:cs="仿宋"/>
                <w:sz w:val="24"/>
              </w:rPr>
              <w:t>详见竞争性磋商文件</w:t>
            </w:r>
          </w:p>
        </w:tc>
        <w:tc>
          <w:tcPr>
            <w:tcW w:w="1640"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2130591.36</w:t>
            </w:r>
          </w:p>
        </w:tc>
        <w:tc>
          <w:tcPr>
            <w:tcW w:w="1640"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2130591.36</w:t>
            </w:r>
          </w:p>
        </w:tc>
      </w:tr>
    </w:tbl>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w:t>
      </w:r>
      <w:r>
        <w:rPr>
          <w:rFonts w:hint="eastAsia" w:ascii="仿宋" w:hAnsi="仿宋" w:eastAsia="仿宋" w:cs="仿宋"/>
          <w:sz w:val="24"/>
          <w:u w:val="none"/>
        </w:rPr>
        <w:t>包接受联</w:t>
      </w:r>
      <w:r>
        <w:rPr>
          <w:rFonts w:hint="eastAsia" w:ascii="仿宋" w:hAnsi="仿宋" w:eastAsia="仿宋" w:cs="仿宋"/>
          <w:sz w:val="24"/>
        </w:rPr>
        <w:t>合体投标。</w:t>
      </w:r>
    </w:p>
    <w:p>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rPr>
        <w:t>合同履行期限</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合同签订后3个月内</w:t>
      </w:r>
      <w:r>
        <w:rPr>
          <w:rFonts w:hint="eastAsia" w:ascii="仿宋" w:hAnsi="仿宋" w:eastAsia="仿宋" w:cs="仿宋"/>
          <w:sz w:val="24"/>
          <w:highlight w:val="none"/>
        </w:rPr>
        <w:t>。</w:t>
      </w:r>
    </w:p>
    <w:p>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二、申请人的资格要求</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highlight w:val="none"/>
        </w:rPr>
        <w:t>1、满足《中华人民共和国政府采购法》第</w:t>
      </w:r>
      <w:r>
        <w:rPr>
          <w:rFonts w:hint="eastAsia" w:ascii="仿宋" w:hAnsi="仿宋" w:eastAsia="仿宋" w:cs="仿宋"/>
          <w:sz w:val="24"/>
        </w:rPr>
        <w:t>二十二条规定；</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2、落实政府采购政策需满足的资格要求：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本项目专门面向中小企业采购，供应商应按要求提供中小企业声明函或残疾人福利性单位声明函或监狱企业证明函。</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3、本项目的特定资格要求：</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kern w:val="2"/>
          <w:sz w:val="24"/>
          <w:szCs w:val="24"/>
          <w:lang w:val="en-US" w:eastAsia="zh-CN" w:bidi="ar-SA"/>
        </w:rPr>
        <w:t>供应商在“信用中国”网站（www.creditchina.gov.cn）或（“中国执行信息公开网”网站（http://zxgk.court.gov.cn/shixin/））和中国政府采购网（www.ccgp.gov.cn）上未被列入失信被执行人、重大税收违法失信主体、政府采购严重违法失信行为记录名单（提供网站截图）；</w:t>
      </w:r>
    </w:p>
    <w:p>
      <w:pPr>
        <w:spacing w:line="520" w:lineRule="exact"/>
        <w:ind w:firstLine="480" w:firstLineChars="200"/>
        <w:rPr>
          <w:rFonts w:hint="eastAsia" w:ascii="仿宋" w:hAnsi="仿宋" w:eastAsia="仿宋" w:cs="仿宋"/>
          <w:sz w:val="24"/>
          <w:u w:val="none"/>
        </w:rPr>
      </w:pPr>
      <w:r>
        <w:rPr>
          <w:rFonts w:hint="eastAsia" w:ascii="仿宋" w:hAnsi="仿宋" w:eastAsia="仿宋" w:cs="仿宋"/>
          <w:sz w:val="24"/>
        </w:rPr>
        <w:t>3.2</w:t>
      </w:r>
      <w:r>
        <w:rPr>
          <w:rFonts w:hint="eastAsia" w:ascii="仿宋" w:hAnsi="仿宋" w:eastAsia="仿宋" w:cs="仿宋"/>
          <w:kern w:val="2"/>
          <w:sz w:val="24"/>
          <w:szCs w:val="24"/>
          <w:lang w:val="en-US" w:eastAsia="zh-CN" w:bidi="ar-SA"/>
        </w:rPr>
        <w:t>供应商</w:t>
      </w:r>
      <w:r>
        <w:rPr>
          <w:rFonts w:hint="eastAsia" w:ascii="仿宋" w:hAnsi="仿宋" w:eastAsia="仿宋" w:cs="仿宋"/>
          <w:sz w:val="24"/>
        </w:rPr>
        <w:t>须具有</w:t>
      </w:r>
      <w:r>
        <w:rPr>
          <w:rFonts w:hint="eastAsia" w:ascii="仿宋" w:hAnsi="仿宋" w:eastAsia="仿宋" w:cs="仿宋"/>
          <w:sz w:val="24"/>
          <w:u w:val="none"/>
        </w:rPr>
        <w:t>独立承担民事责任的能力（提供有效的营业执照或自然人的身份证明）；</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3.3</w:t>
      </w:r>
      <w:r>
        <w:rPr>
          <w:rFonts w:hint="eastAsia" w:ascii="仿宋" w:hAnsi="仿宋" w:eastAsia="仿宋" w:cs="仿宋"/>
          <w:kern w:val="2"/>
          <w:sz w:val="24"/>
          <w:szCs w:val="24"/>
          <w:lang w:val="en-US" w:eastAsia="zh-CN" w:bidi="ar-SA"/>
        </w:rPr>
        <w:t>供应商须具有良好的商业信誉和健全的财务会计制度（提供投标供应商2022或2023年度经审计的财务报告复印件（包括资产负债表、现金流量表、利润表）或本年度基本开户银行出具的资信证明）；</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3.4有依法缴纳税收和社会保障资金的良好记录；</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sz w:val="24"/>
        </w:rPr>
        <w:t>供应商应提供自磋商响应文件递交截止时间前近</w:t>
      </w:r>
      <w:r>
        <w:rPr>
          <w:rFonts w:hint="eastAsia" w:ascii="仿宋" w:hAnsi="仿宋" w:eastAsia="仿宋" w:cs="仿宋"/>
          <w:sz w:val="24"/>
          <w:lang w:val="en-US" w:eastAsia="zh-CN"/>
        </w:rPr>
        <w:t>12</w:t>
      </w:r>
      <w:r>
        <w:rPr>
          <w:rFonts w:hint="eastAsia" w:ascii="仿宋" w:hAnsi="仿宋" w:eastAsia="仿宋" w:cs="仿宋"/>
          <w:sz w:val="24"/>
        </w:rPr>
        <w:t>个月中</w:t>
      </w:r>
      <w:r>
        <w:rPr>
          <w:rFonts w:hint="eastAsia" w:ascii="仿宋" w:hAnsi="仿宋" w:eastAsia="仿宋" w:cs="仿宋"/>
          <w:sz w:val="24"/>
          <w:lang w:eastAsia="zh-CN"/>
        </w:rPr>
        <w:t>任意一</w:t>
      </w:r>
      <w:r>
        <w:rPr>
          <w:rFonts w:hint="eastAsia" w:ascii="仿宋" w:hAnsi="仿宋" w:eastAsia="仿宋" w:cs="仿宋"/>
          <w:sz w:val="24"/>
        </w:rPr>
        <w:t>个月</w:t>
      </w:r>
      <w:r>
        <w:rPr>
          <w:rFonts w:hint="eastAsia" w:ascii="仿宋" w:hAnsi="仿宋" w:eastAsia="仿宋" w:cs="仿宋"/>
          <w:sz w:val="24"/>
          <w:lang w:eastAsia="zh-CN"/>
        </w:rPr>
        <w:t>的</w:t>
      </w:r>
      <w:r>
        <w:rPr>
          <w:rFonts w:hint="eastAsia" w:ascii="仿宋" w:hAnsi="仿宋" w:eastAsia="仿宋" w:cs="仿宋"/>
          <w:sz w:val="24"/>
        </w:rPr>
        <w:t>缴税凭证，时间以税款所属时期为准（银行出具的缴税凭证或税务机关出具的证明的复印件，并加盖本单位公章）</w:t>
      </w:r>
      <w:r>
        <w:rPr>
          <w:rFonts w:hint="eastAsia" w:ascii="仿宋" w:hAnsi="仿宋" w:eastAsia="仿宋" w:cs="仿宋"/>
          <w:kern w:val="2"/>
          <w:sz w:val="24"/>
          <w:szCs w:val="24"/>
          <w:lang w:val="en-US" w:eastAsia="zh-CN" w:bidi="ar-SA"/>
        </w:rPr>
        <w:t>，依法免税的供应商，应提供相应文件证明其依法免税；</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（2）供应商应提供投标截止时间前近12个月中</w:t>
      </w:r>
      <w:r>
        <w:rPr>
          <w:rFonts w:hint="eastAsia" w:ascii="仿宋" w:hAnsi="仿宋" w:eastAsia="仿宋" w:cs="仿宋"/>
          <w:sz w:val="24"/>
          <w:lang w:eastAsia="zh-CN"/>
        </w:rPr>
        <w:t>任意一</w:t>
      </w:r>
      <w:r>
        <w:rPr>
          <w:rFonts w:hint="eastAsia" w:ascii="仿宋" w:hAnsi="仿宋" w:eastAsia="仿宋" w:cs="仿宋"/>
          <w:sz w:val="24"/>
        </w:rPr>
        <w:t>个</w:t>
      </w:r>
      <w:r>
        <w:rPr>
          <w:rFonts w:hint="eastAsia" w:ascii="仿宋" w:hAnsi="仿宋" w:eastAsia="仿宋" w:cs="仿宋"/>
          <w:kern w:val="2"/>
          <w:sz w:val="24"/>
          <w:szCs w:val="24"/>
          <w:lang w:val="en-US" w:eastAsia="zh-CN" w:bidi="ar-SA"/>
        </w:rPr>
        <w:t>月的社会缴纳社会保险的凭据（专用收据或社会保险缴纳清单），并加盖本单位公章，不需要缴纳社会保障资金的投标人，应提供相应文件证明其不需要缴纳社会保障资金。</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3.5具备履行合同所必需的设备和专业技术能力承诺书 </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3.6参加政府采购活动前三年内，在经营活动中没有重大违法记录（提供书面申明）；</w:t>
      </w:r>
    </w:p>
    <w:p>
      <w:pPr>
        <w:spacing w:line="52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3.6投标供应商须具备市政工程施工总承包三级及以上资质，且具备有效的安全生产许可证。</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3.7拟派项目负责人具备市政工程相关专业注册建造师二级（含二级）以上执业资格书。</w:t>
      </w:r>
    </w:p>
    <w:p>
      <w:pPr>
        <w:spacing w:line="52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3.8投标人不得存在下列情形之一：</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w:t>
      </w:r>
      <w:r>
        <w:rPr>
          <w:rFonts w:hint="eastAsia" w:ascii="仿宋" w:hAnsi="仿宋" w:eastAsia="仿宋" w:cs="仿宋"/>
          <w:sz w:val="24"/>
          <w:lang w:eastAsia="zh-CN"/>
        </w:rPr>
        <w:t>投标人</w:t>
      </w:r>
      <w:r>
        <w:rPr>
          <w:rFonts w:hint="eastAsia" w:ascii="仿宋" w:hAnsi="仿宋" w:eastAsia="仿宋" w:cs="仿宋"/>
          <w:sz w:val="24"/>
        </w:rPr>
        <w:t>，不得</w:t>
      </w:r>
      <w:r>
        <w:rPr>
          <w:rFonts w:hint="eastAsia" w:ascii="仿宋" w:hAnsi="仿宋" w:eastAsia="仿宋" w:cs="仿宋"/>
          <w:sz w:val="24"/>
          <w:lang w:eastAsia="zh-CN"/>
        </w:rPr>
        <w:t>同时</w:t>
      </w:r>
      <w:r>
        <w:rPr>
          <w:rFonts w:hint="eastAsia" w:ascii="仿宋" w:hAnsi="仿宋" w:eastAsia="仿宋" w:cs="仿宋"/>
          <w:sz w:val="24"/>
        </w:rPr>
        <w:t>参加本次采购活动；</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（2）为本项目提供整体设计、规范编制或者项目管理、监理、检测等服务的</w:t>
      </w:r>
      <w:r>
        <w:rPr>
          <w:rFonts w:hint="eastAsia" w:ascii="仿宋" w:hAnsi="仿宋" w:eastAsia="仿宋" w:cs="仿宋"/>
          <w:sz w:val="24"/>
          <w:lang w:eastAsia="zh-CN"/>
        </w:rPr>
        <w:t>投标人</w:t>
      </w:r>
      <w:r>
        <w:rPr>
          <w:rFonts w:hint="eastAsia" w:ascii="仿宋" w:hAnsi="仿宋" w:eastAsia="仿宋" w:cs="仿宋"/>
          <w:sz w:val="24"/>
        </w:rPr>
        <w:t>，不得再参加该采购项目的其他采购活动。</w:t>
      </w:r>
    </w:p>
    <w:p>
      <w:pPr>
        <w:spacing w:line="520" w:lineRule="exact"/>
        <w:ind w:firstLine="480" w:firstLineChars="200"/>
        <w:rPr>
          <w:rFonts w:hint="eastAsia" w:ascii="仿宋" w:hAnsi="仿宋" w:eastAsia="仿宋" w:cs="仿宋"/>
          <w:sz w:val="24"/>
        </w:rPr>
      </w:pPr>
      <w:r>
        <w:rPr>
          <w:rFonts w:hint="eastAsia" w:ascii="仿宋" w:hAnsi="仿宋" w:eastAsia="仿宋" w:cs="仿宋"/>
          <w:b w:val="0"/>
          <w:kern w:val="2"/>
          <w:sz w:val="24"/>
          <w:szCs w:val="24"/>
          <w:lang w:val="en-US" w:eastAsia="zh-CN" w:bidi="ar-SA"/>
        </w:rPr>
        <w:t>（3）投标人在各级建设诚信信息平台被列为投标受限行为人的不得参与投标。</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三、获取采购文件</w:t>
      </w:r>
    </w:p>
    <w:p>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05月01</w:t>
      </w:r>
      <w:r>
        <w:rPr>
          <w:rFonts w:hint="eastAsia" w:ascii="仿宋" w:hAnsi="仿宋" w:eastAsia="仿宋" w:cs="仿宋"/>
          <w:sz w:val="24"/>
          <w:highlight w:val="none"/>
        </w:rPr>
        <w:t>日至 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 ，每天上午 00:00:00 至 12:00:00 ，下午 12:00:00 至 23:59:00 （北京时间）</w:t>
      </w:r>
    </w:p>
    <w:p>
      <w:pPr>
        <w:widowControl/>
        <w:shd w:val="clear" w:color="auto" w:fill="FFFFFF"/>
        <w:spacing w:line="480" w:lineRule="atLeast"/>
        <w:ind w:firstLine="480"/>
        <w:rPr>
          <w:rFonts w:hint="eastAsia" w:ascii="仿宋" w:hAnsi="仿宋" w:eastAsia="仿宋" w:cs="仿宋"/>
          <w:sz w:val="24"/>
        </w:rPr>
      </w:pPr>
      <w:r>
        <w:rPr>
          <w:rFonts w:hint="eastAsia" w:ascii="仿宋" w:hAnsi="仿宋" w:eastAsia="仿宋" w:cs="仿宋"/>
          <w:sz w:val="24"/>
        </w:rPr>
        <w:t>地点：全国公共资源交易中心平台（陕西省）（http://www.sxggzyjy.cn/）</w:t>
      </w:r>
    </w:p>
    <w:p>
      <w:pPr>
        <w:widowControl/>
        <w:shd w:val="clear" w:color="auto" w:fill="FFFFFF"/>
        <w:spacing w:line="480" w:lineRule="atLeast"/>
        <w:ind w:firstLine="480"/>
        <w:rPr>
          <w:rFonts w:hint="eastAsia" w:ascii="仿宋" w:hAnsi="仿宋" w:eastAsia="仿宋" w:cs="仿宋"/>
          <w:sz w:val="24"/>
        </w:rPr>
      </w:pPr>
      <w:r>
        <w:rPr>
          <w:rFonts w:hint="eastAsia" w:ascii="仿宋" w:hAnsi="仿宋" w:eastAsia="仿宋" w:cs="仿宋"/>
          <w:sz w:val="24"/>
        </w:rPr>
        <w:t>方式：在线获取</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w:t>
      </w:r>
      <w:r>
        <w:rPr>
          <w:rFonts w:hint="eastAsia" w:ascii="仿宋" w:hAnsi="仿宋" w:eastAsia="仿宋" w:cs="仿宋"/>
          <w:sz w:val="24"/>
          <w:lang w:val="en-US" w:eastAsia="zh-CN"/>
        </w:rPr>
        <w:t>0</w:t>
      </w:r>
    </w:p>
    <w:p>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四、响应文件提交</w:t>
      </w:r>
    </w:p>
    <w:p>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截止时间：202</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年</w:t>
      </w:r>
      <w:r>
        <w:rPr>
          <w:rFonts w:hint="eastAsia" w:ascii="仿宋" w:hAnsi="仿宋" w:eastAsia="仿宋" w:cs="仿宋"/>
          <w:sz w:val="24"/>
          <w:highlight w:val="none"/>
          <w:lang w:val="en-US" w:eastAsia="zh-CN"/>
        </w:rPr>
        <w:t>05月11日</w:t>
      </w:r>
      <w:r>
        <w:rPr>
          <w:rFonts w:hint="eastAsia" w:ascii="仿宋" w:hAnsi="仿宋" w:eastAsia="仿宋" w:cs="仿宋"/>
          <w:sz w:val="24"/>
          <w:lang w:val="en-US" w:eastAsia="zh-CN"/>
        </w:rPr>
        <w:t>13时30分00秒 （北京时间）</w:t>
      </w:r>
    </w:p>
    <w:p>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地点：</w:t>
      </w:r>
      <w:r>
        <w:rPr>
          <w:rFonts w:hint="eastAsia" w:ascii="仿宋" w:hAnsi="仿宋" w:eastAsia="仿宋" w:cs="仿宋"/>
          <w:sz w:val="24"/>
          <w:lang w:eastAsia="zh-CN"/>
        </w:rPr>
        <w:t>线上递交</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五、开启</w:t>
      </w:r>
    </w:p>
    <w:p>
      <w:pPr>
        <w:spacing w:line="52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时间： 2024年05月11日13时30分00秒 （北京时间）</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地点：线上开启</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、公告期限</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、其他补充事宜</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1、落实政府采购政策：</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1.2 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1.4《国家互联网信息办公室 工业和信息化部 公安部 财政部 国家认证认可监督管理委员会关于调整网络安全专用产品安全管理有关事项的公告》（2023年第1号）。</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1.5 《陕西省财政厅关于加快推进我省中小企业政府采购信用融资工作的通知》（陕财办采〔2020〕15 号）、陕西省财政厅关于印发《陕西省中小企业政府采购信用融资办法》（陕财办采〔2018〕23 号）</w:t>
      </w:r>
      <w:r>
        <w:rPr>
          <w:rFonts w:hint="eastAsia" w:ascii="仿宋" w:hAnsi="仿宋" w:eastAsia="仿宋" w:cs="仿宋"/>
          <w:sz w:val="24"/>
          <w:lang w:eastAsia="zh-CN"/>
        </w:rPr>
        <w:t>、</w:t>
      </w:r>
      <w:r>
        <w:rPr>
          <w:rFonts w:hint="eastAsia" w:ascii="仿宋" w:hAnsi="仿宋" w:eastAsia="仿宋" w:cs="仿宋"/>
          <w:sz w:val="24"/>
          <w:lang w:val="en-US" w:eastAsia="zh-CN"/>
        </w:rPr>
        <w:t>《榆林市财政局关于进一步加大政府采购支持中小企业力度的通知》（榆政财采发〔2022〕10号）。</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若享受以上政策优惠的企业，提供相应声明函或品目清单范围内产品的有效认证证书。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b w:val="0"/>
          <w:bCs w:val="0"/>
          <w:lang w:val="en-US" w:eastAsia="zh-CN"/>
        </w:rPr>
        <w:t>2、</w:t>
      </w:r>
      <w:r>
        <w:rPr>
          <w:rFonts w:hint="eastAsia" w:ascii="仿宋" w:hAnsi="仿宋" w:eastAsia="仿宋" w:cs="仿宋"/>
          <w:i w:val="0"/>
          <w:iCs w:val="0"/>
          <w:caps w:val="0"/>
          <w:color w:val="auto"/>
          <w:spacing w:val="0"/>
          <w:sz w:val="24"/>
          <w:szCs w:val="24"/>
          <w:highlight w:val="none"/>
          <w:shd w:val="clear" w:color="auto" w:fill="FFFFFF"/>
        </w:rPr>
        <w:t>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3、</w:t>
      </w:r>
      <w:r>
        <w:rPr>
          <w:rFonts w:hint="eastAsia" w:ascii="仿宋" w:hAnsi="仿宋" w:eastAsia="仿宋" w:cs="仿宋"/>
          <w:shd w:val="clear" w:color="auto" w:fill="FFFFFF"/>
        </w:rPr>
        <w:t>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三楼E18、E19窗口,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4、请各投标供应商获取招标文件后，按照陕西省财政厅《关于政府采购供应商注册登记有关事项的通知》要求，通过陕西省政府采购网（http://www.ccgp-shaanxi.gov.cn/）注册登记加入陕西省政府采购供应商库。</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lang w:eastAsia="zh-CN"/>
        </w:rPr>
        <w:t>八</w:t>
      </w:r>
      <w:r>
        <w:rPr>
          <w:rFonts w:hint="eastAsia" w:ascii="仿宋" w:hAnsi="仿宋" w:eastAsia="仿宋" w:cs="仿宋"/>
          <w:sz w:val="24"/>
        </w:rPr>
        <w:t>、对本次采购提出询问，请按以下方式联系。</w:t>
      </w:r>
    </w:p>
    <w:p>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 xml:space="preserve">采购人信息 </w:t>
      </w:r>
    </w:p>
    <w:p>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名称：神木市滨河新区街道办事处        </w:t>
      </w:r>
    </w:p>
    <w:p>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地址：神木市滨河新区煤炭大楼4楼西       </w:t>
      </w:r>
    </w:p>
    <w:p>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2、采购代理机构信息</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名称：陕西省采购招标有限责任公司</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地址：西安市高新二路2号山西证券大厦</w:t>
      </w:r>
      <w:r>
        <w:rPr>
          <w:rFonts w:hint="eastAsia" w:ascii="仿宋" w:hAnsi="仿宋" w:eastAsia="仿宋" w:cs="仿宋"/>
          <w:sz w:val="24"/>
          <w:lang w:val="en-US" w:eastAsia="zh-CN"/>
        </w:rPr>
        <w:t>21</w:t>
      </w:r>
      <w:r>
        <w:rPr>
          <w:rFonts w:hint="eastAsia" w:ascii="仿宋" w:hAnsi="仿宋" w:eastAsia="仿宋" w:cs="仿宋"/>
          <w:sz w:val="24"/>
        </w:rPr>
        <w:t>层</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kern w:val="0"/>
          <w:sz w:val="24"/>
          <w:lang w:val="en-US" w:eastAsia="zh-CN"/>
        </w:rPr>
        <w:t>0912-3683703</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eastAsia="zh-CN"/>
        </w:rPr>
        <w:t>乔俊衡</w:t>
      </w:r>
      <w:r>
        <w:rPr>
          <w:rFonts w:hint="eastAsia" w:ascii="仿宋" w:hAnsi="仿宋" w:eastAsia="仿宋" w:cs="仿宋"/>
          <w:sz w:val="24"/>
        </w:rPr>
        <w:t xml:space="preserve">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电 话：</w:t>
      </w:r>
      <w:bookmarkStart w:id="0" w:name="_GoBack"/>
      <w:r>
        <w:rPr>
          <w:rFonts w:hint="eastAsia" w:ascii="仿宋" w:hAnsi="仿宋" w:eastAsia="仿宋" w:cs="仿宋"/>
          <w:sz w:val="24"/>
          <w:lang w:val="en-US" w:eastAsia="zh-CN"/>
        </w:rPr>
        <w:t>15771610687</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Y2Zjc5YWNjMWU3YTZlYjhlNTM1NzFkNjMxZjQifQ=="/>
  </w:docVars>
  <w:rsids>
    <w:rsidRoot w:val="40AE2939"/>
    <w:rsid w:val="40AE2939"/>
    <w:rsid w:val="4FE4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6"/>
    <w:basedOn w:val="1"/>
    <w:next w:val="1"/>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2749</Words>
  <Characters>3213</Characters>
  <Lines>0</Lines>
  <Paragraphs>0</Paragraphs>
  <TotalTime>8</TotalTime>
  <ScaleCrop>false</ScaleCrop>
  <LinksUpToDate>false</LinksUpToDate>
  <CharactersWithSpaces>3277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2024-04-30T10:16:00Z</dcterms:created>
  <dc:creator>尚智</dc:creator>
  <cp:lastModifiedBy>尚智</cp:lastModifiedBy>
  <dcterms:modified xsi:type="dcterms:W3CDTF">2024-04-30T12:17:27Z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FB21938801AA4D5294828D95B7F5A1CC_11</vt:lpwstr>
  </property>
</Properties>
</file>