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6420E">
      <w:pPr>
        <w:pStyle w:val="3"/>
        <w:spacing w:line="360" w:lineRule="auto"/>
        <w:jc w:val="center"/>
        <w:rPr>
          <w:rFonts w:hint="eastAsia" w:ascii="仿宋" w:hAnsi="仿宋" w:eastAsia="仿宋" w:cs="仿宋"/>
          <w:kern w:val="0"/>
          <w:sz w:val="24"/>
          <w:highlight w:val="none"/>
          <w:lang w:eastAsia="zh-CN"/>
        </w:rPr>
      </w:pPr>
      <w:r>
        <w:rPr>
          <w:rStyle w:val="6"/>
          <w:rFonts w:hint="eastAsia" w:ascii="仿宋" w:hAnsi="仿宋" w:eastAsia="仿宋" w:cs="仿宋"/>
          <w:sz w:val="36"/>
          <w:szCs w:val="36"/>
          <w:highlight w:val="none"/>
        </w:rPr>
        <w:t>采购内容及要求</w:t>
      </w:r>
    </w:p>
    <w:p w14:paraId="3A779966">
      <w:pPr>
        <w:spacing w:before="156" w:beforeLines="50" w:after="156" w:afterLines="50" w:line="500" w:lineRule="exact"/>
        <w:jc w:val="left"/>
        <w:rPr>
          <w:rFonts w:hint="eastAsia" w:ascii="仿宋" w:hAnsi="仿宋" w:eastAsia="仿宋" w:cs="仿宋"/>
          <w:b/>
          <w:sz w:val="24"/>
          <w:szCs w:val="24"/>
        </w:rPr>
      </w:pPr>
      <w:r>
        <w:rPr>
          <w:rFonts w:hint="eastAsia" w:ascii="仿宋" w:hAnsi="仿宋" w:eastAsia="仿宋" w:cs="仿宋"/>
          <w:b/>
          <w:sz w:val="24"/>
          <w:szCs w:val="24"/>
        </w:rPr>
        <w:t>一、工程概况</w:t>
      </w:r>
    </w:p>
    <w:p w14:paraId="60A398EC">
      <w:pPr>
        <w:spacing w:line="500" w:lineRule="exact"/>
        <w:ind w:firstLine="480" w:firstLineChars="20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1．工程名称：</w:t>
      </w:r>
      <w:r>
        <w:rPr>
          <w:rFonts w:hint="eastAsia" w:ascii="仿宋" w:hAnsi="仿宋" w:eastAsia="仿宋" w:cs="仿宋"/>
          <w:sz w:val="24"/>
          <w:szCs w:val="24"/>
          <w:highlight w:val="none"/>
          <w:u w:val="single"/>
          <w:lang w:eastAsia="zh-CN"/>
        </w:rPr>
        <w:t>神能集团技术研发中心项目建筑幕墙工程施工监理服务项目</w:t>
      </w:r>
    </w:p>
    <w:p w14:paraId="337B0E99">
      <w:pPr>
        <w:spacing w:line="500" w:lineRule="exact"/>
        <w:ind w:firstLine="480" w:firstLineChars="200"/>
        <w:rPr>
          <w:rFonts w:hint="eastAsia" w:ascii="仿宋" w:hAnsi="仿宋" w:eastAsia="仿宋" w:cs="仿宋"/>
          <w:bCs/>
          <w:sz w:val="24"/>
          <w:szCs w:val="24"/>
          <w:highlight w:val="none"/>
          <w:u w:val="single"/>
          <w:lang w:eastAsia="zh-CN"/>
        </w:rPr>
      </w:pPr>
      <w:r>
        <w:rPr>
          <w:rFonts w:hint="eastAsia" w:ascii="仿宋" w:hAnsi="仿宋" w:eastAsia="仿宋" w:cs="仿宋"/>
          <w:sz w:val="24"/>
          <w:szCs w:val="24"/>
          <w:highlight w:val="none"/>
        </w:rPr>
        <w:t>2．工程地点</w:t>
      </w:r>
      <w:r>
        <w:rPr>
          <w:rFonts w:hint="eastAsia" w:ascii="仿宋" w:hAnsi="仿宋" w:eastAsia="仿宋" w:cs="仿宋"/>
          <w:bCs/>
          <w:sz w:val="24"/>
          <w:szCs w:val="24"/>
          <w:highlight w:val="none"/>
        </w:rPr>
        <w:t>：</w:t>
      </w:r>
      <w:r>
        <w:rPr>
          <w:rFonts w:hint="eastAsia" w:ascii="仿宋" w:hAnsi="仿宋" w:eastAsia="仿宋" w:cs="仿宋"/>
          <w:bCs/>
          <w:sz w:val="24"/>
          <w:szCs w:val="24"/>
          <w:highlight w:val="none"/>
          <w:u w:val="single"/>
          <w:lang w:eastAsia="zh-CN"/>
        </w:rPr>
        <w:t>神木市滨河新区</w:t>
      </w:r>
    </w:p>
    <w:p w14:paraId="7BFCF368">
      <w:pPr>
        <w:spacing w:line="500" w:lineRule="exact"/>
        <w:ind w:firstLine="480" w:firstLineChars="200"/>
        <w:rPr>
          <w:rFonts w:hint="default"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3. 工程内容：总建筑前积11.38万平方米(其中地上建筑面积8.27万平方米)。主要包含技术研发中心一座(地上23层，地下2层),专家公寓、孵化空间一座(地上15层，地下2层),以及其他配套用房设施等内容。</w:t>
      </w:r>
      <w:r>
        <w:rPr>
          <w:rFonts w:hint="eastAsia" w:ascii="仿宋" w:hAnsi="仿宋" w:eastAsia="仿宋" w:cs="仿宋"/>
          <w:bCs/>
          <w:sz w:val="24"/>
          <w:szCs w:val="24"/>
          <w:highlight w:val="none"/>
          <w:u w:val="single"/>
          <w:lang w:val="en-US" w:eastAsia="zh-CN"/>
        </w:rPr>
        <w:t xml:space="preserve">   </w:t>
      </w:r>
      <w:r>
        <w:rPr>
          <w:rFonts w:hint="eastAsia" w:ascii="仿宋" w:hAnsi="仿宋" w:eastAsia="仿宋" w:cs="仿宋"/>
          <w:bCs/>
          <w:sz w:val="24"/>
          <w:szCs w:val="24"/>
          <w:highlight w:val="none"/>
          <w:u w:val="none"/>
          <w:lang w:val="en-US" w:eastAsia="zh-CN"/>
        </w:rPr>
        <w:t xml:space="preserve">         </w:t>
      </w:r>
    </w:p>
    <w:p w14:paraId="2B8C36A6">
      <w:pPr>
        <w:widowControl/>
        <w:spacing w:line="360" w:lineRule="auto"/>
        <w:ind w:firstLine="480"/>
        <w:jc w:val="left"/>
        <w:rPr>
          <w:rFonts w:hint="eastAsia" w:ascii="仿宋" w:hAnsi="仿宋" w:eastAsia="仿宋" w:cs="仿宋"/>
          <w:b/>
          <w:bCs/>
          <w:color w:val="000000"/>
          <w:kern w:val="0"/>
          <w:sz w:val="24"/>
          <w:szCs w:val="24"/>
          <w:highlight w:val="none"/>
          <w:lang w:eastAsia="zh-CN"/>
        </w:rPr>
      </w:pPr>
      <w:r>
        <w:rPr>
          <w:rFonts w:hint="eastAsia" w:ascii="仿宋" w:hAnsi="仿宋" w:eastAsia="仿宋" w:cs="仿宋"/>
          <w:b/>
          <w:bCs/>
          <w:color w:val="000000"/>
          <w:kern w:val="0"/>
          <w:sz w:val="24"/>
          <w:szCs w:val="24"/>
          <w:highlight w:val="none"/>
          <w:lang w:eastAsia="zh-CN"/>
        </w:rPr>
        <w:t>二、监理范围</w:t>
      </w:r>
    </w:p>
    <w:p w14:paraId="15503BAD">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神能集团技术研发中心项目建筑幕墙工程监理服务幕墙工程施工阶段、各专业施工阶段、配套工程及临时工程施工阶段、缺陷责任期阶段和保修期阶段工程监理服务。</w:t>
      </w:r>
    </w:p>
    <w:p w14:paraId="11CDB225">
      <w:pPr>
        <w:widowControl/>
        <w:spacing w:line="360" w:lineRule="auto"/>
        <w:ind w:firstLine="480"/>
        <w:jc w:val="left"/>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lang w:eastAsia="zh-CN"/>
        </w:rPr>
        <w:t>三</w:t>
      </w:r>
      <w:r>
        <w:rPr>
          <w:rFonts w:hint="eastAsia" w:ascii="仿宋" w:hAnsi="仿宋" w:eastAsia="仿宋" w:cs="仿宋"/>
          <w:b/>
          <w:bCs/>
          <w:color w:val="000000"/>
          <w:kern w:val="0"/>
          <w:sz w:val="24"/>
          <w:szCs w:val="24"/>
        </w:rPr>
        <w:t>、监理依据</w:t>
      </w:r>
    </w:p>
    <w:p w14:paraId="7A8D32A6">
      <w:pPr>
        <w:widowControl/>
        <w:spacing w:line="360" w:lineRule="auto"/>
        <w:ind w:firstLine="48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（1）本工程监理规范采用现行《建设工程监理规范》(GB/T50319)。</w:t>
      </w:r>
    </w:p>
    <w:p w14:paraId="7AD5DC55">
      <w:pPr>
        <w:widowControl/>
        <w:spacing w:line="360" w:lineRule="auto"/>
        <w:ind w:firstLine="48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（2）本工程施工采用的规范为国家、省、市颁布的现行设计、施工规范及有关规定。</w:t>
      </w:r>
    </w:p>
    <w:p w14:paraId="4E7F2507">
      <w:pPr>
        <w:widowControl/>
        <w:spacing w:line="360" w:lineRule="auto"/>
        <w:ind w:firstLine="48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（3）本工程采用的工程规范、标准：</w:t>
      </w:r>
      <w:r>
        <w:rPr>
          <w:rFonts w:hint="eastAsia" w:ascii="仿宋" w:hAnsi="仿宋" w:eastAsia="仿宋" w:cs="仿宋"/>
          <w:color w:val="000000"/>
          <w:kern w:val="0"/>
          <w:sz w:val="24"/>
          <w:szCs w:val="24"/>
          <w:lang w:val="en-US" w:eastAsia="zh-CN"/>
        </w:rPr>
        <w:t>合格</w:t>
      </w:r>
    </w:p>
    <w:p w14:paraId="325C8CBA">
      <w:pPr>
        <w:widowControl/>
        <w:spacing w:line="360" w:lineRule="auto"/>
        <w:jc w:val="left"/>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lang w:eastAsia="zh-CN"/>
        </w:rPr>
        <w:t>四</w:t>
      </w:r>
      <w:r>
        <w:rPr>
          <w:rFonts w:hint="eastAsia" w:ascii="仿宋" w:hAnsi="仿宋" w:eastAsia="仿宋" w:cs="仿宋"/>
          <w:b/>
          <w:bCs/>
          <w:color w:val="000000"/>
          <w:kern w:val="0"/>
          <w:sz w:val="24"/>
          <w:szCs w:val="24"/>
        </w:rPr>
        <w:t>、适用规范标准</w:t>
      </w:r>
    </w:p>
    <w:p w14:paraId="29E30D25">
      <w:pPr>
        <w:widowControl/>
        <w:spacing w:line="360" w:lineRule="auto"/>
        <w:ind w:firstLine="48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1、国家、行业、项目所在地规范名录</w:t>
      </w:r>
    </w:p>
    <w:p w14:paraId="1CDE99B6">
      <w:pPr>
        <w:widowControl/>
        <w:spacing w:line="360" w:lineRule="auto"/>
        <w:ind w:firstLine="48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2、国家、行业、项目所在地标准名录</w:t>
      </w:r>
    </w:p>
    <w:p w14:paraId="552491B4">
      <w:pPr>
        <w:widowControl/>
        <w:autoSpaceDE w:val="0"/>
        <w:autoSpaceDN w:val="0"/>
        <w:snapToGrid w:val="0"/>
        <w:spacing w:line="360" w:lineRule="auto"/>
        <w:ind w:right="-110" w:firstLine="480" w:firstLineChars="200"/>
        <w:textAlignment w:val="bottom"/>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rPr>
        <w:t>3、国家、行业、项目所在地规程名录</w:t>
      </w:r>
    </w:p>
    <w:p w14:paraId="0FF1D1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微软雅黑" w:hAnsi="微软雅黑" w:eastAsia="微软雅黑" w:cs="微软雅黑"/>
          <w:color w:val="auto"/>
          <w:sz w:val="21"/>
          <w:szCs w:val="21"/>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1"/>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roman"/>
    <w:pitch w:val="default"/>
    <w:sig w:usb0="E00002FF" w:usb1="4000045F" w:usb2="00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0MWY2Zjc5YWNjMWU3YTZlYjhlNTM1NzFkNjMxZjQifQ=="/>
  </w:docVars>
  <w:rsids>
    <w:rsidRoot w:val="668971E7"/>
    <w:rsid w:val="668971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Arial Unicode MS"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line="360" w:lineRule="auto"/>
    </w:pPr>
    <w:rPr>
      <w:rFonts w:ascii="Tahoma" w:hAnsi="Tahoma"/>
    </w:rPr>
  </w:style>
  <w:style w:type="paragraph" w:styleId="3">
    <w:name w:val="Title"/>
    <w:basedOn w:val="1"/>
    <w:next w:val="1"/>
    <w:qFormat/>
    <w:uiPriority w:val="0"/>
    <w:pPr>
      <w:spacing w:before="240" w:after="60" w:line="440" w:lineRule="exact"/>
      <w:jc w:val="center"/>
      <w:outlineLvl w:val="0"/>
    </w:pPr>
    <w:rPr>
      <w:rFonts w:ascii="Cambria" w:hAnsi="Cambria"/>
      <w:b/>
      <w:bCs/>
      <w:sz w:val="32"/>
      <w:szCs w:val="32"/>
    </w:rPr>
  </w:style>
  <w:style w:type="character" w:customStyle="1" w:styleId="6">
    <w:name w:val="标题 1 Char1"/>
    <w:qFormat/>
    <w:uiPriority w:val="99"/>
    <w:rPr>
      <w:rFonts w:ascii="黑体" w:eastAsia="黑体"/>
      <w:sz w:val="52"/>
      <w:lang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2024-08-14T08:51:00Z</dcterms:created>
  <dc:creator>尚智</dc:creator>
  <cp:lastModifiedBy>尚智</cp:lastModifiedBy>
  <dcterms:modified xsi:type="dcterms:W3CDTF">2024-08-14T08:56:39Z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7F13A766B4F94EA591569D6B73E2643C_11</vt:lpwstr>
  </property>
</Properties>
</file>