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0"/>
          <w:lang w:val="en-US" w:eastAsia="zh-CN"/>
        </w:rPr>
      </w:pPr>
      <w:r>
        <w:rPr>
          <w:rFonts w:hint="eastAsia"/>
          <w:b/>
          <w:bCs/>
          <w:sz w:val="40"/>
          <w:szCs w:val="40"/>
          <w:lang w:val="en-US" w:eastAsia="zh-CN"/>
        </w:rPr>
        <w:t>府谷县松宏湾林场海红果繁育基地建设项目</w:t>
      </w:r>
    </w:p>
    <w:p>
      <w:pPr>
        <w:jc w:val="center"/>
        <w:rPr>
          <w:rFonts w:hint="eastAsia"/>
          <w:b/>
          <w:bCs/>
          <w:sz w:val="40"/>
          <w:szCs w:val="40"/>
          <w:lang w:val="en-US" w:eastAsia="zh-CN"/>
        </w:rPr>
      </w:pPr>
      <w:r>
        <w:rPr>
          <w:rFonts w:hint="eastAsia"/>
          <w:b/>
          <w:bCs/>
          <w:sz w:val="40"/>
          <w:szCs w:val="40"/>
          <w:lang w:val="en-US" w:eastAsia="zh-CN"/>
        </w:rPr>
        <w:t>采购需求文件</w:t>
      </w:r>
    </w:p>
    <w:p>
      <w:pPr>
        <w:numPr>
          <w:ilvl w:val="0"/>
          <w:numId w:val="1"/>
        </w:numPr>
        <w:jc w:val="both"/>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：府谷县松宏湾林场海红果繁育基地建设项目</w:t>
      </w:r>
    </w:p>
    <w:p>
      <w:pPr>
        <w:numPr>
          <w:ilvl w:val="0"/>
          <w:numId w:val="0"/>
        </w:numPr>
        <w:jc w:val="both"/>
        <w:rPr>
          <w:rFonts w:hint="eastAsia"/>
          <w:b/>
          <w:bCs/>
          <w:sz w:val="28"/>
          <w:szCs w:val="36"/>
          <w:lang w:val="en-US" w:eastAsia="zh-CN"/>
        </w:rPr>
      </w:pPr>
      <w:r>
        <w:rPr>
          <w:rFonts w:hint="eastAsia"/>
          <w:b/>
          <w:bCs/>
          <w:sz w:val="28"/>
          <w:szCs w:val="36"/>
          <w:lang w:val="en-US" w:eastAsia="zh-CN"/>
        </w:rPr>
        <w:t>二、采购项目预算、资金构成和采购方式：</w:t>
      </w:r>
    </w:p>
    <w:p>
      <w:pPr>
        <w:numPr>
          <w:ilvl w:val="0"/>
          <w:numId w:val="2"/>
        </w:numPr>
        <w:rPr>
          <w:rFonts w:hint="eastAsia" w:eastAsia="宋体" w:cs="Times New Roman"/>
          <w:sz w:val="28"/>
          <w:szCs w:val="36"/>
          <w:lang w:val="en-US" w:eastAsia="zh-CN"/>
        </w:rPr>
      </w:pPr>
      <w:r>
        <w:rPr>
          <w:rFonts w:hint="eastAsia"/>
          <w:sz w:val="28"/>
          <w:szCs w:val="36"/>
          <w:lang w:val="en-US" w:eastAsia="zh-CN"/>
        </w:rPr>
        <w:t>采</w:t>
      </w:r>
      <w:r>
        <w:rPr>
          <w:rFonts w:hint="eastAsia" w:eastAsia="宋体" w:cs="Times New Roman"/>
          <w:sz w:val="28"/>
          <w:szCs w:val="36"/>
          <w:lang w:val="en-US" w:eastAsia="zh-CN"/>
        </w:rPr>
        <w:t>购项目预算：370.2351万元</w:t>
      </w:r>
    </w:p>
    <w:p>
      <w:pPr>
        <w:numPr>
          <w:ilvl w:val="0"/>
          <w:numId w:val="2"/>
        </w:numPr>
        <w:rPr>
          <w:rFonts w:hint="default" w:eastAsia="宋体" w:cs="Times New Roman"/>
          <w:sz w:val="28"/>
          <w:szCs w:val="36"/>
          <w:lang w:val="en-US" w:eastAsia="zh-CN"/>
        </w:rPr>
      </w:pPr>
      <w:r>
        <w:rPr>
          <w:rFonts w:hint="eastAsia" w:eastAsia="宋体" w:cs="Times New Roman"/>
          <w:sz w:val="28"/>
          <w:szCs w:val="36"/>
          <w:lang w:val="en-US" w:eastAsia="zh-CN"/>
        </w:rPr>
        <w:t>资金来源：财政资金</w:t>
      </w:r>
    </w:p>
    <w:p>
      <w:pPr>
        <w:numPr>
          <w:ilvl w:val="0"/>
          <w:numId w:val="2"/>
        </w:numPr>
        <w:rPr>
          <w:rFonts w:hint="default"/>
          <w:sz w:val="28"/>
          <w:szCs w:val="36"/>
          <w:lang w:val="en-US" w:eastAsia="zh-CN"/>
        </w:rPr>
      </w:pPr>
      <w:r>
        <w:rPr>
          <w:rFonts w:hint="eastAsia"/>
          <w:color w:val="auto"/>
          <w:sz w:val="28"/>
          <w:szCs w:val="36"/>
          <w:lang w:val="en-US" w:eastAsia="zh-CN"/>
        </w:rPr>
        <w:t>价格信息来源：</w:t>
      </w:r>
      <w:r>
        <w:rPr>
          <w:rFonts w:hint="eastAsia"/>
          <w:sz w:val="28"/>
          <w:szCs w:val="36"/>
          <w:lang w:val="en-US" w:eastAsia="zh-CN"/>
        </w:rPr>
        <w:t>市场询价，咨询相关技术专家</w:t>
      </w:r>
    </w:p>
    <w:p>
      <w:pPr>
        <w:numPr>
          <w:ilvl w:val="0"/>
          <w:numId w:val="2"/>
        </w:numPr>
        <w:rPr>
          <w:rFonts w:hint="default"/>
          <w:sz w:val="28"/>
          <w:szCs w:val="36"/>
          <w:lang w:val="en-US" w:eastAsia="zh-CN"/>
        </w:rPr>
      </w:pPr>
      <w:r>
        <w:rPr>
          <w:rFonts w:hint="eastAsia"/>
          <w:sz w:val="28"/>
          <w:szCs w:val="36"/>
          <w:lang w:val="en-US" w:eastAsia="zh-CN"/>
        </w:rPr>
        <w:t>采购方式：公开招标</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ind w:firstLine="562" w:firstLineChars="200"/>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2024年5月份</w:t>
      </w:r>
    </w:p>
    <w:p>
      <w:pPr>
        <w:ind w:firstLine="562" w:firstLineChars="200"/>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项目实施地</w:t>
      </w:r>
      <w:r>
        <w:rPr>
          <w:rFonts w:hint="eastAsia" w:ascii="宋体" w:hAnsi="宋体" w:cs="宋体"/>
          <w:b/>
          <w:bCs/>
          <w:sz w:val="28"/>
          <w:szCs w:val="28"/>
          <w:lang w:val="en-US" w:eastAsia="zh-CN"/>
        </w:rPr>
        <w:t>点</w:t>
      </w:r>
      <w:r>
        <w:rPr>
          <w:rFonts w:hint="eastAsia" w:ascii="宋体" w:hAnsi="宋体" w:cs="宋体"/>
          <w:b w:val="0"/>
          <w:bCs w:val="0"/>
          <w:sz w:val="28"/>
          <w:szCs w:val="28"/>
          <w:lang w:val="en-US" w:eastAsia="zh-CN"/>
        </w:rPr>
        <w:t>：府谷县松宏湾林场。</w:t>
      </w:r>
    </w:p>
    <w:p>
      <w:pPr>
        <w:ind w:firstLine="562" w:firstLineChars="200"/>
        <w:rPr>
          <w:rFonts w:hint="default" w:ascii="宋体" w:hAnsi="宋体" w:cs="宋体"/>
          <w:sz w:val="28"/>
          <w:szCs w:val="28"/>
          <w:lang w:val="en-US" w:eastAsia="zh-CN"/>
        </w:rPr>
      </w:pPr>
      <w:r>
        <w:rPr>
          <w:rFonts w:hint="eastAsia" w:ascii="宋体" w:hAnsi="宋体" w:cs="宋体"/>
          <w:b/>
          <w:bCs/>
          <w:sz w:val="28"/>
          <w:szCs w:val="28"/>
          <w:lang w:val="en-US" w:eastAsia="zh-CN"/>
        </w:rPr>
        <w:t>（三）项目采购预算明细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numPr>
          <w:ilvl w:val="0"/>
          <w:numId w:val="0"/>
        </w:numPr>
        <w:ind w:firstLine="562" w:firstLineChars="200"/>
        <w:rPr>
          <w:rFonts w:hint="eastAsia"/>
          <w:sz w:val="28"/>
          <w:szCs w:val="36"/>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w:t>
      </w:r>
      <w:r>
        <w:rPr>
          <w:rFonts w:hint="eastAsia"/>
          <w:color w:val="auto"/>
          <w:sz w:val="28"/>
          <w:szCs w:val="36"/>
          <w:lang w:val="en-US" w:eastAsia="zh-CN"/>
        </w:rPr>
        <w:t>实施，5</w:t>
      </w:r>
      <w:r>
        <w:rPr>
          <w:rFonts w:hint="eastAsia"/>
          <w:b w:val="0"/>
          <w:bCs w:val="0"/>
          <w:color w:val="auto"/>
          <w:sz w:val="28"/>
          <w:szCs w:val="36"/>
          <w:lang w:val="en-US" w:eastAsia="zh-CN"/>
        </w:rPr>
        <w:t>月10日前完成</w:t>
      </w:r>
      <w:r>
        <w:rPr>
          <w:rFonts w:hint="eastAsia"/>
          <w:sz w:val="28"/>
          <w:szCs w:val="36"/>
          <w:lang w:val="en-US" w:eastAsia="zh-CN"/>
        </w:rPr>
        <w:t>采购任务。</w:t>
      </w:r>
      <w:bookmarkStart w:id="6" w:name="_GoBack"/>
      <w:bookmarkEnd w:id="6"/>
    </w:p>
    <w:p>
      <w:pPr>
        <w:numPr>
          <w:ilvl w:val="0"/>
          <w:numId w:val="0"/>
        </w:numPr>
        <w:ind w:firstLine="562" w:firstLineChars="200"/>
        <w:rPr>
          <w:rFonts w:hint="default" w:eastAsia="宋体"/>
          <w:sz w:val="28"/>
          <w:szCs w:val="36"/>
          <w:lang w:val="en-US" w:eastAsia="zh-CN"/>
        </w:rPr>
      </w:pPr>
      <w:r>
        <w:rPr>
          <w:rFonts w:hint="eastAsia" w:ascii="宋体" w:hAnsi="宋体" w:eastAsia="宋体" w:cs="宋体"/>
          <w:b/>
          <w:bCs/>
          <w:kern w:val="2"/>
          <w:sz w:val="28"/>
          <w:szCs w:val="28"/>
          <w:lang w:val="en-US" w:eastAsia="zh-CN" w:bidi="ar-SA"/>
        </w:rPr>
        <w:t>（五）工程概况：</w:t>
      </w:r>
      <w:r>
        <w:rPr>
          <w:rFonts w:hint="eastAsia"/>
          <w:sz w:val="28"/>
          <w:szCs w:val="36"/>
          <w:lang w:val="en-US" w:eastAsia="zh-CN"/>
        </w:rPr>
        <w:t>N1标段建设内容为按照作业设计要求，新建U型渠1250米、水闸30个，土壤改良190亩投资金额214.8197万元；N2标段建设内容为按照作业设计要求，建设海红果繁育基地46.5亩，架设多功能诱捕器34个。投资金额155.4154万元。各标段工期均为45日历天。</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、履约验收标准和方法</w:t>
      </w:r>
    </w:p>
    <w:p>
      <w:pPr>
        <w:numPr>
          <w:ilvl w:val="0"/>
          <w:numId w:val="0"/>
        </w:numPr>
        <w:ind w:firstLine="560" w:firstLineChars="200"/>
        <w:rPr>
          <w:rFonts w:hint="default" w:ascii="宋体" w:hAnsi="宋体" w:eastAsia="宋体" w:cs="宋体"/>
          <w:color w:val="auto"/>
          <w:sz w:val="28"/>
          <w:szCs w:val="28"/>
          <w:lang w:val="en-US" w:eastAsia="zh-CN"/>
        </w:rPr>
      </w:pPr>
      <w:r>
        <w:rPr>
          <w:rFonts w:hint="eastAsia" w:ascii="宋体" w:hAnsi="宋体" w:eastAsia="宋体" w:cs="宋体"/>
          <w:sz w:val="28"/>
          <w:szCs w:val="28"/>
          <w:lang w:val="en-US" w:eastAsia="zh-CN"/>
        </w:rPr>
        <w:t>1、履约</w:t>
      </w:r>
      <w:r>
        <w:rPr>
          <w:rFonts w:hint="eastAsia" w:ascii="宋体" w:hAnsi="宋体" w:eastAsia="宋体" w:cs="宋体"/>
          <w:color w:val="auto"/>
          <w:sz w:val="28"/>
          <w:szCs w:val="28"/>
          <w:lang w:val="en-US" w:eastAsia="zh-CN"/>
        </w:rPr>
        <w:t>验收时间：</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02</w:t>
      </w:r>
      <w:r>
        <w:rPr>
          <w:rFonts w:hint="eastAsia" w:ascii="宋体" w:hAnsi="宋体" w:cs="宋体"/>
          <w:color w:val="auto"/>
          <w:sz w:val="28"/>
          <w:szCs w:val="28"/>
          <w:lang w:val="en-US" w:eastAsia="zh-CN"/>
        </w:rPr>
        <w:t>4年8月10日（实际时间以合同为准）；</w:t>
      </w:r>
    </w:p>
    <w:p>
      <w:pPr>
        <w:numPr>
          <w:ilvl w:val="0"/>
          <w:numId w:val="0"/>
        </w:numPr>
        <w:ind w:firstLine="560" w:firstLineChars="200"/>
        <w:rPr>
          <w:rFonts w:hint="default"/>
          <w:lang w:val="en-US" w:eastAsia="zh-CN"/>
        </w:rPr>
      </w:pPr>
      <w:r>
        <w:rPr>
          <w:rFonts w:hint="eastAsia" w:ascii="宋体" w:hAnsi="宋体" w:eastAsia="宋体" w:cs="宋体"/>
          <w:sz w:val="28"/>
          <w:szCs w:val="28"/>
          <w:lang w:val="en-US" w:eastAsia="zh-CN"/>
        </w:rPr>
        <w:t>2、</w:t>
      </w:r>
      <w:r>
        <w:rPr>
          <w:rFonts w:hint="eastAsia" w:eastAsia="宋体" w:cs="Times New Roman"/>
          <w:sz w:val="28"/>
          <w:szCs w:val="36"/>
          <w:lang w:val="en-US" w:eastAsia="zh-CN"/>
        </w:rPr>
        <w:t>履约验收主体及内容：按照作业设计要求，</w:t>
      </w:r>
      <w:r>
        <w:rPr>
          <w:rFonts w:hint="eastAsia"/>
          <w:sz w:val="28"/>
          <w:szCs w:val="36"/>
          <w:lang w:val="en-US" w:eastAsia="zh-CN"/>
        </w:rPr>
        <w:t>完成全部项目任务。</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3、验收程序：对供应商所提供的工程服务组织相关人员进行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2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tabs>
          <w:tab w:val="left" w:pos="756"/>
        </w:tabs>
        <w:bidi w:val="0"/>
        <w:ind w:firstLine="420" w:firstLineChars="150"/>
        <w:jc w:val="left"/>
        <w:rPr>
          <w:rFonts w:hint="eastAsia" w:cs="Times New Roman"/>
          <w:kern w:val="2"/>
          <w:sz w:val="28"/>
          <w:szCs w:val="28"/>
          <w:lang w:val="en-US" w:eastAsia="zh-CN" w:bidi="ar-SA"/>
        </w:rPr>
      </w:pPr>
      <w:r>
        <w:rPr>
          <w:rFonts w:hint="eastAsia" w:cs="Times New Roman"/>
          <w:kern w:val="2"/>
          <w:sz w:val="28"/>
          <w:szCs w:val="28"/>
          <w:lang w:val="en-US" w:eastAsia="zh-CN" w:bidi="ar-SA"/>
        </w:rPr>
        <w:t>（</w:t>
      </w:r>
      <w:r>
        <w:rPr>
          <w:rFonts w:hint="eastAsia"/>
          <w:sz w:val="28"/>
          <w:szCs w:val="36"/>
          <w:lang w:val="en-US" w:eastAsia="zh-CN"/>
        </w:rPr>
        <w:t>府谷县松宏湾林场海红果繁育基地建设项目）</w:t>
      </w:r>
      <w:r>
        <w:rPr>
          <w:rFonts w:hint="eastAsia" w:eastAsia="宋体" w:cs="Times New Roman"/>
          <w:kern w:val="2"/>
          <w:sz w:val="28"/>
          <w:szCs w:val="28"/>
          <w:lang w:val="en-US" w:eastAsia="zh-CN" w:bidi="ar-SA"/>
        </w:rPr>
        <w:t>特定资格要求如下:</w:t>
      </w:r>
      <w:r>
        <w:rPr>
          <w:rFonts w:hint="eastAsia" w:cs="Times New Roman"/>
          <w:kern w:val="2"/>
          <w:sz w:val="28"/>
          <w:szCs w:val="28"/>
          <w:lang w:val="en-US" w:eastAsia="zh-CN" w:bidi="ar-SA"/>
        </w:rPr>
        <w:t>（具体内容详见采购公告）</w:t>
      </w:r>
    </w:p>
    <w:p>
      <w:pPr>
        <w:pStyle w:val="2"/>
        <w:rPr>
          <w:rFonts w:hint="eastAsia" w:cs="Times New Roman"/>
          <w:kern w:val="2"/>
          <w:sz w:val="28"/>
          <w:szCs w:val="28"/>
          <w:lang w:val="en-US" w:eastAsia="zh-CN" w:bidi="ar-SA"/>
        </w:rPr>
      </w:pPr>
    </w:p>
    <w:p>
      <w:pPr>
        <w:rPr>
          <w:rFonts w:hint="eastAsia" w:cs="Times New Roman"/>
          <w:kern w:val="2"/>
          <w:sz w:val="28"/>
          <w:szCs w:val="28"/>
          <w:lang w:val="en-US" w:eastAsia="zh-CN" w:bidi="ar-SA"/>
        </w:rPr>
      </w:pPr>
    </w:p>
    <w:p>
      <w:pPr>
        <w:pStyle w:val="6"/>
        <w:rPr>
          <w:rFonts w:hint="eastAsia" w:cs="Times New Roman"/>
          <w:kern w:val="2"/>
          <w:sz w:val="28"/>
          <w:szCs w:val="28"/>
          <w:lang w:val="en-US" w:eastAsia="zh-CN" w:bidi="ar-SA"/>
        </w:rPr>
      </w:pPr>
    </w:p>
    <w:p>
      <w:pPr>
        <w:rPr>
          <w:rFonts w:hint="eastAsia" w:cs="Times New Roman"/>
          <w:kern w:val="2"/>
          <w:sz w:val="28"/>
          <w:szCs w:val="28"/>
          <w:lang w:val="en-US" w:eastAsia="zh-CN" w:bidi="ar-SA"/>
        </w:rPr>
      </w:pPr>
    </w:p>
    <w:p>
      <w:pPr>
        <w:pStyle w:val="2"/>
        <w:rPr>
          <w:rFonts w:hint="eastAsia" w:cs="Times New Roman"/>
          <w:kern w:val="2"/>
          <w:sz w:val="28"/>
          <w:szCs w:val="28"/>
          <w:lang w:val="en-US" w:eastAsia="zh-CN" w:bidi="ar-SA"/>
        </w:rPr>
      </w:pPr>
    </w:p>
    <w:p>
      <w:pPr>
        <w:rPr>
          <w:rFonts w:hint="eastAsia" w:cs="Times New Roman"/>
          <w:kern w:val="2"/>
          <w:sz w:val="28"/>
          <w:szCs w:val="28"/>
          <w:lang w:val="en-US" w:eastAsia="zh-CN" w:bidi="ar-SA"/>
        </w:rPr>
      </w:pPr>
    </w:p>
    <w:p>
      <w:pPr>
        <w:pStyle w:val="2"/>
        <w:rPr>
          <w:rFonts w:hint="eastAsia"/>
          <w:lang w:val="en-US" w:eastAsia="zh-CN"/>
        </w:rPr>
      </w:pP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lang w:val="en-US" w:eastAsia="zh-CN"/>
        </w:rPr>
        <w:t>、合同模板：</w:t>
      </w: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府谷县松宏湾林场海红果繁育基地建设项目</w:t>
      </w:r>
      <w:r>
        <w:rPr>
          <w:rFonts w:hint="eastAsia" w:ascii="宋体" w:hAnsi="宋体" w:eastAsia="宋体" w:cs="宋体"/>
          <w:b/>
          <w:bCs/>
          <w:color w:val="auto"/>
          <w:sz w:val="28"/>
          <w:szCs w:val="28"/>
          <w:lang w:val="en-US" w:eastAsia="zh-CN"/>
        </w:rPr>
        <w:t>采购合同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val="en-US" w:eastAsia="zh-CN"/>
        </w:rPr>
        <w:t>府谷县松宏湾林场海红果繁育基地建设项目</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项目内容：（与报价文件中服务明细表一致）。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cs="宋体"/>
          <w:color w:val="auto"/>
          <w:sz w:val="28"/>
          <w:szCs w:val="28"/>
          <w:u w:val="single"/>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N1标段工程验收合格，资金分二次兑付，第一次兑付工程款的80%，第二次兑付工程款的 20%。具体兑付时间由甲方安排。</w:t>
      </w:r>
    </w:p>
    <w:p>
      <w:pPr>
        <w:adjustRightInd w:val="0"/>
        <w:snapToGrid w:val="0"/>
        <w:spacing w:line="360" w:lineRule="auto"/>
        <w:ind w:firstLine="560" w:firstLineChars="200"/>
        <w:rPr>
          <w:rFonts w:hint="eastAsia" w:ascii="宋体" w:hAnsi="宋体" w:cs="宋体"/>
          <w:color w:val="auto"/>
          <w:sz w:val="28"/>
          <w:szCs w:val="28"/>
          <w:u w:val="single"/>
          <w:lang w:val="en-US" w:eastAsia="zh-CN"/>
        </w:rPr>
      </w:pPr>
      <w:r>
        <w:rPr>
          <w:rFonts w:hint="eastAsia" w:ascii="宋体" w:hAnsi="宋体" w:cs="宋体"/>
          <w:color w:val="auto"/>
          <w:sz w:val="28"/>
          <w:szCs w:val="28"/>
          <w:u w:val="single"/>
          <w:lang w:val="en-US" w:eastAsia="zh-CN"/>
        </w:rPr>
        <w:t xml:space="preserve">N2标段工程验收合格分三次兑付，第一次兑付工程款的 40%，第二次兑付工程款的 30%，第三次兑付工程款的 30%。具体兑付时间由甲方安排。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0000FF"/>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10日</w:t>
      </w:r>
      <w:r>
        <w:rPr>
          <w:rFonts w:hint="eastAsia" w:ascii="宋体" w:hAnsi="宋体" w:eastAsia="宋体" w:cs="宋体"/>
          <w:color w:val="auto"/>
          <w:sz w:val="28"/>
          <w:szCs w:val="28"/>
          <w:u w:val="single"/>
          <w:lang w:val="en-US" w:eastAsia="zh-CN"/>
        </w:rPr>
        <w:t>（实际时间以合同为准）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符合作业设计要求</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工程作业设计</w:t>
      </w:r>
      <w:r>
        <w:rPr>
          <w:rFonts w:hint="eastAsia" w:ascii="宋体" w:hAnsi="宋体" w:eastAsia="宋体" w:cs="宋体"/>
          <w:color w:val="auto"/>
          <w:sz w:val="28"/>
          <w:szCs w:val="28"/>
          <w:u w:val="single"/>
          <w:lang w:val="en-US" w:eastAsia="zh-CN"/>
        </w:rPr>
        <w:t xml:space="preserve">  </w:t>
      </w:r>
    </w:p>
    <w:p>
      <w:pPr>
        <w:pStyle w:val="2"/>
        <w:rPr>
          <w:rFonts w:hint="eastAsia" w:ascii="宋体" w:hAnsi="宋体" w:eastAsia="宋体" w:cs="宋体"/>
          <w:sz w:val="28"/>
          <w:szCs w:val="28"/>
          <w:lang w:val="en-US"/>
        </w:rPr>
      </w:pP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cs="宋体"/>
          <w:color w:val="auto"/>
          <w:sz w:val="28"/>
          <w:szCs w:val="28"/>
          <w:lang w:eastAsia="zh-CN"/>
        </w:rPr>
        <w:t>。</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1、采购单位：府谷县林业局</w:t>
      </w:r>
    </w:p>
    <w:p>
      <w:pPr>
        <w:adjustRightInd w:val="0"/>
        <w:snapToGrid w:val="0"/>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2、项目联系人：张峰  联系电话：13389122135</w:t>
      </w:r>
    </w:p>
    <w:p>
      <w:pPr>
        <w:adjustRightInd w:val="0"/>
        <w:snapToGrid w:val="0"/>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3、采购单位地址：</w:t>
      </w:r>
      <w:r>
        <w:rPr>
          <w:rFonts w:hint="eastAsia" w:ascii="宋体" w:hAnsi="宋体" w:eastAsia="宋体" w:cs="宋体"/>
          <w:i w:val="0"/>
          <w:iCs w:val="0"/>
          <w:caps w:val="0"/>
          <w:color w:val="333333"/>
          <w:spacing w:val="0"/>
          <w:sz w:val="24"/>
          <w:szCs w:val="24"/>
          <w:shd w:val="clear" w:fill="FFFFFF"/>
          <w:vertAlign w:val="baseline"/>
        </w:rPr>
        <w:t>府谷县新区国土大楼9楼</w:t>
      </w:r>
    </w:p>
    <w:p>
      <w:pPr>
        <w:adjustRightInd w:val="0"/>
        <w:snapToGrid w:val="0"/>
        <w:spacing w:line="360" w:lineRule="auto"/>
        <w:ind w:firstLine="560" w:firstLineChars="200"/>
        <w:jc w:val="right"/>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府谷县林业局</w:t>
      </w:r>
    </w:p>
    <w:p>
      <w:pPr>
        <w:adjustRightInd w:val="0"/>
        <w:snapToGrid w:val="0"/>
        <w:spacing w:line="360" w:lineRule="auto"/>
        <w:ind w:firstLine="562" w:firstLineChars="200"/>
        <w:rPr>
          <w:rFonts w:hint="eastAsia" w:ascii="宋体" w:hAnsi="宋体" w:eastAsia="宋体" w:cs="宋体"/>
          <w:b/>
          <w:color w:val="auto"/>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6BDB9"/>
    <w:multiLevelType w:val="singleLevel"/>
    <w:tmpl w:val="9FE6BDB9"/>
    <w:lvl w:ilvl="0" w:tentative="0">
      <w:start w:val="1"/>
      <w:numFmt w:val="chineseCounting"/>
      <w:suff w:val="nothing"/>
      <w:lvlText w:val="%1、"/>
      <w:lvlJc w:val="left"/>
      <w:rPr>
        <w:rFonts w:hint="eastAsia"/>
      </w:rPr>
    </w:lvl>
  </w:abstractNum>
  <w:abstractNum w:abstractNumId="1">
    <w:nsid w:val="E560D38D"/>
    <w:multiLevelType w:val="singleLevel"/>
    <w:tmpl w:val="E560D3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zg4NzNhNWY1YTg0NDM1OTczMjU3N2ZhNGY4YTMifQ=="/>
  </w:docVars>
  <w:rsids>
    <w:rsidRoot w:val="00000000"/>
    <w:rsid w:val="008B50B0"/>
    <w:rsid w:val="008C27BE"/>
    <w:rsid w:val="01021BA8"/>
    <w:rsid w:val="01BE71C8"/>
    <w:rsid w:val="03EE3FF4"/>
    <w:rsid w:val="045129F4"/>
    <w:rsid w:val="048942DB"/>
    <w:rsid w:val="06A179B5"/>
    <w:rsid w:val="08B917B0"/>
    <w:rsid w:val="09764B4D"/>
    <w:rsid w:val="0AF227A7"/>
    <w:rsid w:val="0B4073BA"/>
    <w:rsid w:val="0B7818CD"/>
    <w:rsid w:val="0BB772BD"/>
    <w:rsid w:val="0C0430E7"/>
    <w:rsid w:val="0E1C33BD"/>
    <w:rsid w:val="0F543075"/>
    <w:rsid w:val="10090B1F"/>
    <w:rsid w:val="11732E1A"/>
    <w:rsid w:val="13927568"/>
    <w:rsid w:val="13AC7EF0"/>
    <w:rsid w:val="143376FC"/>
    <w:rsid w:val="14BA4FD7"/>
    <w:rsid w:val="1568727D"/>
    <w:rsid w:val="15AF6FE5"/>
    <w:rsid w:val="16005770"/>
    <w:rsid w:val="16274F1A"/>
    <w:rsid w:val="163F4A71"/>
    <w:rsid w:val="1690011D"/>
    <w:rsid w:val="16D6238C"/>
    <w:rsid w:val="182F3036"/>
    <w:rsid w:val="19493A1B"/>
    <w:rsid w:val="19A31A69"/>
    <w:rsid w:val="1B2C7E6C"/>
    <w:rsid w:val="1BB53DC9"/>
    <w:rsid w:val="1C9912CD"/>
    <w:rsid w:val="1C9B22E3"/>
    <w:rsid w:val="1CEE486E"/>
    <w:rsid w:val="1D435874"/>
    <w:rsid w:val="1DFE146E"/>
    <w:rsid w:val="1E371278"/>
    <w:rsid w:val="21D377AE"/>
    <w:rsid w:val="21EE17FD"/>
    <w:rsid w:val="239476F4"/>
    <w:rsid w:val="240D3DBC"/>
    <w:rsid w:val="24EB4DF3"/>
    <w:rsid w:val="267E13D8"/>
    <w:rsid w:val="26DE5BEE"/>
    <w:rsid w:val="26EC527C"/>
    <w:rsid w:val="2746540A"/>
    <w:rsid w:val="275D16D7"/>
    <w:rsid w:val="27FF727F"/>
    <w:rsid w:val="2AB407E2"/>
    <w:rsid w:val="2B435450"/>
    <w:rsid w:val="2B496CAF"/>
    <w:rsid w:val="2F1C5D10"/>
    <w:rsid w:val="3343700F"/>
    <w:rsid w:val="33512033"/>
    <w:rsid w:val="33E25CB1"/>
    <w:rsid w:val="34BA3DC1"/>
    <w:rsid w:val="353F261B"/>
    <w:rsid w:val="3589141A"/>
    <w:rsid w:val="35910505"/>
    <w:rsid w:val="35BA2188"/>
    <w:rsid w:val="35C917D6"/>
    <w:rsid w:val="361A5B07"/>
    <w:rsid w:val="364A77B7"/>
    <w:rsid w:val="37831BAE"/>
    <w:rsid w:val="3E540F78"/>
    <w:rsid w:val="40101024"/>
    <w:rsid w:val="4016298E"/>
    <w:rsid w:val="42884F34"/>
    <w:rsid w:val="42FF7F22"/>
    <w:rsid w:val="43002348"/>
    <w:rsid w:val="4377079F"/>
    <w:rsid w:val="4469669F"/>
    <w:rsid w:val="44895336"/>
    <w:rsid w:val="49024BD2"/>
    <w:rsid w:val="492D6FB1"/>
    <w:rsid w:val="4ACD7933"/>
    <w:rsid w:val="4B3F63AB"/>
    <w:rsid w:val="4C465BB2"/>
    <w:rsid w:val="4D0B69E9"/>
    <w:rsid w:val="4E4E3987"/>
    <w:rsid w:val="4E941A75"/>
    <w:rsid w:val="4F2330C4"/>
    <w:rsid w:val="50E61077"/>
    <w:rsid w:val="53352E61"/>
    <w:rsid w:val="54E26898"/>
    <w:rsid w:val="550B0F49"/>
    <w:rsid w:val="57120DCF"/>
    <w:rsid w:val="57381A7B"/>
    <w:rsid w:val="58320F4E"/>
    <w:rsid w:val="589C55CE"/>
    <w:rsid w:val="5B70435F"/>
    <w:rsid w:val="5C3D2493"/>
    <w:rsid w:val="5D11587A"/>
    <w:rsid w:val="5D126FB2"/>
    <w:rsid w:val="5D973AA5"/>
    <w:rsid w:val="604F5912"/>
    <w:rsid w:val="60E03D35"/>
    <w:rsid w:val="60F53FE8"/>
    <w:rsid w:val="61D6781B"/>
    <w:rsid w:val="61D9209E"/>
    <w:rsid w:val="63F91B9D"/>
    <w:rsid w:val="63FF604D"/>
    <w:rsid w:val="665D26FA"/>
    <w:rsid w:val="66E819EF"/>
    <w:rsid w:val="68175D5B"/>
    <w:rsid w:val="6A6C0858"/>
    <w:rsid w:val="6B8230D4"/>
    <w:rsid w:val="6E433916"/>
    <w:rsid w:val="70FA2053"/>
    <w:rsid w:val="71183885"/>
    <w:rsid w:val="715A2DCD"/>
    <w:rsid w:val="720A7322"/>
    <w:rsid w:val="724A45D6"/>
    <w:rsid w:val="73546FE9"/>
    <w:rsid w:val="74CA3C8E"/>
    <w:rsid w:val="75902FB2"/>
    <w:rsid w:val="759660A6"/>
    <w:rsid w:val="76CE2208"/>
    <w:rsid w:val="774C742D"/>
    <w:rsid w:val="77E81434"/>
    <w:rsid w:val="79BA7569"/>
    <w:rsid w:val="7C3746D4"/>
    <w:rsid w:val="7F2B0C66"/>
    <w:rsid w:val="7FAC25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4"/>
    <w:autoRedefine/>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paragraph" w:styleId="5">
    <w:name w:val="heading 4"/>
    <w:basedOn w:val="1"/>
    <w:next w:val="1"/>
    <w:autoRedefine/>
    <w:unhideWhenUsed/>
    <w:qFormat/>
    <w:uiPriority w:val="0"/>
    <w:pPr>
      <w:keepNext/>
      <w:keepLines/>
      <w:spacing w:before="280" w:after="290" w:line="240" w:lineRule="auto"/>
      <w:jc w:val="left"/>
      <w:outlineLvl w:val="3"/>
    </w:pPr>
    <w:rPr>
      <w:b/>
      <w:bC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rPr>
  </w:style>
  <w:style w:type="paragraph" w:styleId="4">
    <w:name w:val="Normal Indent"/>
    <w:basedOn w:val="1"/>
    <w:autoRedefine/>
    <w:unhideWhenUsed/>
    <w:qFormat/>
    <w:uiPriority w:val="99"/>
    <w:pPr>
      <w:ind w:firstLine="420"/>
    </w:pPr>
  </w:style>
  <w:style w:type="paragraph" w:styleId="6">
    <w:name w:val="Body Text"/>
    <w:basedOn w:val="1"/>
    <w:next w:val="1"/>
    <w:autoRedefine/>
    <w:qFormat/>
    <w:uiPriority w:val="0"/>
    <w:pPr>
      <w:spacing w:after="120" w:afterLines="0" w:afterAutospacing="0"/>
    </w:p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FollowedHyperlink"/>
    <w:basedOn w:val="10"/>
    <w:autoRedefine/>
    <w:qFormat/>
    <w:uiPriority w:val="0"/>
    <w:rPr>
      <w:color w:val="800080"/>
      <w:u w:val="none"/>
    </w:rPr>
  </w:style>
  <w:style w:type="character" w:styleId="13">
    <w:name w:val="HTML Definition"/>
    <w:basedOn w:val="10"/>
    <w:autoRedefine/>
    <w:qFormat/>
    <w:uiPriority w:val="0"/>
  </w:style>
  <w:style w:type="character" w:styleId="14">
    <w:name w:val="HTML Typewriter"/>
    <w:basedOn w:val="10"/>
    <w:autoRedefine/>
    <w:qFormat/>
    <w:uiPriority w:val="0"/>
    <w:rPr>
      <w:rFonts w:ascii="monospace" w:hAnsi="monospace" w:eastAsia="monospace" w:cs="monospace"/>
      <w:sz w:val="20"/>
    </w:rPr>
  </w:style>
  <w:style w:type="character" w:styleId="15">
    <w:name w:val="HTML Acronym"/>
    <w:basedOn w:val="10"/>
    <w:autoRedefine/>
    <w:qFormat/>
    <w:uiPriority w:val="0"/>
  </w:style>
  <w:style w:type="character" w:styleId="16">
    <w:name w:val="HTML Variable"/>
    <w:basedOn w:val="10"/>
    <w:autoRedefine/>
    <w:qFormat/>
    <w:uiPriority w:val="0"/>
  </w:style>
  <w:style w:type="character" w:styleId="17">
    <w:name w:val="Hyperlink"/>
    <w:basedOn w:val="10"/>
    <w:autoRedefine/>
    <w:qFormat/>
    <w:uiPriority w:val="0"/>
    <w:rPr>
      <w:color w:val="0000FF"/>
      <w:u w:val="none"/>
    </w:rPr>
  </w:style>
  <w:style w:type="character" w:styleId="18">
    <w:name w:val="HTML Code"/>
    <w:basedOn w:val="10"/>
    <w:autoRedefine/>
    <w:qFormat/>
    <w:uiPriority w:val="0"/>
    <w:rPr>
      <w:rFonts w:hint="default" w:ascii="monospace" w:hAnsi="monospace" w:eastAsia="monospace" w:cs="monospace"/>
      <w:sz w:val="20"/>
    </w:rPr>
  </w:style>
  <w:style w:type="character" w:styleId="19">
    <w:name w:val="HTML Cite"/>
    <w:basedOn w:val="10"/>
    <w:autoRedefine/>
    <w:qFormat/>
    <w:uiPriority w:val="0"/>
  </w:style>
  <w:style w:type="character" w:styleId="20">
    <w:name w:val="HTML Keyboard"/>
    <w:basedOn w:val="10"/>
    <w:autoRedefine/>
    <w:qFormat/>
    <w:uiPriority w:val="0"/>
    <w:rPr>
      <w:rFonts w:hint="default" w:ascii="monospace" w:hAnsi="monospace" w:eastAsia="monospace" w:cs="monospace"/>
      <w:sz w:val="20"/>
    </w:rPr>
  </w:style>
  <w:style w:type="character" w:styleId="21">
    <w:name w:val="HTML Sample"/>
    <w:basedOn w:val="10"/>
    <w:autoRedefine/>
    <w:qFormat/>
    <w:uiPriority w:val="0"/>
    <w:rPr>
      <w:rFonts w:hint="default" w:ascii="monospace" w:hAnsi="monospace" w:eastAsia="monospace" w:cs="monospace"/>
    </w:rPr>
  </w:style>
  <w:style w:type="paragraph" w:customStyle="1" w:styleId="22">
    <w:name w:val="正文缩进1"/>
    <w:basedOn w:val="1"/>
    <w:autoRedefine/>
    <w:qFormat/>
    <w:uiPriority w:val="0"/>
    <w:pPr>
      <w:ind w:firstLine="420" w:firstLineChars="200"/>
    </w:pPr>
  </w:style>
  <w:style w:type="paragraph" w:customStyle="1" w:styleId="23">
    <w:name w:val="Body text|2"/>
    <w:basedOn w:val="1"/>
    <w:autoRedefine/>
    <w:qFormat/>
    <w:uiPriority w:val="0"/>
    <w:pPr>
      <w:widowControl w:val="0"/>
      <w:shd w:val="clear" w:color="auto" w:fill="auto"/>
      <w:spacing w:after="460"/>
      <w:ind w:left="180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2316</Words>
  <Characters>2595</Characters>
  <Lines>0</Lines>
  <Paragraphs>0</Paragraphs>
  <TotalTime>0</TotalTime>
  <ScaleCrop>false</ScaleCrop>
  <LinksUpToDate>false</LinksUpToDate>
  <CharactersWithSpaces>2871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一缕阳光</cp:lastModifiedBy>
  <cp:lastPrinted>2023-04-14T01:59:00Z</cp:lastPrinted>
  <dcterms:modified xsi:type="dcterms:W3CDTF">2024-04-12T02:56:58Z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89DD111D20AA4DBE8C94C61D10D526D8_13</vt:lpwstr>
  </property>
</Properties>
</file>