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hint="eastAsia" w:ascii="宋体" w:hAnsi="宋体" w:eastAsia="宋体" w:cs="宋体"/>
          <w:sz w:val="20"/>
        </w:rPr>
      </w:pPr>
    </w:p>
    <w:p>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墙头便民服务中心前会河道整治工程</w:t>
      </w:r>
    </w:p>
    <w:p>
      <w:pPr>
        <w:spacing w:line="360" w:lineRule="auto"/>
        <w:jc w:val="center"/>
        <w:rPr>
          <w:rFonts w:hint="eastAsia" w:ascii="宋体" w:hAnsi="宋体" w:eastAsia="宋体" w:cs="宋体"/>
          <w:b/>
          <w:bCs/>
          <w:sz w:val="44"/>
          <w:szCs w:val="44"/>
        </w:rPr>
      </w:pPr>
      <w:r>
        <w:rPr>
          <w:rFonts w:hint="eastAsia" w:ascii="宋体" w:hAnsi="宋体" w:eastAsia="宋体" w:cs="宋体"/>
          <w:b/>
          <w:bCs/>
          <w:color w:val="auto"/>
          <w:sz w:val="44"/>
          <w:szCs w:val="44"/>
          <w:lang w:val="en-US" w:eastAsia="zh-CN"/>
        </w:rPr>
        <w:t>采购需求文件</w:t>
      </w:r>
    </w:p>
    <w:p>
      <w:pPr>
        <w:numPr>
          <w:ilvl w:val="0"/>
          <w:numId w:val="0"/>
        </w:numPr>
        <w:spacing w:line="360" w:lineRule="auto"/>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采购项目名称：</w:t>
      </w:r>
      <w:r>
        <w:rPr>
          <w:rFonts w:hint="eastAsia" w:ascii="宋体" w:hAnsi="宋体" w:eastAsia="宋体" w:cs="宋体"/>
          <w:b/>
          <w:bCs/>
          <w:sz w:val="24"/>
          <w:szCs w:val="24"/>
          <w:lang w:eastAsia="zh-CN"/>
        </w:rPr>
        <w:t>墙头便民服务中心前会河道整治工程</w:t>
      </w:r>
    </w:p>
    <w:p>
      <w:pPr>
        <w:numPr>
          <w:ilvl w:val="0"/>
          <w:numId w:val="0"/>
        </w:numPr>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二、采购项目预算、资金构成和采购方式：</w:t>
      </w:r>
    </w:p>
    <w:p>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1、采购项目预算：（见上传附件）</w:t>
      </w:r>
    </w:p>
    <w:p>
      <w:pPr>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2、资金来源：</w:t>
      </w:r>
      <w:r>
        <w:rPr>
          <w:rFonts w:hint="eastAsia" w:ascii="宋体" w:hAnsi="宋体" w:eastAsia="宋体" w:cs="宋体"/>
          <w:sz w:val="24"/>
          <w:szCs w:val="24"/>
          <w:lang w:val="en-US" w:eastAsia="zh-CN"/>
        </w:rPr>
        <w:t xml:space="preserve">财政 </w:t>
      </w:r>
    </w:p>
    <w:p>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3、采购方式：</w:t>
      </w:r>
      <w:r>
        <w:rPr>
          <w:rFonts w:hint="eastAsia" w:ascii="宋体" w:hAnsi="宋体" w:eastAsia="宋体" w:cs="宋体"/>
          <w:sz w:val="24"/>
          <w:szCs w:val="24"/>
          <w:lang w:val="en-US" w:eastAsia="zh-CN"/>
        </w:rPr>
        <w:t>竞争性磋商</w:t>
      </w:r>
    </w:p>
    <w:p>
      <w:pPr>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三、项目实施时间、地点、工程概况、履行期限及方式</w:t>
      </w:r>
    </w:p>
    <w:p>
      <w:pPr>
        <w:spacing w:line="360" w:lineRule="auto"/>
        <w:textAlignment w:val="baseline"/>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1、项目实施时间</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lang w:val="en-US" w:eastAsia="zh-CN"/>
        </w:rPr>
        <w:t>2024年8</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lang w:val="en-US" w:eastAsia="zh-CN"/>
        </w:rPr>
        <w:t>90</w:t>
      </w:r>
      <w:r>
        <w:rPr>
          <w:rFonts w:hint="eastAsia" w:ascii="宋体" w:hAnsi="宋体" w:eastAsia="宋体" w:cs="宋体"/>
          <w:b w:val="0"/>
          <w:bCs w:val="0"/>
          <w:sz w:val="24"/>
          <w:szCs w:val="24"/>
          <w:lang w:eastAsia="zh-CN"/>
        </w:rPr>
        <w:t>日历天）</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具体内容见工程量清单。</w:t>
      </w:r>
    </w:p>
    <w:p>
      <w:pPr>
        <w:spacing w:line="360" w:lineRule="auto"/>
        <w:textAlignment w:val="baseline"/>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2、项目实施地点：</w:t>
      </w:r>
      <w:r>
        <w:rPr>
          <w:rFonts w:hint="eastAsia" w:ascii="宋体" w:hAnsi="宋体" w:eastAsia="宋体" w:cs="宋体"/>
          <w:b w:val="0"/>
          <w:bCs w:val="0"/>
          <w:sz w:val="24"/>
          <w:szCs w:val="24"/>
          <w:lang w:val="en-US" w:eastAsia="zh-CN"/>
        </w:rPr>
        <w:t>墙头便民服务中心前会村</w:t>
      </w:r>
      <w:bookmarkStart w:id="6" w:name="_GoBack"/>
      <w:bookmarkEnd w:id="6"/>
      <w:r>
        <w:rPr>
          <w:rFonts w:hint="eastAsia" w:ascii="宋体" w:hAnsi="宋体" w:eastAsia="宋体" w:cs="宋体"/>
          <w:b w:val="0"/>
          <w:bCs w:val="0"/>
          <w:sz w:val="24"/>
          <w:szCs w:val="24"/>
          <w:lang w:val="en-US" w:eastAsia="zh-CN"/>
        </w:rPr>
        <w:t>。</w:t>
      </w:r>
    </w:p>
    <w:p>
      <w:pPr>
        <w:spacing w:line="360" w:lineRule="auto"/>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3、工程概况：</w:t>
      </w:r>
    </w:p>
    <w:p>
      <w:pPr>
        <w:spacing w:line="360" w:lineRule="auto"/>
        <w:ind w:firstLine="482" w:firstLineChars="200"/>
        <w:textAlignment w:val="baseline"/>
        <w:rPr>
          <w:rFonts w:hint="eastAsia" w:ascii="宋体" w:hAnsi="宋体" w:eastAsia="宋体" w:cs="宋体"/>
          <w:b w:val="0"/>
          <w:bCs w:val="0"/>
          <w:color w:val="8497B0" w:themeColor="text2" w:themeTint="99"/>
          <w:sz w:val="24"/>
          <w:szCs w:val="24"/>
          <w:lang w:val="en-US" w:eastAsia="zh-CN"/>
          <w14:textFill>
            <w14:solidFill>
              <w14:schemeClr w14:val="tx2">
                <w14:lumMod w14:val="60000"/>
                <w14:lumOff w14:val="40000"/>
              </w14:schemeClr>
            </w14:solidFill>
          </w14:textFill>
        </w:rPr>
      </w:pPr>
      <w:r>
        <w:rPr>
          <w:rFonts w:hint="eastAsia" w:ascii="宋体" w:hAnsi="宋体" w:eastAsia="宋体" w:cs="宋体"/>
          <w:b/>
          <w:bCs/>
          <w:sz w:val="24"/>
          <w:szCs w:val="24"/>
        </w:rPr>
        <w:t>主要内容包括：</w:t>
      </w:r>
      <w:r>
        <w:rPr>
          <w:rFonts w:hint="eastAsia" w:ascii="宋体" w:hAnsi="宋体" w:eastAsia="宋体" w:cs="宋体"/>
          <w:b w:val="0"/>
          <w:bCs w:val="0"/>
          <w:sz w:val="24"/>
          <w:szCs w:val="24"/>
        </w:rPr>
        <w:t>水泥混凝土路面133.92立方米</w:t>
      </w:r>
      <w:r>
        <w:rPr>
          <w:rFonts w:hint="eastAsia" w:ascii="宋体" w:hAnsi="宋体" w:eastAsia="宋体" w:cs="宋体"/>
          <w:b w:val="0"/>
          <w:bCs w:val="0"/>
          <w:sz w:val="24"/>
          <w:szCs w:val="24"/>
          <w:lang w:eastAsia="zh-CN"/>
        </w:rPr>
        <w:t>，路面旧结构层267.84立方米，清理河道淤泥外运5210立方米，现浇片石混凝土挡土墙1384.44立方米，挖土方4727.34立方米，回填土方2797.45立方米。</w:t>
      </w:r>
      <w:r>
        <w:rPr>
          <w:rFonts w:hint="eastAsia" w:ascii="宋体" w:hAnsi="宋体" w:eastAsia="宋体" w:cs="宋体"/>
          <w:b w:val="0"/>
          <w:bCs w:val="0"/>
          <w:color w:val="auto"/>
          <w:sz w:val="24"/>
          <w:szCs w:val="24"/>
          <w:lang w:val="en-US" w:eastAsia="zh-CN"/>
        </w:rPr>
        <w:t>具体内容见本项目工程量清单。</w:t>
      </w:r>
    </w:p>
    <w:p>
      <w:pPr>
        <w:spacing w:line="360" w:lineRule="auto"/>
        <w:ind w:firstLine="482" w:firstLineChars="200"/>
        <w:textAlignment w:val="baseline"/>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项目总投资：</w:t>
      </w:r>
      <w:r>
        <w:rPr>
          <w:rFonts w:hint="eastAsia" w:ascii="宋体" w:hAnsi="宋体" w:eastAsia="宋体" w:cs="宋体"/>
          <w:b w:val="0"/>
          <w:bCs w:val="0"/>
          <w:sz w:val="24"/>
          <w:szCs w:val="24"/>
          <w:lang w:eastAsia="zh-CN"/>
        </w:rPr>
        <w:t>1801983.74</w:t>
      </w:r>
      <w:r>
        <w:rPr>
          <w:rFonts w:hint="eastAsia" w:ascii="宋体" w:hAnsi="宋体" w:eastAsia="宋体" w:cs="宋体"/>
          <w:b w:val="0"/>
          <w:bCs w:val="0"/>
          <w:sz w:val="24"/>
          <w:szCs w:val="24"/>
          <w:lang w:val="en-US" w:eastAsia="zh-CN"/>
        </w:rPr>
        <w:t>元。</w:t>
      </w:r>
    </w:p>
    <w:p>
      <w:pPr>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、履约验收标准和方法</w:t>
      </w:r>
    </w:p>
    <w:p>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1、履约验收时间：</w:t>
      </w:r>
      <w:r>
        <w:rPr>
          <w:rFonts w:hint="eastAsia" w:ascii="宋体" w:hAnsi="宋体" w:eastAsia="宋体" w:cs="宋体"/>
          <w:sz w:val="24"/>
          <w:szCs w:val="24"/>
          <w:lang w:eastAsia="zh-CN"/>
        </w:rPr>
        <w:t>计划</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0</w:t>
      </w:r>
      <w:r>
        <w:rPr>
          <w:rFonts w:hint="eastAsia" w:cs="宋体"/>
          <w:sz w:val="24"/>
          <w:szCs w:val="24"/>
          <w:lang w:val="en-US" w:eastAsia="zh-CN"/>
        </w:rPr>
        <w:t>8</w:t>
      </w:r>
      <w:r>
        <w:rPr>
          <w:rFonts w:hint="eastAsia" w:ascii="宋体" w:hAnsi="宋体" w:eastAsia="宋体" w:cs="宋体"/>
          <w:sz w:val="24"/>
          <w:szCs w:val="24"/>
        </w:rPr>
        <w:t>月</w:t>
      </w:r>
      <w:r>
        <w:rPr>
          <w:rFonts w:hint="eastAsia"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日</w:t>
      </w:r>
      <w:r>
        <w:rPr>
          <w:rFonts w:hint="eastAsia" w:ascii="宋体" w:hAnsi="宋体" w:eastAsia="宋体" w:cs="宋体"/>
          <w:sz w:val="24"/>
          <w:szCs w:val="24"/>
          <w:lang w:val="en-US" w:eastAsia="zh-CN"/>
        </w:rPr>
        <w:t>(以施工合同为准)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2、履约验收主体及内容：由采购人根据合同要求，对工程进行验收。</w:t>
      </w:r>
    </w:p>
    <w:p>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3、验收程序：供应商应当严格按合同约定的内容完成施工任务。并对相关资料进行认真整理，做好验收准备。在供应商履约结束后，验收工作小组按照职责分工对照政府采购合同中验收有关事项和标准核对每项验收事项，并按照验收方案应及时组织验收。</w:t>
      </w:r>
    </w:p>
    <w:p>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4、履约验收标准：供应商出具的合格等级各项资料，符合国家相关施工验收规范；并达到合格标准。</w:t>
      </w:r>
    </w:p>
    <w:p>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5、验收方式：由采购单位组织有关专业人员按相关的国家标准、质量标准和招标文件所列的各项要求进行验收。</w:t>
      </w:r>
    </w:p>
    <w:p>
      <w:pPr>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、对供应商的要求</w:t>
      </w:r>
    </w:p>
    <w:p>
      <w:pPr>
        <w:tabs>
          <w:tab w:val="left" w:pos="756"/>
        </w:tabs>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1、在中华人民共和国境内注册的，具有独立法人资格的供应商；</w:t>
      </w:r>
    </w:p>
    <w:p>
      <w:pPr>
        <w:tabs>
          <w:tab w:val="left" w:pos="756"/>
        </w:tabs>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2、具有良好的商业信誉和健全的财务会计</w:t>
      </w:r>
    </w:p>
    <w:p>
      <w:pPr>
        <w:tabs>
          <w:tab w:val="left" w:pos="756"/>
        </w:tabs>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w:t>
      </w:r>
    </w:p>
    <w:p>
      <w:pPr>
        <w:tabs>
          <w:tab w:val="left" w:pos="756"/>
        </w:tabs>
        <w:spacing w:line="360" w:lineRule="auto"/>
        <w:jc w:val="left"/>
        <w:textAlignment w:val="baseline"/>
        <w:rPr>
          <w:rFonts w:hint="eastAsia" w:ascii="宋体" w:hAnsi="宋体" w:eastAsia="宋体" w:cs="宋体"/>
          <w:b/>
          <w:bCs/>
          <w:sz w:val="24"/>
          <w:szCs w:val="24"/>
        </w:rPr>
      </w:pPr>
      <w:r>
        <w:rPr>
          <w:rFonts w:hint="eastAsia" w:ascii="宋体" w:hAnsi="宋体" w:eastAsia="宋体" w:cs="宋体"/>
          <w:sz w:val="24"/>
          <w:szCs w:val="24"/>
        </w:rPr>
        <w:t>4、有依法缴纳税收和社会保障资金的良好记录；</w:t>
      </w:r>
    </w:p>
    <w:p>
      <w:pPr>
        <w:spacing w:line="36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、合同模板：</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u w:val="single"/>
          <w:lang w:eastAsia="zh-Hans"/>
        </w:rPr>
        <w:t>府谷县墙头生态农业示范园区管理委员会</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single"/>
          <w:lang w:eastAsia="zh-Hans"/>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 xml:space="preserve"> </w:t>
      </w:r>
    </w:p>
    <w:p>
      <w:pPr>
        <w:autoSpaceDN w:val="0"/>
        <w:adjustRightInd w:val="0"/>
        <w:snapToGrid w:val="0"/>
        <w:spacing w:line="360" w:lineRule="auto"/>
        <w:ind w:firstLine="480" w:firstLineChars="200"/>
        <w:jc w:val="left"/>
        <w:rPr>
          <w:rFonts w:hint="eastAsia" w:ascii="宋体" w:hAnsi="宋体" w:eastAsia="宋体" w:cs="宋体"/>
          <w:b/>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根据《中华人民共和国政府采购法》、《中华人民共和国合同法》等相关法律，甲、乙双方经平等协商一致，就“</w:t>
      </w:r>
      <w:r>
        <w:rPr>
          <w:rFonts w:hint="eastAsia" w:ascii="宋体" w:hAnsi="宋体" w:eastAsia="宋体" w:cs="宋体"/>
          <w:snapToGrid w:val="0"/>
          <w:color w:val="auto"/>
          <w:kern w:val="0"/>
          <w:sz w:val="24"/>
          <w:szCs w:val="24"/>
          <w:lang w:eastAsia="zh-CN"/>
        </w:rPr>
        <w:t>墙头便民服务中心前会河道整治工程</w:t>
      </w:r>
      <w:r>
        <w:rPr>
          <w:rFonts w:hint="eastAsia" w:ascii="宋体" w:hAnsi="宋体" w:eastAsia="宋体" w:cs="宋体"/>
          <w:snapToGrid w:val="0"/>
          <w:color w:val="auto"/>
          <w:kern w:val="0"/>
          <w:sz w:val="24"/>
          <w:szCs w:val="24"/>
        </w:rPr>
        <w:t xml:space="preserve">”承办达成合同如下：                       </w:t>
      </w:r>
    </w:p>
    <w:p>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一、合同文件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本合同所附下列文件是构成本合同不可分割的部分，组成合同的各项文件应互相解释，互为说明，解释合同文件的优先顺序如下：</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合同条款</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中标人在评标过程中做出的有关澄清、说明、承诺或者补正文件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招标文件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中标人的投标文件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本合同附件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同一层次的合同文件规定有矛盾的以较后时间制定的为准。</w:t>
      </w:r>
    </w:p>
    <w:p>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二、合同的范围和条件</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三、工程项目</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本合同所提供的工程项目内容：（与报价文件中工程明细表一致）。</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四、合同金额</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合同金额为人民币大写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五、付款途径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六、付款方式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工程款按进度支付，按工程进度支付80%，完工验收合格决算审计后付清剩余款项。（具体付款方式以签订的合同内容为准）。</w:t>
      </w:r>
    </w:p>
    <w:p>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七、知识产权</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乙方应保证甲方所使用的服务成果免受第三方提出的侵犯其知识产权的诉讼。</w:t>
      </w:r>
    </w:p>
    <w:p>
      <w:pPr>
        <w:adjustRightInd w:val="0"/>
        <w:snapToGrid w:val="0"/>
        <w:spacing w:line="360" w:lineRule="auto"/>
        <w:rPr>
          <w:rFonts w:hint="eastAsia" w:ascii="宋体" w:hAnsi="宋体" w:eastAsia="宋体" w:cs="宋体"/>
          <w:b/>
          <w:bCs/>
          <w:color w:val="auto"/>
          <w:sz w:val="24"/>
          <w:szCs w:val="24"/>
        </w:rPr>
      </w:pPr>
      <w:bookmarkStart w:id="0" w:name="_Toc223404485"/>
      <w:r>
        <w:rPr>
          <w:rFonts w:hint="eastAsia" w:ascii="宋体" w:hAnsi="宋体" w:eastAsia="宋体" w:cs="宋体"/>
          <w:b/>
          <w:bCs/>
          <w:color w:val="auto"/>
          <w:sz w:val="24"/>
          <w:szCs w:val="24"/>
        </w:rPr>
        <w:t>八、违约条款</w:t>
      </w:r>
      <w:bookmarkEnd w:id="0"/>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一方不按期履行合同，并经另一方提示后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日内仍不履行合同的，守约方有权解除合同，违约方要承担相应的法律责任。</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其它应承担的违约责任，以《中华人民共和国合同法》和其它有关法律、法规规定为准，无相关规定的，双方协商解决。</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按照本合同规定应该偿付的违约金、赔偿金等，应当在明确责任后 7 日内，按银行规定或双方商定的结算办法付清，否则按逾期付款处理。</w:t>
      </w:r>
    </w:p>
    <w:p>
      <w:pPr>
        <w:pStyle w:val="3"/>
        <w:spacing w:line="360" w:lineRule="auto"/>
        <w:ind w:left="0" w:leftChars="0" w:firstLine="0" w:firstLineChars="0"/>
        <w:rPr>
          <w:rFonts w:hint="eastAsia" w:ascii="宋体" w:hAnsi="宋体" w:eastAsia="宋体" w:cs="宋体"/>
          <w:b/>
          <w:bCs/>
          <w:color w:val="auto"/>
          <w:sz w:val="24"/>
          <w:szCs w:val="24"/>
        </w:rPr>
      </w:pPr>
      <w:bookmarkStart w:id="1" w:name="_Toc31057"/>
      <w:bookmarkStart w:id="2" w:name="_Toc56066561"/>
      <w:r>
        <w:rPr>
          <w:rFonts w:hint="eastAsia" w:ascii="宋体" w:hAnsi="宋体" w:eastAsia="宋体" w:cs="宋体"/>
          <w:b/>
          <w:bCs/>
          <w:color w:val="auto"/>
          <w:sz w:val="24"/>
          <w:szCs w:val="24"/>
        </w:rPr>
        <w:t>九、履约验收</w:t>
      </w:r>
      <w:bookmarkEnd w:id="1"/>
      <w:bookmarkEnd w:id="2"/>
      <w:r>
        <w:rPr>
          <w:rFonts w:hint="eastAsia" w:ascii="宋体" w:hAnsi="宋体" w:eastAsia="宋体" w:cs="宋体"/>
          <w:b/>
          <w:bCs/>
          <w:color w:val="auto"/>
          <w:sz w:val="24"/>
          <w:szCs w:val="24"/>
        </w:rPr>
        <w:t>标准和方式</w:t>
      </w:r>
    </w:p>
    <w:p>
      <w:pPr>
        <w:adjustRightInd w:val="0"/>
        <w:snapToGrid w:val="0"/>
        <w:spacing w:line="360" w:lineRule="auto"/>
        <w:ind w:firstLine="480" w:firstLineChars="200"/>
        <w:rPr>
          <w:rFonts w:hint="eastAsia" w:ascii="宋体" w:hAnsi="宋体" w:eastAsia="宋体" w:cs="宋体"/>
          <w:b w:val="0"/>
          <w:bCs w:val="0"/>
          <w:color w:val="auto"/>
          <w:sz w:val="24"/>
          <w:szCs w:val="24"/>
          <w:u w:val="single"/>
        </w:rPr>
      </w:pPr>
      <w:bookmarkStart w:id="3" w:name="_Toc223404486"/>
      <w:r>
        <w:rPr>
          <w:rFonts w:hint="eastAsia" w:ascii="宋体" w:hAnsi="宋体" w:eastAsia="宋体" w:cs="宋体"/>
          <w:b w:val="0"/>
          <w:bCs w:val="0"/>
          <w:color w:val="auto"/>
          <w:sz w:val="24"/>
          <w:szCs w:val="24"/>
          <w:u w:val="none"/>
        </w:rPr>
        <w:t>1.履约验收时间：</w:t>
      </w:r>
      <w:r>
        <w:rPr>
          <w:rFonts w:hint="eastAsia" w:ascii="宋体" w:hAnsi="宋体" w:eastAsia="宋体" w:cs="宋体"/>
          <w:b w:val="0"/>
          <w:bCs w:val="0"/>
          <w:color w:val="auto"/>
          <w:sz w:val="24"/>
          <w:szCs w:val="24"/>
          <w:u w:val="single"/>
        </w:rPr>
        <w:t>202</w:t>
      </w:r>
      <w:r>
        <w:rPr>
          <w:rFonts w:hint="eastAsia" w:ascii="宋体" w:hAnsi="宋体" w:eastAsia="宋体" w:cs="宋体"/>
          <w:b w:val="0"/>
          <w:bCs w:val="0"/>
          <w:color w:val="auto"/>
          <w:sz w:val="24"/>
          <w:szCs w:val="24"/>
          <w:u w:val="single"/>
          <w:lang w:val="en-US" w:eastAsia="zh-CN"/>
        </w:rPr>
        <w:t>4</w:t>
      </w:r>
      <w:r>
        <w:rPr>
          <w:rFonts w:hint="eastAsia" w:ascii="宋体" w:hAnsi="宋体" w:eastAsia="宋体" w:cs="宋体"/>
          <w:b w:val="0"/>
          <w:bCs w:val="0"/>
          <w:color w:val="auto"/>
          <w:sz w:val="24"/>
          <w:szCs w:val="24"/>
          <w:u w:val="single"/>
        </w:rPr>
        <w:t>年</w:t>
      </w:r>
      <w:r>
        <w:rPr>
          <w:rFonts w:hint="eastAsia" w:cs="宋体"/>
          <w:b w:val="0"/>
          <w:bCs w:val="0"/>
          <w:color w:val="auto"/>
          <w:sz w:val="24"/>
          <w:szCs w:val="24"/>
          <w:u w:val="single"/>
          <w:lang w:val="en-US" w:eastAsia="zh-CN"/>
        </w:rPr>
        <w:t>8</w:t>
      </w:r>
      <w:r>
        <w:rPr>
          <w:rFonts w:hint="eastAsia" w:ascii="宋体" w:hAnsi="宋体" w:eastAsia="宋体" w:cs="宋体"/>
          <w:b w:val="0"/>
          <w:bCs w:val="0"/>
          <w:color w:val="auto"/>
          <w:sz w:val="24"/>
          <w:szCs w:val="24"/>
          <w:u w:val="single"/>
        </w:rPr>
        <w:t>月</w:t>
      </w:r>
      <w:r>
        <w:rPr>
          <w:rFonts w:hint="eastAsia" w:cs="宋体"/>
          <w:b w:val="0"/>
          <w:bCs w:val="0"/>
          <w:color w:val="auto"/>
          <w:sz w:val="24"/>
          <w:szCs w:val="24"/>
          <w:u w:val="single"/>
          <w:lang w:val="en-US" w:eastAsia="zh-CN"/>
        </w:rPr>
        <w:t>2</w:t>
      </w:r>
      <w:r>
        <w:rPr>
          <w:rFonts w:hint="eastAsia" w:ascii="宋体" w:hAnsi="宋体" w:eastAsia="宋体" w:cs="宋体"/>
          <w:b w:val="0"/>
          <w:bCs w:val="0"/>
          <w:color w:val="auto"/>
          <w:sz w:val="24"/>
          <w:szCs w:val="24"/>
          <w:u w:val="single"/>
          <w:lang w:val="en-US" w:eastAsia="zh-CN"/>
        </w:rPr>
        <w:t>0</w:t>
      </w:r>
      <w:r>
        <w:rPr>
          <w:rFonts w:hint="eastAsia" w:ascii="宋体" w:hAnsi="宋体" w:eastAsia="宋体" w:cs="宋体"/>
          <w:b w:val="0"/>
          <w:bCs w:val="0"/>
          <w:color w:val="auto"/>
          <w:sz w:val="24"/>
          <w:szCs w:val="24"/>
          <w:u w:val="single"/>
        </w:rPr>
        <w:t>日（实际时间以施工合同为准）</w:t>
      </w:r>
    </w:p>
    <w:p>
      <w:pPr>
        <w:adjustRightInd w:val="0"/>
        <w:snapToGrid w:val="0"/>
        <w:spacing w:line="360" w:lineRule="auto"/>
        <w:ind w:firstLine="480" w:firstLineChars="200"/>
        <w:rPr>
          <w:rFonts w:hint="default"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none"/>
        </w:rPr>
        <w:t>2.履约验收主体及内容：</w:t>
      </w:r>
      <w:r>
        <w:rPr>
          <w:rFonts w:hint="eastAsia" w:ascii="宋体" w:hAnsi="宋体" w:eastAsia="宋体" w:cs="宋体"/>
          <w:b w:val="0"/>
          <w:bCs w:val="0"/>
          <w:color w:val="auto"/>
          <w:sz w:val="24"/>
          <w:szCs w:val="24"/>
          <w:u w:val="single"/>
        </w:rPr>
        <w:t>由采购人根据合同要求，进行验收。</w:t>
      </w:r>
      <w:r>
        <w:rPr>
          <w:rFonts w:hint="eastAsia" w:ascii="宋体" w:hAnsi="宋体" w:eastAsia="宋体" w:cs="宋体"/>
          <w:b w:val="0"/>
          <w:bCs w:val="0"/>
          <w:color w:val="auto"/>
          <w:sz w:val="24"/>
          <w:szCs w:val="24"/>
          <w:u w:val="single"/>
          <w:lang w:val="en-US" w:eastAsia="zh-CN"/>
        </w:rPr>
        <w:t xml:space="preserve">  </w:t>
      </w:r>
    </w:p>
    <w:p>
      <w:pPr>
        <w:adjustRightInd w:val="0"/>
        <w:snapToGrid w:val="0"/>
        <w:spacing w:line="360" w:lineRule="auto"/>
        <w:ind w:firstLine="480" w:firstLineChars="2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none"/>
        </w:rPr>
        <w:t>3.验收标准：</w:t>
      </w:r>
      <w:r>
        <w:rPr>
          <w:rFonts w:hint="eastAsia" w:ascii="宋体" w:hAnsi="宋体" w:eastAsia="宋体" w:cs="宋体"/>
          <w:b w:val="0"/>
          <w:bCs w:val="0"/>
          <w:color w:val="auto"/>
          <w:sz w:val="24"/>
          <w:szCs w:val="24"/>
          <w:u w:val="single"/>
        </w:rPr>
        <w:t xml:space="preserve"> 严格按照工程质量要求验收                   </w:t>
      </w:r>
    </w:p>
    <w:p>
      <w:pPr>
        <w:adjustRightInd w:val="0"/>
        <w:snapToGrid w:val="0"/>
        <w:spacing w:line="360" w:lineRule="auto"/>
        <w:ind w:firstLine="480" w:firstLineChars="2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none"/>
        </w:rPr>
        <w:t>4.验收方式：</w:t>
      </w:r>
      <w:r>
        <w:rPr>
          <w:rFonts w:hint="eastAsia" w:ascii="宋体" w:hAnsi="宋体" w:eastAsia="宋体" w:cs="宋体"/>
          <w:b w:val="0"/>
          <w:bCs w:val="0"/>
          <w:color w:val="auto"/>
          <w:sz w:val="24"/>
          <w:szCs w:val="24"/>
          <w:u w:val="single"/>
        </w:rPr>
        <w:t>由采购单位技术人员按照相关验收标准进行验收。</w:t>
      </w:r>
    </w:p>
    <w:p>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十、不可抗力条款</w:t>
      </w:r>
      <w:bookmarkEnd w:id="3"/>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rPr>
          <w:rFonts w:hint="eastAsia" w:ascii="宋体" w:hAnsi="宋体" w:eastAsia="宋体" w:cs="宋体"/>
          <w:b/>
          <w:bCs/>
          <w:color w:val="auto"/>
          <w:sz w:val="24"/>
          <w:szCs w:val="24"/>
        </w:rPr>
      </w:pPr>
      <w:bookmarkStart w:id="4" w:name="_Toc223404487"/>
      <w:r>
        <w:rPr>
          <w:rFonts w:hint="eastAsia" w:ascii="宋体" w:hAnsi="宋体" w:eastAsia="宋体" w:cs="宋体"/>
          <w:b/>
          <w:bCs/>
          <w:color w:val="auto"/>
          <w:sz w:val="24"/>
          <w:szCs w:val="24"/>
        </w:rPr>
        <w:t>十一、争议的解决方式</w:t>
      </w:r>
      <w:bookmarkEnd w:id="4"/>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pPr>
        <w:adjustRightInd w:val="0"/>
        <w:snapToGrid w:val="0"/>
        <w:spacing w:line="360" w:lineRule="auto"/>
        <w:rPr>
          <w:rFonts w:hint="eastAsia" w:ascii="宋体" w:hAnsi="宋体" w:eastAsia="宋体" w:cs="宋体"/>
          <w:b/>
          <w:bCs/>
          <w:color w:val="auto"/>
          <w:sz w:val="24"/>
          <w:szCs w:val="24"/>
        </w:rPr>
      </w:pPr>
      <w:bookmarkStart w:id="5" w:name="_Toc223404488"/>
      <w:r>
        <w:rPr>
          <w:rFonts w:hint="eastAsia" w:ascii="宋体" w:hAnsi="宋体" w:eastAsia="宋体" w:cs="宋体"/>
          <w:b/>
          <w:bCs/>
          <w:color w:val="auto"/>
          <w:sz w:val="24"/>
          <w:szCs w:val="24"/>
        </w:rPr>
        <w:t>十二、补充协议</w:t>
      </w:r>
      <w:bookmarkEnd w:id="5"/>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合同未尽事宜，经双方协商可签订补充协议，所签订的补充协议与本合同具有同等的法律效力，补充协议的生效应符合本合同的有关规定。</w:t>
      </w:r>
    </w:p>
    <w:p>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十三、合同生效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合同双方签订后生效。</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本合同一式六份，甲、乙双方各执两份，采购代理机构、监管机构各一份。</w:t>
      </w:r>
    </w:p>
    <w:p>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十四、采购单位、采购单位地址、项目联系人及联系电话</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1、采购单位：府谷县墙头生态农业示范园区管理委员会</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2、采购单位地址：陕西省榆林市府谷县墙头</w:t>
      </w:r>
    </w:p>
    <w:p>
      <w:pPr>
        <w:adjustRightInd w:val="0"/>
        <w:snapToGrid w:val="0"/>
        <w:spacing w:line="36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rPr>
        <w:t>3、项目联系人：</w:t>
      </w:r>
      <w:r>
        <w:rPr>
          <w:rFonts w:hint="eastAsia" w:ascii="宋体" w:hAnsi="宋体" w:eastAsia="宋体" w:cs="宋体"/>
          <w:color w:val="auto"/>
          <w:sz w:val="24"/>
          <w:szCs w:val="24"/>
          <w:lang w:val="en-US" w:eastAsia="zh-CN"/>
        </w:rPr>
        <w:t>马雯慧</w:t>
      </w:r>
      <w:r>
        <w:rPr>
          <w:rFonts w:hint="eastAsia" w:ascii="宋体" w:hAnsi="宋体" w:eastAsia="宋体" w:cs="宋体"/>
          <w:color w:val="auto"/>
          <w:sz w:val="24"/>
          <w:szCs w:val="24"/>
        </w:rPr>
        <w:t xml:space="preserve">  联系电话：</w:t>
      </w:r>
      <w:r>
        <w:rPr>
          <w:rFonts w:hint="eastAsia" w:cs="宋体"/>
          <w:color w:val="auto"/>
          <w:sz w:val="24"/>
          <w:szCs w:val="24"/>
          <w:lang w:eastAsia="zh-CN"/>
        </w:rPr>
        <w:t>0912-8854001</w:t>
      </w:r>
    </w:p>
    <w:p>
      <w:pPr>
        <w:pStyle w:val="12"/>
        <w:spacing w:line="360" w:lineRule="auto"/>
        <w:ind w:firstLine="56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2"/>
        <w:spacing w:line="360" w:lineRule="auto"/>
        <w:ind w:firstLine="56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府谷县墙头生态农业示范园区管理委员会</w:t>
      </w:r>
    </w:p>
    <w:p>
      <w:pPr>
        <w:tabs>
          <w:tab w:val="left" w:pos="756"/>
        </w:tabs>
        <w:spacing w:line="360" w:lineRule="auto"/>
        <w:ind w:firstLine="4800" w:firstLineChars="2000"/>
        <w:textAlignment w:val="baseline"/>
        <w:rPr>
          <w:rFonts w:hint="eastAsia" w:ascii="宋体" w:hAnsi="宋体" w:eastAsia="宋体" w:cs="宋体"/>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NGYxMzhhZjBjY2I2MTQxYTkyY2I0NzM1OGNjZGMifQ=="/>
  </w:docVars>
  <w:rsids>
    <w:rsidRoot w:val="6D293A61"/>
    <w:rsid w:val="00044250"/>
    <w:rsid w:val="001708EC"/>
    <w:rsid w:val="002474C2"/>
    <w:rsid w:val="003D3C9D"/>
    <w:rsid w:val="00491DC2"/>
    <w:rsid w:val="0049597F"/>
    <w:rsid w:val="00535E7A"/>
    <w:rsid w:val="005C16BB"/>
    <w:rsid w:val="00614D5A"/>
    <w:rsid w:val="006E5FA5"/>
    <w:rsid w:val="00951C41"/>
    <w:rsid w:val="00B564C0"/>
    <w:rsid w:val="00CA6038"/>
    <w:rsid w:val="00D30162"/>
    <w:rsid w:val="00E9482E"/>
    <w:rsid w:val="03EE5241"/>
    <w:rsid w:val="04293179"/>
    <w:rsid w:val="07E4622F"/>
    <w:rsid w:val="09295224"/>
    <w:rsid w:val="09612E99"/>
    <w:rsid w:val="0A424F95"/>
    <w:rsid w:val="0C0A1AE2"/>
    <w:rsid w:val="0E744C7A"/>
    <w:rsid w:val="10090303"/>
    <w:rsid w:val="109E0A4B"/>
    <w:rsid w:val="10FD17F7"/>
    <w:rsid w:val="13BD568C"/>
    <w:rsid w:val="13D12724"/>
    <w:rsid w:val="13DF75E9"/>
    <w:rsid w:val="158D69BB"/>
    <w:rsid w:val="160C2CF4"/>
    <w:rsid w:val="16AB5C70"/>
    <w:rsid w:val="1E560BB7"/>
    <w:rsid w:val="203171E6"/>
    <w:rsid w:val="22056B7C"/>
    <w:rsid w:val="22B031F9"/>
    <w:rsid w:val="22C850E1"/>
    <w:rsid w:val="2558233C"/>
    <w:rsid w:val="255A71DF"/>
    <w:rsid w:val="26B57A9E"/>
    <w:rsid w:val="297C2A17"/>
    <w:rsid w:val="2C884632"/>
    <w:rsid w:val="2CDD4252"/>
    <w:rsid w:val="2F86523C"/>
    <w:rsid w:val="30C714A1"/>
    <w:rsid w:val="31322DBE"/>
    <w:rsid w:val="34371578"/>
    <w:rsid w:val="344B5129"/>
    <w:rsid w:val="346D1CC9"/>
    <w:rsid w:val="34784F8C"/>
    <w:rsid w:val="36783969"/>
    <w:rsid w:val="37925F81"/>
    <w:rsid w:val="38F82B3F"/>
    <w:rsid w:val="39225214"/>
    <w:rsid w:val="397C6B69"/>
    <w:rsid w:val="3C237ED3"/>
    <w:rsid w:val="3C897F0F"/>
    <w:rsid w:val="3CA268F2"/>
    <w:rsid w:val="40730CFD"/>
    <w:rsid w:val="40C1415E"/>
    <w:rsid w:val="42934031"/>
    <w:rsid w:val="42B3237E"/>
    <w:rsid w:val="43116E5A"/>
    <w:rsid w:val="44B518E4"/>
    <w:rsid w:val="44E81CBA"/>
    <w:rsid w:val="462E2E31"/>
    <w:rsid w:val="4AB04C2D"/>
    <w:rsid w:val="4AE271AB"/>
    <w:rsid w:val="4C5C16B2"/>
    <w:rsid w:val="4EBD5F65"/>
    <w:rsid w:val="4F813436"/>
    <w:rsid w:val="4FFA6D45"/>
    <w:rsid w:val="537917F9"/>
    <w:rsid w:val="55915DF5"/>
    <w:rsid w:val="559D264C"/>
    <w:rsid w:val="57BD148D"/>
    <w:rsid w:val="58D740C7"/>
    <w:rsid w:val="5BEF1728"/>
    <w:rsid w:val="62165C60"/>
    <w:rsid w:val="621B3277"/>
    <w:rsid w:val="626C6B9B"/>
    <w:rsid w:val="65BF536D"/>
    <w:rsid w:val="65E36E4C"/>
    <w:rsid w:val="66391F1D"/>
    <w:rsid w:val="66A23715"/>
    <w:rsid w:val="67C24194"/>
    <w:rsid w:val="68387B77"/>
    <w:rsid w:val="6C296590"/>
    <w:rsid w:val="6C392EBF"/>
    <w:rsid w:val="6C8B0FF9"/>
    <w:rsid w:val="6C9C3206"/>
    <w:rsid w:val="6D293A61"/>
    <w:rsid w:val="6E376DE5"/>
    <w:rsid w:val="70FB3DDA"/>
    <w:rsid w:val="713734FD"/>
    <w:rsid w:val="721C34F3"/>
    <w:rsid w:val="72FF629D"/>
    <w:rsid w:val="744F44F5"/>
    <w:rsid w:val="7A41363F"/>
    <w:rsid w:val="7B74729B"/>
    <w:rsid w:val="7B783090"/>
    <w:rsid w:val="7BE129E3"/>
    <w:rsid w:val="7DF957C5"/>
    <w:rsid w:val="7E7713DD"/>
    <w:rsid w:val="7F1629A4"/>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keepNext/>
      <w:keepLines/>
      <w:spacing w:line="576" w:lineRule="auto"/>
      <w:outlineLvl w:val="0"/>
    </w:pPr>
    <w:rPr>
      <w:kern w:val="44"/>
      <w:sz w:val="44"/>
      <w:szCs w:val="44"/>
    </w:rPr>
  </w:style>
  <w:style w:type="paragraph" w:styleId="3">
    <w:name w:val="heading 2"/>
    <w:basedOn w:val="1"/>
    <w:next w:val="1"/>
    <w:autoRedefine/>
    <w:unhideWhenUsed/>
    <w:qFormat/>
    <w:uiPriority w:val="0"/>
    <w:pPr>
      <w:keepNext/>
      <w:keepLines/>
      <w:spacing w:line="560" w:lineRule="exact"/>
      <w:ind w:firstLine="880" w:firstLineChars="200"/>
      <w:outlineLvl w:val="1"/>
    </w:pPr>
    <w:rPr>
      <w:rFonts w:ascii="Arial" w:hAnsi="Arial" w:eastAsia="楷体"/>
      <w:sz w:val="32"/>
      <w:szCs w:val="2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afterLines="0"/>
    </w:pPr>
  </w:style>
  <w:style w:type="paragraph" w:styleId="5">
    <w:name w:val="Body Text Indent"/>
    <w:basedOn w:val="1"/>
    <w:next w:val="6"/>
    <w:autoRedefine/>
    <w:qFormat/>
    <w:uiPriority w:val="0"/>
    <w:pPr>
      <w:spacing w:line="600" w:lineRule="exact"/>
      <w:ind w:firstLine="560" w:firstLineChars="200"/>
    </w:pPr>
    <w:rPr>
      <w:sz w:val="28"/>
      <w:szCs w:val="20"/>
    </w:rPr>
  </w:style>
  <w:style w:type="paragraph" w:styleId="6">
    <w:name w:val="Body Text First Indent 2"/>
    <w:basedOn w:val="5"/>
    <w:next w:val="7"/>
    <w:autoRedefine/>
    <w:qFormat/>
    <w:uiPriority w:val="0"/>
    <w:pPr>
      <w:ind w:firstLine="420" w:firstLineChars="200"/>
    </w:pPr>
  </w:style>
  <w:style w:type="paragraph" w:styleId="7">
    <w:name w:val="Body Text First Indent"/>
    <w:basedOn w:val="4"/>
    <w:next w:val="6"/>
    <w:autoRedefine/>
    <w:unhideWhenUsed/>
    <w:qFormat/>
    <w:uiPriority w:val="99"/>
    <w:pPr>
      <w:spacing w:line="240" w:lineRule="auto"/>
      <w:ind w:firstLine="420" w:firstLineChars="100"/>
    </w:pPr>
    <w:rPr>
      <w:sz w:val="18"/>
      <w:szCs w:val="18"/>
    </w:rPr>
  </w:style>
  <w:style w:type="paragraph" w:styleId="8">
    <w:name w:val="footer"/>
    <w:basedOn w:val="1"/>
    <w:link w:val="14"/>
    <w:autoRedefine/>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9">
    <w:name w:val="header"/>
    <w:basedOn w:val="1"/>
    <w:link w:val="13"/>
    <w:autoRedefine/>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customStyle="1" w:styleId="12">
    <w:name w:val="正文缩进1"/>
    <w:basedOn w:val="1"/>
    <w:next w:val="1"/>
    <w:autoRedefine/>
    <w:qFormat/>
    <w:uiPriority w:val="0"/>
    <w:pPr>
      <w:widowControl w:val="0"/>
      <w:ind w:firstLine="420" w:firstLineChars="200"/>
      <w:jc w:val="both"/>
    </w:pPr>
    <w:rPr>
      <w:rFonts w:asciiTheme="minorHAnsi" w:hAnsiTheme="minorHAnsi" w:eastAsiaTheme="minorEastAsia" w:cstheme="minorBidi"/>
      <w:kern w:val="2"/>
      <w:sz w:val="21"/>
    </w:rPr>
  </w:style>
  <w:style w:type="character" w:customStyle="1" w:styleId="13">
    <w:name w:val="页眉 字符"/>
    <w:basedOn w:val="11"/>
    <w:link w:val="9"/>
    <w:autoRedefine/>
    <w:qFormat/>
    <w:uiPriority w:val="0"/>
    <w:rPr>
      <w:rFonts w:asciiTheme="minorHAnsi" w:hAnsiTheme="minorHAnsi" w:eastAsiaTheme="minorEastAsia" w:cstheme="minorBidi"/>
      <w:kern w:val="2"/>
      <w:sz w:val="18"/>
      <w:szCs w:val="18"/>
    </w:rPr>
  </w:style>
  <w:style w:type="character" w:customStyle="1" w:styleId="14">
    <w:name w:val="页脚 字符"/>
    <w:basedOn w:val="11"/>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2359</Words>
  <Characters>2426</Characters>
  <Lines>19</Lines>
  <Paragraphs>5</Paragraphs>
  <TotalTime>0</TotalTime>
  <ScaleCrop>false</ScaleCrop>
  <LinksUpToDate>false</LinksUpToDate>
  <CharactersWithSpaces>2646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一缕阳光</cp:lastModifiedBy>
  <dcterms:modified xsi:type="dcterms:W3CDTF">2024-04-28T07:12:35Z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E0785C7BDEDE4C6ABC496C1408B30E63_13</vt:lpwstr>
  </property>
</Properties>
</file>