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703F3">
      <w:pPr>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rPr>
        <w:t>采购编号：</w:t>
      </w:r>
      <w:r>
        <w:rPr>
          <w:rFonts w:hint="eastAsia" w:asciiTheme="majorEastAsia" w:hAnsiTheme="majorEastAsia" w:eastAsiaTheme="majorEastAsia" w:cstheme="majorEastAsia"/>
          <w:b/>
          <w:bCs/>
          <w:sz w:val="28"/>
          <w:szCs w:val="28"/>
          <w:lang w:eastAsia="zh-CN"/>
        </w:rPr>
        <w:t>HXCX2024039</w:t>
      </w:r>
    </w:p>
    <w:p w14:paraId="592803D2">
      <w:pPr>
        <w:spacing w:line="360" w:lineRule="auto"/>
        <w:ind w:firstLine="643" w:firstLineChars="200"/>
        <w:rPr>
          <w:rFonts w:asciiTheme="majorEastAsia" w:hAnsiTheme="majorEastAsia" w:eastAsiaTheme="majorEastAsia" w:cstheme="majorEastAsia"/>
          <w:b/>
          <w:bCs/>
          <w:sz w:val="32"/>
          <w:szCs w:val="32"/>
        </w:rPr>
      </w:pPr>
    </w:p>
    <w:p w14:paraId="52351EA9">
      <w:pPr>
        <w:spacing w:line="360" w:lineRule="auto"/>
        <w:ind w:firstLine="723" w:firstLineChars="200"/>
        <w:rPr>
          <w:rFonts w:asciiTheme="majorEastAsia" w:hAnsiTheme="majorEastAsia" w:eastAsiaTheme="majorEastAsia" w:cstheme="majorEastAsia"/>
          <w:b/>
          <w:bCs/>
          <w:sz w:val="36"/>
          <w:szCs w:val="36"/>
        </w:rPr>
      </w:pPr>
    </w:p>
    <w:p w14:paraId="4640E9B0">
      <w:pPr>
        <w:spacing w:line="20" w:lineRule="atLeast"/>
        <w:jc w:val="center"/>
        <w:rPr>
          <w:rFonts w:hint="eastAsia" w:asciiTheme="majorEastAsia" w:hAnsiTheme="majorEastAsia" w:eastAsiaTheme="majorEastAsia" w:cstheme="majorEastAsia"/>
          <w:b/>
          <w:bCs/>
          <w:sz w:val="36"/>
          <w:szCs w:val="36"/>
          <w:lang w:eastAsia="zh-CN"/>
        </w:rPr>
      </w:pPr>
      <w:r>
        <w:rPr>
          <w:rFonts w:hint="eastAsia" w:asciiTheme="majorEastAsia" w:hAnsiTheme="majorEastAsia" w:eastAsiaTheme="majorEastAsia" w:cstheme="majorEastAsia"/>
          <w:b/>
          <w:bCs/>
          <w:sz w:val="36"/>
          <w:szCs w:val="36"/>
          <w:lang w:eastAsia="zh-CN"/>
        </w:rPr>
        <w:t>清涧县清涧中学校园监控及防欺凌设备采购项目</w:t>
      </w:r>
    </w:p>
    <w:p w14:paraId="5C0D5052">
      <w:pPr>
        <w:spacing w:line="360" w:lineRule="auto"/>
        <w:jc w:val="center"/>
        <w:outlineLvl w:val="0"/>
        <w:rPr>
          <w:rFonts w:asciiTheme="majorEastAsia" w:hAnsiTheme="majorEastAsia" w:eastAsiaTheme="majorEastAsia" w:cstheme="majorEastAsia"/>
          <w:b/>
          <w:bCs/>
          <w:sz w:val="44"/>
          <w:szCs w:val="44"/>
        </w:rPr>
      </w:pPr>
    </w:p>
    <w:p w14:paraId="76C84F8B">
      <w:pPr>
        <w:jc w:val="center"/>
        <w:rPr>
          <w:rFonts w:asciiTheme="majorEastAsia" w:hAnsiTheme="majorEastAsia" w:eastAsiaTheme="majorEastAsia" w:cstheme="majorEastAsia"/>
          <w:b/>
          <w:bCs/>
          <w:sz w:val="72"/>
          <w:szCs w:val="72"/>
        </w:rPr>
      </w:pPr>
    </w:p>
    <w:p w14:paraId="234BEFB1">
      <w:pPr>
        <w:pStyle w:val="24"/>
        <w:ind w:firstLine="540"/>
        <w:rPr>
          <w:rFonts w:asciiTheme="majorEastAsia" w:hAnsiTheme="majorEastAsia" w:eastAsiaTheme="majorEastAsia" w:cstheme="majorEastAsia"/>
        </w:rPr>
      </w:pPr>
    </w:p>
    <w:p w14:paraId="48D7B511">
      <w:pPr>
        <w:pStyle w:val="10"/>
        <w:rPr>
          <w:rFonts w:asciiTheme="majorEastAsia" w:hAnsiTheme="majorEastAsia" w:eastAsiaTheme="majorEastAsia" w:cstheme="majorEastAsia"/>
        </w:rPr>
      </w:pPr>
    </w:p>
    <w:p w14:paraId="5743DC62">
      <w:pPr>
        <w:jc w:val="center"/>
        <w:rPr>
          <w:rFonts w:asciiTheme="majorEastAsia" w:hAnsiTheme="majorEastAsia" w:eastAsiaTheme="majorEastAsia" w:cstheme="majorEastAsia"/>
          <w:b/>
          <w:bCs/>
          <w:sz w:val="84"/>
          <w:szCs w:val="84"/>
        </w:rPr>
      </w:pPr>
      <w:r>
        <w:rPr>
          <w:rFonts w:hint="eastAsia" w:asciiTheme="majorEastAsia" w:hAnsiTheme="majorEastAsia" w:eastAsiaTheme="majorEastAsia" w:cstheme="majorEastAsia"/>
          <w:b/>
          <w:bCs/>
          <w:sz w:val="84"/>
          <w:szCs w:val="84"/>
        </w:rPr>
        <w:t>招  标  文  件</w:t>
      </w:r>
    </w:p>
    <w:p w14:paraId="266C9B05">
      <w:pPr>
        <w:rPr>
          <w:rFonts w:asciiTheme="majorEastAsia" w:hAnsiTheme="majorEastAsia" w:eastAsiaTheme="majorEastAsia" w:cstheme="majorEastAsia"/>
        </w:rPr>
      </w:pPr>
    </w:p>
    <w:p w14:paraId="471D1CD5">
      <w:pPr>
        <w:rPr>
          <w:rFonts w:asciiTheme="majorEastAsia" w:hAnsiTheme="majorEastAsia" w:eastAsiaTheme="majorEastAsia" w:cstheme="majorEastAsia"/>
        </w:rPr>
      </w:pPr>
    </w:p>
    <w:p w14:paraId="6C7815BA">
      <w:pPr>
        <w:jc w:val="center"/>
        <w:rPr>
          <w:rFonts w:asciiTheme="majorEastAsia" w:hAnsiTheme="majorEastAsia" w:eastAsiaTheme="majorEastAsia" w:cstheme="majorEastAsia"/>
          <w:szCs w:val="21"/>
        </w:rPr>
      </w:pPr>
    </w:p>
    <w:p w14:paraId="3CC7D0D4">
      <w:pPr>
        <w:pStyle w:val="10"/>
        <w:rPr>
          <w:rFonts w:asciiTheme="majorEastAsia" w:hAnsiTheme="majorEastAsia" w:eastAsiaTheme="majorEastAsia" w:cstheme="majorEastAsia"/>
          <w:szCs w:val="21"/>
        </w:rPr>
      </w:pPr>
    </w:p>
    <w:p w14:paraId="2D3508A9">
      <w:pPr>
        <w:rPr>
          <w:rFonts w:asciiTheme="majorEastAsia" w:hAnsiTheme="majorEastAsia" w:eastAsiaTheme="majorEastAsia" w:cstheme="majorEastAsia"/>
        </w:rPr>
      </w:pPr>
    </w:p>
    <w:p w14:paraId="2AA59CE0">
      <w:pPr>
        <w:pStyle w:val="24"/>
        <w:ind w:firstLine="540"/>
        <w:rPr>
          <w:rFonts w:asciiTheme="majorEastAsia" w:hAnsiTheme="majorEastAsia" w:eastAsiaTheme="majorEastAsia" w:cstheme="majorEastAsia"/>
        </w:rPr>
      </w:pPr>
    </w:p>
    <w:p w14:paraId="3A204841">
      <w:pPr>
        <w:pStyle w:val="17"/>
        <w:rPr>
          <w:rFonts w:asciiTheme="majorEastAsia" w:hAnsiTheme="majorEastAsia" w:eastAsiaTheme="majorEastAsia" w:cstheme="majorEastAsia"/>
          <w:b/>
          <w:bCs/>
          <w:sz w:val="30"/>
          <w:szCs w:val="30"/>
        </w:rPr>
      </w:pPr>
    </w:p>
    <w:p w14:paraId="57E5787B">
      <w:pPr>
        <w:pStyle w:val="17"/>
        <w:rPr>
          <w:rFonts w:asciiTheme="majorEastAsia" w:hAnsiTheme="majorEastAsia" w:eastAsiaTheme="majorEastAsia" w:cstheme="majorEastAsia"/>
        </w:rPr>
      </w:pPr>
    </w:p>
    <w:p w14:paraId="30E0D663">
      <w:pPr>
        <w:spacing w:line="360" w:lineRule="auto"/>
        <w:ind w:firstLine="643" w:firstLineChars="200"/>
        <w:rPr>
          <w:rFonts w:hint="eastAsia" w:asciiTheme="majorEastAsia" w:hAnsiTheme="majorEastAsia" w:eastAsiaTheme="majorEastAsia" w:cstheme="majorEastAsia"/>
          <w:b/>
          <w:bCs/>
          <w:sz w:val="32"/>
          <w:szCs w:val="32"/>
          <w:lang w:eastAsia="zh-CN"/>
        </w:rPr>
      </w:pPr>
      <w:r>
        <w:rPr>
          <w:rFonts w:hint="eastAsia" w:asciiTheme="majorEastAsia" w:hAnsiTheme="majorEastAsia" w:eastAsiaTheme="majorEastAsia" w:cstheme="majorEastAsia"/>
          <w:b/>
          <w:bCs/>
          <w:sz w:val="32"/>
          <w:szCs w:val="32"/>
        </w:rPr>
        <w:t>采购单位：</w:t>
      </w:r>
      <w:r>
        <w:rPr>
          <w:rFonts w:hint="eastAsia" w:asciiTheme="majorEastAsia" w:hAnsiTheme="majorEastAsia" w:eastAsiaTheme="majorEastAsia" w:cstheme="majorEastAsia"/>
          <w:b/>
          <w:bCs/>
          <w:sz w:val="32"/>
          <w:szCs w:val="32"/>
          <w:lang w:eastAsia="zh-CN"/>
        </w:rPr>
        <w:t>清涧县清涧中学</w:t>
      </w:r>
    </w:p>
    <w:p w14:paraId="157ADBEC">
      <w:pPr>
        <w:spacing w:line="360" w:lineRule="auto"/>
        <w:ind w:firstLine="643" w:firstLineChars="200"/>
        <w:rPr>
          <w:rFonts w:asciiTheme="majorEastAsia" w:hAnsiTheme="majorEastAsia" w:eastAsiaTheme="majorEastAsia" w:cstheme="majorEastAsia"/>
          <w:b/>
          <w:bCs/>
          <w:sz w:val="32"/>
          <w:szCs w:val="32"/>
        </w:rPr>
      </w:pPr>
    </w:p>
    <w:p w14:paraId="59D84FED">
      <w:pPr>
        <w:spacing w:line="360" w:lineRule="auto"/>
        <w:ind w:firstLine="643" w:firstLineChars="200"/>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代理机构：陕西华旭晟信项目管理有限责任公司</w:t>
      </w:r>
    </w:p>
    <w:p w14:paraId="66966212">
      <w:pPr>
        <w:spacing w:line="360" w:lineRule="auto"/>
        <w:ind w:firstLine="643" w:firstLineChars="200"/>
        <w:rPr>
          <w:rFonts w:asciiTheme="majorEastAsia" w:hAnsiTheme="majorEastAsia" w:eastAsiaTheme="majorEastAsia" w:cstheme="majorEastAsia"/>
          <w:b/>
          <w:bCs/>
          <w:sz w:val="32"/>
          <w:szCs w:val="32"/>
        </w:rPr>
      </w:pPr>
    </w:p>
    <w:p w14:paraId="213E1A31">
      <w:pPr>
        <w:spacing w:line="360" w:lineRule="auto"/>
        <w:ind w:firstLine="643" w:firstLineChars="200"/>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日    期：二零二四年</w:t>
      </w:r>
      <w:r>
        <w:rPr>
          <w:rFonts w:hint="eastAsia" w:asciiTheme="majorEastAsia" w:hAnsiTheme="majorEastAsia" w:eastAsiaTheme="majorEastAsia" w:cstheme="majorEastAsia"/>
          <w:b/>
          <w:bCs/>
          <w:sz w:val="32"/>
          <w:szCs w:val="32"/>
          <w:lang w:val="en-US" w:eastAsia="zh-CN"/>
        </w:rPr>
        <w:t>十二</w:t>
      </w:r>
      <w:r>
        <w:rPr>
          <w:rFonts w:hint="eastAsia" w:asciiTheme="majorEastAsia" w:hAnsiTheme="majorEastAsia" w:eastAsiaTheme="majorEastAsia" w:cstheme="majorEastAsia"/>
          <w:b/>
          <w:bCs/>
          <w:sz w:val="32"/>
          <w:szCs w:val="32"/>
        </w:rPr>
        <w:t xml:space="preserve">月          </w:t>
      </w:r>
    </w:p>
    <w:p w14:paraId="0DD8870E">
      <w:pPr>
        <w:jc w:val="center"/>
        <w:rPr>
          <w:rFonts w:asciiTheme="majorEastAsia" w:hAnsiTheme="majorEastAsia" w:eastAsiaTheme="majorEastAsia" w:cstheme="majorEastAsia"/>
          <w:b/>
          <w:sz w:val="32"/>
          <w:szCs w:val="32"/>
        </w:rPr>
      </w:pPr>
    </w:p>
    <w:p w14:paraId="46601224">
      <w:pPr>
        <w:snapToGrid w:val="0"/>
        <w:jc w:val="center"/>
        <w:rPr>
          <w:rFonts w:asciiTheme="majorEastAsia" w:hAnsiTheme="majorEastAsia" w:eastAsiaTheme="majorEastAsia" w:cstheme="majorEastAsia"/>
          <w:b/>
          <w:sz w:val="48"/>
          <w:szCs w:val="48"/>
        </w:rPr>
        <w:sectPr>
          <w:headerReference r:id="rId3" w:type="default"/>
          <w:pgSz w:w="11906" w:h="16838"/>
          <w:pgMar w:top="1440" w:right="1449" w:bottom="1440" w:left="1417" w:header="851" w:footer="992" w:gutter="0"/>
          <w:cols w:space="720" w:num="1"/>
          <w:docGrid w:type="lines" w:linePitch="312" w:charSpace="0"/>
        </w:sectPr>
      </w:pPr>
    </w:p>
    <w:p w14:paraId="300A55A6">
      <w:pPr>
        <w:snapToGrid w:val="0"/>
        <w:jc w:val="center"/>
        <w:rPr>
          <w:rFonts w:asciiTheme="majorEastAsia" w:hAnsiTheme="majorEastAsia" w:eastAsiaTheme="majorEastAsia" w:cstheme="majorEastAsia"/>
          <w:b/>
          <w:sz w:val="48"/>
          <w:szCs w:val="48"/>
        </w:rPr>
      </w:pPr>
      <w:r>
        <w:rPr>
          <w:rFonts w:hint="eastAsia" w:asciiTheme="majorEastAsia" w:hAnsiTheme="majorEastAsia" w:eastAsiaTheme="majorEastAsia" w:cstheme="majorEastAsia"/>
          <w:b/>
          <w:sz w:val="48"/>
          <w:szCs w:val="48"/>
        </w:rPr>
        <w:t>目  录</w:t>
      </w:r>
    </w:p>
    <w:p w14:paraId="3622B9F9">
      <w:pPr>
        <w:snapToGrid w:val="0"/>
        <w:spacing w:line="360" w:lineRule="auto"/>
        <w:jc w:val="center"/>
        <w:rPr>
          <w:rFonts w:asciiTheme="majorEastAsia" w:hAnsiTheme="majorEastAsia" w:eastAsiaTheme="majorEastAsia" w:cstheme="majorEastAsia"/>
          <w:b/>
          <w:sz w:val="50"/>
        </w:rPr>
      </w:pPr>
    </w:p>
    <w:sdt>
      <w:sdtPr>
        <w:rPr>
          <w:rFonts w:hint="eastAsia" w:asciiTheme="majorEastAsia" w:hAnsiTheme="majorEastAsia" w:eastAsiaTheme="majorEastAsia" w:cstheme="majorEastAsia"/>
        </w:rPr>
        <w:id w:val="147473016"/>
        <w:docPartObj>
          <w:docPartGallery w:val="Table of Contents"/>
          <w:docPartUnique/>
        </w:docPartObj>
      </w:sdtPr>
      <w:sdtEndPr>
        <w:rPr>
          <w:rFonts w:hint="eastAsia" w:asciiTheme="majorEastAsia" w:hAnsiTheme="majorEastAsia" w:eastAsiaTheme="majorEastAsia" w:cstheme="majorEastAsia"/>
          <w:szCs w:val="32"/>
        </w:rPr>
      </w:sdtEndPr>
      <w:sdtContent>
        <w:p w14:paraId="4B4801DD">
          <w:pPr>
            <w:jc w:val="center"/>
            <w:rPr>
              <w:rFonts w:asciiTheme="majorEastAsia" w:hAnsiTheme="majorEastAsia" w:eastAsiaTheme="majorEastAsia" w:cstheme="majorEastAsia"/>
            </w:rPr>
          </w:pPr>
          <w:bookmarkStart w:id="0" w:name="_Toc498326351"/>
          <w:bookmarkStart w:id="1" w:name="_Toc167591130"/>
          <w:bookmarkStart w:id="2" w:name="_Toc169838518"/>
          <w:bookmarkStart w:id="3" w:name="_Toc167591029"/>
          <w:bookmarkStart w:id="4" w:name="_Toc173549964"/>
          <w:bookmarkStart w:id="5" w:name="_Toc154482465"/>
          <w:bookmarkStart w:id="6" w:name="_Toc167849346"/>
          <w:bookmarkStart w:id="7" w:name="_Toc207897902"/>
          <w:bookmarkStart w:id="8" w:name="_Toc167591478"/>
          <w:bookmarkStart w:id="9" w:name="_Toc244623577"/>
          <w:bookmarkStart w:id="10" w:name="_Toc167590761"/>
          <w:bookmarkStart w:id="11" w:name="_Toc170980538"/>
          <w:bookmarkStart w:id="12" w:name="_Toc245176651"/>
          <w:bookmarkStart w:id="13" w:name="_Toc175032423"/>
          <w:bookmarkStart w:id="14" w:name="_Toc245658520"/>
          <w:bookmarkStart w:id="15" w:name="_Toc245657539"/>
          <w:bookmarkStart w:id="16" w:name="_Toc175033578"/>
          <w:bookmarkStart w:id="17" w:name="_Toc208337150"/>
          <w:bookmarkStart w:id="18" w:name="_Toc169846859"/>
          <w:bookmarkStart w:id="19" w:name="_Toc169846762"/>
          <w:bookmarkStart w:id="20" w:name="_Toc167591316"/>
          <w:bookmarkStart w:id="21" w:name="_Toc170980440"/>
          <w:bookmarkStart w:id="22" w:name="_Toc201650492"/>
          <w:bookmarkStart w:id="23" w:name="_Toc260242592"/>
        </w:p>
        <w:p w14:paraId="2A6058F9">
          <w:pPr>
            <w:pStyle w:val="20"/>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sz w:val="24"/>
              <w:szCs w:val="24"/>
            </w:rPr>
          </w:pPr>
          <w:r>
            <w:rPr>
              <w:rFonts w:hint="eastAsia" w:asciiTheme="majorEastAsia" w:hAnsiTheme="majorEastAsia" w:eastAsiaTheme="majorEastAsia" w:cstheme="majorEastAsia"/>
              <w:b/>
              <w:sz w:val="24"/>
            </w:rPr>
            <w:fldChar w:fldCharType="begin"/>
          </w:r>
          <w:r>
            <w:rPr>
              <w:rFonts w:hint="eastAsia" w:asciiTheme="majorEastAsia" w:hAnsiTheme="majorEastAsia" w:eastAsiaTheme="majorEastAsia" w:cstheme="majorEastAsia"/>
              <w:b/>
              <w:sz w:val="24"/>
            </w:rPr>
            <w:instrText xml:space="preserve">TOC \o "1-1" \h \u </w:instrText>
          </w:r>
          <w:r>
            <w:rPr>
              <w:rFonts w:hint="eastAsia" w:asciiTheme="majorEastAsia" w:hAnsiTheme="majorEastAsia" w:eastAsiaTheme="majorEastAsia" w:cstheme="majorEastAsia"/>
              <w:b/>
              <w:sz w:val="24"/>
            </w:rPr>
            <w:fldChar w:fldCharType="separate"/>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_Toc31076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第一章  招标公告</w:t>
          </w:r>
          <w:r>
            <w:rPr>
              <w:sz w:val="24"/>
              <w:szCs w:val="24"/>
            </w:rPr>
            <w:tab/>
          </w:r>
          <w:r>
            <w:rPr>
              <w:sz w:val="24"/>
              <w:szCs w:val="24"/>
            </w:rPr>
            <w:fldChar w:fldCharType="begin"/>
          </w:r>
          <w:r>
            <w:rPr>
              <w:sz w:val="24"/>
              <w:szCs w:val="24"/>
            </w:rPr>
            <w:instrText xml:space="preserve"> PAGEREF _Toc31076 \h </w:instrText>
          </w:r>
          <w:r>
            <w:rPr>
              <w:sz w:val="24"/>
              <w:szCs w:val="24"/>
            </w:rPr>
            <w:fldChar w:fldCharType="separate"/>
          </w:r>
          <w:r>
            <w:rPr>
              <w:sz w:val="24"/>
              <w:szCs w:val="24"/>
            </w:rPr>
            <w:t>3</w:t>
          </w:r>
          <w:r>
            <w:rPr>
              <w:sz w:val="24"/>
              <w:szCs w:val="24"/>
            </w:rPr>
            <w:fldChar w:fldCharType="end"/>
          </w:r>
          <w:r>
            <w:rPr>
              <w:rFonts w:hint="eastAsia" w:asciiTheme="majorEastAsia" w:hAnsiTheme="majorEastAsia" w:eastAsiaTheme="majorEastAsia" w:cstheme="majorEastAsia"/>
              <w:sz w:val="24"/>
              <w:szCs w:val="24"/>
            </w:rPr>
            <w:fldChar w:fldCharType="end"/>
          </w:r>
        </w:p>
        <w:p w14:paraId="59833076">
          <w:pPr>
            <w:pStyle w:val="20"/>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_Toc32217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sz w:val="24"/>
              <w:szCs w:val="24"/>
            </w:rPr>
            <w:t xml:space="preserve">第二章 </w:t>
          </w:r>
          <w:r>
            <w:rPr>
              <w:rFonts w:hint="eastAsia" w:asciiTheme="majorEastAsia" w:hAnsiTheme="majorEastAsia" w:eastAsiaTheme="majorEastAsia" w:cstheme="majorEastAsia"/>
              <w:bCs/>
              <w:sz w:val="24"/>
              <w:szCs w:val="24"/>
              <w:lang w:val="en-US" w:eastAsia="zh-CN"/>
            </w:rPr>
            <w:t xml:space="preserve"> </w:t>
          </w:r>
          <w:r>
            <w:rPr>
              <w:rFonts w:hint="eastAsia" w:asciiTheme="majorEastAsia" w:hAnsiTheme="majorEastAsia" w:eastAsiaTheme="majorEastAsia" w:cstheme="majorEastAsia"/>
              <w:bCs/>
              <w:sz w:val="24"/>
              <w:szCs w:val="24"/>
            </w:rPr>
            <w:t>投标须知前附表</w:t>
          </w:r>
          <w:r>
            <w:rPr>
              <w:sz w:val="24"/>
              <w:szCs w:val="24"/>
            </w:rPr>
            <w:tab/>
          </w:r>
          <w:r>
            <w:rPr>
              <w:sz w:val="24"/>
              <w:szCs w:val="24"/>
            </w:rPr>
            <w:fldChar w:fldCharType="begin"/>
          </w:r>
          <w:r>
            <w:rPr>
              <w:sz w:val="24"/>
              <w:szCs w:val="24"/>
            </w:rPr>
            <w:instrText xml:space="preserve"> PAGEREF _Toc32217 \h </w:instrText>
          </w:r>
          <w:r>
            <w:rPr>
              <w:sz w:val="24"/>
              <w:szCs w:val="24"/>
            </w:rPr>
            <w:fldChar w:fldCharType="separate"/>
          </w:r>
          <w:r>
            <w:rPr>
              <w:sz w:val="24"/>
              <w:szCs w:val="24"/>
            </w:rPr>
            <w:t>7</w:t>
          </w:r>
          <w:r>
            <w:rPr>
              <w:sz w:val="24"/>
              <w:szCs w:val="24"/>
            </w:rPr>
            <w:fldChar w:fldCharType="end"/>
          </w:r>
          <w:r>
            <w:rPr>
              <w:rFonts w:hint="eastAsia" w:asciiTheme="majorEastAsia" w:hAnsiTheme="majorEastAsia" w:eastAsiaTheme="majorEastAsia" w:cstheme="majorEastAsia"/>
              <w:sz w:val="24"/>
              <w:szCs w:val="24"/>
            </w:rPr>
            <w:fldChar w:fldCharType="end"/>
          </w:r>
        </w:p>
        <w:p w14:paraId="40A41CFB">
          <w:pPr>
            <w:pStyle w:val="20"/>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_Toc27150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第三章  投标须知</w:t>
          </w:r>
          <w:r>
            <w:rPr>
              <w:sz w:val="24"/>
              <w:szCs w:val="24"/>
            </w:rPr>
            <w:tab/>
          </w:r>
          <w:r>
            <w:rPr>
              <w:sz w:val="24"/>
              <w:szCs w:val="24"/>
            </w:rPr>
            <w:fldChar w:fldCharType="begin"/>
          </w:r>
          <w:r>
            <w:rPr>
              <w:sz w:val="24"/>
              <w:szCs w:val="24"/>
            </w:rPr>
            <w:instrText xml:space="preserve"> PAGEREF _Toc27150 \h </w:instrText>
          </w:r>
          <w:r>
            <w:rPr>
              <w:sz w:val="24"/>
              <w:szCs w:val="24"/>
            </w:rPr>
            <w:fldChar w:fldCharType="separate"/>
          </w:r>
          <w:r>
            <w:rPr>
              <w:sz w:val="24"/>
              <w:szCs w:val="24"/>
            </w:rPr>
            <w:t>14</w:t>
          </w:r>
          <w:r>
            <w:rPr>
              <w:sz w:val="24"/>
              <w:szCs w:val="24"/>
            </w:rPr>
            <w:fldChar w:fldCharType="end"/>
          </w:r>
          <w:r>
            <w:rPr>
              <w:rFonts w:hint="eastAsia" w:asciiTheme="majorEastAsia" w:hAnsiTheme="majorEastAsia" w:eastAsiaTheme="majorEastAsia" w:cstheme="majorEastAsia"/>
              <w:sz w:val="24"/>
              <w:szCs w:val="24"/>
            </w:rPr>
            <w:fldChar w:fldCharType="end"/>
          </w:r>
        </w:p>
        <w:p w14:paraId="29BE0D17">
          <w:pPr>
            <w:pStyle w:val="20"/>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_Toc6243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sz w:val="24"/>
              <w:szCs w:val="24"/>
            </w:rPr>
            <w:t xml:space="preserve">第四章  </w:t>
          </w:r>
          <w:r>
            <w:rPr>
              <w:rFonts w:hint="eastAsia" w:asciiTheme="majorEastAsia" w:hAnsiTheme="majorEastAsia" w:eastAsiaTheme="majorEastAsia" w:cstheme="majorEastAsia"/>
              <w:bCs/>
              <w:kern w:val="2"/>
              <w:sz w:val="24"/>
              <w:szCs w:val="24"/>
            </w:rPr>
            <w:t>采购内容及技术要求</w:t>
          </w:r>
          <w:r>
            <w:rPr>
              <w:sz w:val="24"/>
              <w:szCs w:val="24"/>
            </w:rPr>
            <w:tab/>
          </w:r>
          <w:r>
            <w:rPr>
              <w:sz w:val="24"/>
              <w:szCs w:val="24"/>
            </w:rPr>
            <w:fldChar w:fldCharType="begin"/>
          </w:r>
          <w:r>
            <w:rPr>
              <w:sz w:val="24"/>
              <w:szCs w:val="24"/>
            </w:rPr>
            <w:instrText xml:space="preserve"> PAGEREF _Toc6243 \h </w:instrText>
          </w:r>
          <w:r>
            <w:rPr>
              <w:sz w:val="24"/>
              <w:szCs w:val="24"/>
            </w:rPr>
            <w:fldChar w:fldCharType="separate"/>
          </w:r>
          <w:r>
            <w:rPr>
              <w:sz w:val="24"/>
              <w:szCs w:val="24"/>
            </w:rPr>
            <w:t>31</w:t>
          </w:r>
          <w:r>
            <w:rPr>
              <w:sz w:val="24"/>
              <w:szCs w:val="24"/>
            </w:rPr>
            <w:fldChar w:fldCharType="end"/>
          </w:r>
          <w:r>
            <w:rPr>
              <w:rFonts w:hint="eastAsia" w:asciiTheme="majorEastAsia" w:hAnsiTheme="majorEastAsia" w:eastAsiaTheme="majorEastAsia" w:cstheme="majorEastAsia"/>
              <w:sz w:val="24"/>
              <w:szCs w:val="24"/>
            </w:rPr>
            <w:fldChar w:fldCharType="end"/>
          </w:r>
        </w:p>
        <w:p w14:paraId="741F57B3">
          <w:pPr>
            <w:pStyle w:val="20"/>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_Toc21881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sz w:val="24"/>
              <w:szCs w:val="24"/>
            </w:rPr>
            <w:t xml:space="preserve">第五章  </w:t>
          </w:r>
          <w:r>
            <w:rPr>
              <w:rFonts w:hint="eastAsia" w:asciiTheme="majorEastAsia" w:hAnsiTheme="majorEastAsia" w:eastAsiaTheme="majorEastAsia" w:cstheme="majorEastAsia"/>
              <w:bCs/>
              <w:sz w:val="24"/>
              <w:szCs w:val="24"/>
              <w:lang w:val="zh-CN"/>
            </w:rPr>
            <w:t>商务条款</w:t>
          </w:r>
          <w:r>
            <w:rPr>
              <w:sz w:val="24"/>
              <w:szCs w:val="24"/>
            </w:rPr>
            <w:tab/>
          </w:r>
          <w:r>
            <w:rPr>
              <w:sz w:val="24"/>
              <w:szCs w:val="24"/>
            </w:rPr>
            <w:fldChar w:fldCharType="begin"/>
          </w:r>
          <w:r>
            <w:rPr>
              <w:sz w:val="24"/>
              <w:szCs w:val="24"/>
            </w:rPr>
            <w:instrText xml:space="preserve"> PAGEREF _Toc21881 \h </w:instrText>
          </w:r>
          <w:r>
            <w:rPr>
              <w:sz w:val="24"/>
              <w:szCs w:val="24"/>
            </w:rPr>
            <w:fldChar w:fldCharType="separate"/>
          </w:r>
          <w:r>
            <w:rPr>
              <w:sz w:val="24"/>
              <w:szCs w:val="24"/>
            </w:rPr>
            <w:t>31</w:t>
          </w:r>
          <w:r>
            <w:rPr>
              <w:sz w:val="24"/>
              <w:szCs w:val="24"/>
            </w:rPr>
            <w:fldChar w:fldCharType="end"/>
          </w:r>
          <w:r>
            <w:rPr>
              <w:rFonts w:hint="eastAsia" w:asciiTheme="majorEastAsia" w:hAnsiTheme="majorEastAsia" w:eastAsiaTheme="majorEastAsia" w:cstheme="majorEastAsia"/>
              <w:sz w:val="24"/>
              <w:szCs w:val="24"/>
            </w:rPr>
            <w:fldChar w:fldCharType="end"/>
          </w:r>
        </w:p>
        <w:p w14:paraId="38E68887">
          <w:pPr>
            <w:pStyle w:val="20"/>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_Toc8998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sz w:val="24"/>
              <w:szCs w:val="24"/>
            </w:rPr>
            <w:t>第六章</w:t>
          </w:r>
          <w:r>
            <w:rPr>
              <w:rFonts w:hint="eastAsia" w:asciiTheme="majorEastAsia" w:hAnsiTheme="majorEastAsia" w:eastAsiaTheme="majorEastAsia" w:cstheme="majorEastAsia"/>
              <w:bCs/>
              <w:sz w:val="24"/>
              <w:szCs w:val="24"/>
              <w:lang w:val="en-US" w:eastAsia="zh-CN"/>
            </w:rPr>
            <w:t xml:space="preserve">  </w:t>
          </w:r>
          <w:r>
            <w:rPr>
              <w:rFonts w:hint="eastAsia" w:asciiTheme="majorEastAsia" w:hAnsiTheme="majorEastAsia" w:eastAsiaTheme="majorEastAsia" w:cstheme="majorEastAsia"/>
              <w:bCs/>
              <w:sz w:val="24"/>
              <w:szCs w:val="24"/>
            </w:rPr>
            <w:t>合同条款</w:t>
          </w:r>
          <w:r>
            <w:rPr>
              <w:sz w:val="24"/>
              <w:szCs w:val="24"/>
            </w:rPr>
            <w:tab/>
          </w:r>
          <w:r>
            <w:rPr>
              <w:sz w:val="24"/>
              <w:szCs w:val="24"/>
            </w:rPr>
            <w:fldChar w:fldCharType="begin"/>
          </w:r>
          <w:r>
            <w:rPr>
              <w:sz w:val="24"/>
              <w:szCs w:val="24"/>
            </w:rPr>
            <w:instrText xml:space="preserve"> PAGEREF _Toc8998 \h </w:instrText>
          </w:r>
          <w:r>
            <w:rPr>
              <w:sz w:val="24"/>
              <w:szCs w:val="24"/>
            </w:rPr>
            <w:fldChar w:fldCharType="separate"/>
          </w:r>
          <w:r>
            <w:rPr>
              <w:sz w:val="24"/>
              <w:szCs w:val="24"/>
            </w:rPr>
            <w:t>42</w:t>
          </w:r>
          <w:r>
            <w:rPr>
              <w:sz w:val="24"/>
              <w:szCs w:val="24"/>
            </w:rPr>
            <w:fldChar w:fldCharType="end"/>
          </w:r>
          <w:r>
            <w:rPr>
              <w:rFonts w:hint="eastAsia" w:asciiTheme="majorEastAsia" w:hAnsiTheme="majorEastAsia" w:eastAsiaTheme="majorEastAsia" w:cstheme="majorEastAsia"/>
              <w:sz w:val="24"/>
              <w:szCs w:val="24"/>
            </w:rPr>
            <w:fldChar w:fldCharType="end"/>
          </w:r>
        </w:p>
        <w:p w14:paraId="24AE90CA">
          <w:pPr>
            <w:pStyle w:val="20"/>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_Toc21443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sz w:val="24"/>
              <w:szCs w:val="24"/>
              <w:lang w:val="zh-CN"/>
            </w:rPr>
            <w:t>第</w:t>
          </w:r>
          <w:r>
            <w:rPr>
              <w:rFonts w:hint="eastAsia" w:asciiTheme="majorEastAsia" w:hAnsiTheme="majorEastAsia" w:eastAsiaTheme="majorEastAsia" w:cstheme="majorEastAsia"/>
              <w:bCs/>
              <w:sz w:val="24"/>
              <w:szCs w:val="24"/>
            </w:rPr>
            <w:t>七</w:t>
          </w:r>
          <w:r>
            <w:rPr>
              <w:rFonts w:hint="eastAsia" w:asciiTheme="majorEastAsia" w:hAnsiTheme="majorEastAsia" w:eastAsiaTheme="majorEastAsia" w:cstheme="majorEastAsia"/>
              <w:bCs/>
              <w:sz w:val="24"/>
              <w:szCs w:val="24"/>
              <w:lang w:val="zh-CN"/>
            </w:rPr>
            <w:t>章</w:t>
          </w:r>
          <w:r>
            <w:rPr>
              <w:rFonts w:hint="eastAsia" w:asciiTheme="majorEastAsia" w:hAnsiTheme="majorEastAsia" w:eastAsiaTheme="majorEastAsia" w:cstheme="majorEastAsia"/>
              <w:bCs/>
              <w:sz w:val="24"/>
              <w:szCs w:val="24"/>
              <w:lang w:val="en-US" w:eastAsia="zh-CN"/>
            </w:rPr>
            <w:t xml:space="preserve">  </w:t>
          </w:r>
          <w:r>
            <w:rPr>
              <w:rFonts w:hint="eastAsia" w:asciiTheme="majorEastAsia" w:hAnsiTheme="majorEastAsia" w:eastAsiaTheme="majorEastAsia" w:cstheme="majorEastAsia"/>
              <w:bCs/>
              <w:sz w:val="24"/>
              <w:szCs w:val="24"/>
              <w:lang w:val="zh-CN"/>
            </w:rPr>
            <w:t>投标文件基本格式</w:t>
          </w:r>
          <w:r>
            <w:rPr>
              <w:sz w:val="24"/>
              <w:szCs w:val="24"/>
            </w:rPr>
            <w:tab/>
          </w:r>
          <w:r>
            <w:rPr>
              <w:sz w:val="24"/>
              <w:szCs w:val="24"/>
            </w:rPr>
            <w:fldChar w:fldCharType="begin"/>
          </w:r>
          <w:r>
            <w:rPr>
              <w:sz w:val="24"/>
              <w:szCs w:val="24"/>
            </w:rPr>
            <w:instrText xml:space="preserve"> PAGEREF _Toc21443 \h </w:instrText>
          </w:r>
          <w:r>
            <w:rPr>
              <w:sz w:val="24"/>
              <w:szCs w:val="24"/>
            </w:rPr>
            <w:fldChar w:fldCharType="separate"/>
          </w:r>
          <w:r>
            <w:rPr>
              <w:sz w:val="24"/>
              <w:szCs w:val="24"/>
            </w:rPr>
            <w:t>45</w:t>
          </w:r>
          <w:r>
            <w:rPr>
              <w:sz w:val="24"/>
              <w:szCs w:val="24"/>
            </w:rPr>
            <w:fldChar w:fldCharType="end"/>
          </w:r>
          <w:r>
            <w:rPr>
              <w:rFonts w:hint="eastAsia" w:asciiTheme="majorEastAsia" w:hAnsiTheme="majorEastAsia" w:eastAsiaTheme="majorEastAsia" w:cstheme="majorEastAsia"/>
              <w:sz w:val="24"/>
              <w:szCs w:val="24"/>
            </w:rPr>
            <w:fldChar w:fldCharType="end"/>
          </w:r>
        </w:p>
        <w:p w14:paraId="2CB67672">
          <w:pPr>
            <w:pStyle w:val="20"/>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_Toc622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sz w:val="24"/>
              <w:szCs w:val="24"/>
            </w:rPr>
            <w:t>第八章  榆林市公共资源交易平台全流程电子化政府采购项目内容</w:t>
          </w:r>
          <w:r>
            <w:rPr>
              <w:sz w:val="24"/>
              <w:szCs w:val="24"/>
            </w:rPr>
            <w:tab/>
          </w:r>
          <w:r>
            <w:rPr>
              <w:sz w:val="24"/>
              <w:szCs w:val="24"/>
            </w:rPr>
            <w:fldChar w:fldCharType="begin"/>
          </w:r>
          <w:r>
            <w:rPr>
              <w:sz w:val="24"/>
              <w:szCs w:val="24"/>
            </w:rPr>
            <w:instrText xml:space="preserve"> PAGEREF _Toc622 \h </w:instrText>
          </w:r>
          <w:r>
            <w:rPr>
              <w:sz w:val="24"/>
              <w:szCs w:val="24"/>
            </w:rPr>
            <w:fldChar w:fldCharType="separate"/>
          </w:r>
          <w:r>
            <w:rPr>
              <w:sz w:val="24"/>
              <w:szCs w:val="24"/>
            </w:rPr>
            <w:t>68</w:t>
          </w:r>
          <w:r>
            <w:rPr>
              <w:sz w:val="24"/>
              <w:szCs w:val="24"/>
            </w:rPr>
            <w:fldChar w:fldCharType="end"/>
          </w:r>
          <w:r>
            <w:rPr>
              <w:rFonts w:hint="eastAsia" w:asciiTheme="majorEastAsia" w:hAnsiTheme="majorEastAsia" w:eastAsiaTheme="majorEastAsia" w:cstheme="majorEastAsia"/>
              <w:sz w:val="24"/>
              <w:szCs w:val="24"/>
            </w:rPr>
            <w:fldChar w:fldCharType="end"/>
          </w:r>
        </w:p>
        <w:p w14:paraId="4504F4DF">
          <w:pPr>
            <w:pStyle w:val="20"/>
            <w:tabs>
              <w:tab w:val="right" w:leader="dot" w:pos="9040"/>
            </w:tabs>
          </w:pPr>
        </w:p>
        <w:p w14:paraId="0B52951D">
          <w:pPr>
            <w:snapToGrid w:val="0"/>
            <w:spacing w:beforeLines="100" w:afterLines="50" w:line="360" w:lineRule="auto"/>
            <w:jc w:val="center"/>
            <w:rPr>
              <w:rFonts w:asciiTheme="majorEastAsia" w:hAnsiTheme="majorEastAsia" w:eastAsiaTheme="majorEastAsia" w:cstheme="majorEastAsia"/>
              <w:b/>
              <w:sz w:val="32"/>
              <w:szCs w:val="32"/>
            </w:rPr>
            <w:sectPr>
              <w:pgSz w:w="11906" w:h="16838"/>
              <w:pgMar w:top="1440" w:right="1449" w:bottom="1440" w:left="1417" w:header="851" w:footer="992" w:gutter="0"/>
              <w:cols w:space="720" w:num="1"/>
              <w:docGrid w:type="lines" w:linePitch="312" w:charSpace="0"/>
            </w:sectPr>
          </w:pPr>
          <w:r>
            <w:rPr>
              <w:rFonts w:hint="eastAsia" w:asciiTheme="majorEastAsia" w:hAnsiTheme="majorEastAsia" w:eastAsiaTheme="majorEastAsia" w:cstheme="majorEastAsia"/>
            </w:rPr>
            <w:fldChar w:fldCharType="end"/>
          </w:r>
        </w:p>
      </w:sdtContent>
    </w:sdt>
    <w:p w14:paraId="6720DB4B">
      <w:pPr>
        <w:snapToGrid w:val="0"/>
        <w:spacing w:beforeLines="100" w:afterLines="50" w:line="440" w:lineRule="exact"/>
        <w:jc w:val="center"/>
        <w:outlineLvl w:val="0"/>
        <w:rPr>
          <w:rFonts w:asciiTheme="majorEastAsia" w:hAnsiTheme="majorEastAsia" w:eastAsiaTheme="majorEastAsia" w:cstheme="majorEastAsia"/>
          <w:b/>
          <w:sz w:val="32"/>
          <w:szCs w:val="32"/>
        </w:rPr>
      </w:pPr>
      <w:bookmarkStart w:id="24" w:name="_Toc31076"/>
      <w:r>
        <w:rPr>
          <w:rFonts w:hint="eastAsia" w:asciiTheme="majorEastAsia" w:hAnsiTheme="majorEastAsia" w:eastAsiaTheme="majorEastAsia" w:cstheme="majorEastAsia"/>
          <w:b/>
          <w:sz w:val="32"/>
          <w:szCs w:val="32"/>
        </w:rPr>
        <w:t>第一章  招标公告</w:t>
      </w:r>
      <w:bookmarkEnd w:id="24"/>
    </w:p>
    <w:p w14:paraId="0BDC665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rPr>
          <w:rFonts w:hint="eastAsia" w:ascii="宋体" w:hAnsi="宋体" w:eastAsia="宋体" w:cs="宋体"/>
          <w:b w:val="0"/>
          <w:bCs w:val="0"/>
          <w:sz w:val="24"/>
          <w:szCs w:val="24"/>
        </w:rPr>
      </w:pPr>
      <w:r>
        <w:rPr>
          <w:rStyle w:val="28"/>
          <w:rFonts w:hint="eastAsia" w:ascii="宋体" w:hAnsi="宋体" w:eastAsia="宋体" w:cs="宋体"/>
          <w:b/>
          <w:bCs/>
          <w:i w:val="0"/>
          <w:iCs w:val="0"/>
          <w:caps w:val="0"/>
          <w:color w:val="333333"/>
          <w:spacing w:val="0"/>
          <w:sz w:val="24"/>
          <w:szCs w:val="24"/>
          <w:shd w:val="clear" w:fill="FFFFFF"/>
        </w:rPr>
        <w:t>项目概况</w:t>
      </w:r>
    </w:p>
    <w:p w14:paraId="7A7738A5">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校园监控及防欺凌设备采购项目招标项目的潜在投标人应在登录全国公共资源交易中心平台（陕西省）使用CA锁报名后自行下载获取招标文件，并于 </w:t>
      </w:r>
      <w:r>
        <w:rPr>
          <w:rFonts w:hint="eastAsia" w:cs="宋体"/>
          <w:i w:val="0"/>
          <w:iCs w:val="0"/>
          <w:caps w:val="0"/>
          <w:color w:val="333333"/>
          <w:spacing w:val="0"/>
          <w:sz w:val="24"/>
          <w:szCs w:val="24"/>
          <w:shd w:val="clear" w:fill="FFFFFF"/>
          <w:lang w:eastAsia="zh-CN"/>
        </w:rPr>
        <w:t>2024年12月30日 13时30分</w:t>
      </w:r>
      <w:r>
        <w:rPr>
          <w:rFonts w:hint="eastAsia" w:ascii="宋体" w:hAnsi="宋体" w:eastAsia="宋体" w:cs="宋体"/>
          <w:i w:val="0"/>
          <w:iCs w:val="0"/>
          <w:caps w:val="0"/>
          <w:color w:val="333333"/>
          <w:spacing w:val="0"/>
          <w:sz w:val="24"/>
          <w:szCs w:val="24"/>
          <w:shd w:val="clear" w:fill="FFFFFF"/>
        </w:rPr>
        <w:t> （北京时间）前递交投标文件。</w:t>
      </w:r>
    </w:p>
    <w:p w14:paraId="1A22C7B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28"/>
          <w:rFonts w:hint="eastAsia" w:ascii="宋体" w:hAnsi="宋体" w:eastAsia="宋体" w:cs="宋体"/>
          <w:b/>
          <w:bCs/>
          <w:i w:val="0"/>
          <w:iCs w:val="0"/>
          <w:caps w:val="0"/>
          <w:color w:val="333333"/>
          <w:spacing w:val="0"/>
          <w:sz w:val="24"/>
          <w:szCs w:val="24"/>
          <w:shd w:val="clear" w:fill="FFFFFF"/>
        </w:rPr>
        <w:t>一、项目基本情况</w:t>
      </w:r>
    </w:p>
    <w:p w14:paraId="07E3CF0B">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项目编号：HXCX2024039</w:t>
      </w:r>
    </w:p>
    <w:p w14:paraId="58DB4488">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项目名称：校园监控及防欺凌设备采购项目</w:t>
      </w:r>
    </w:p>
    <w:p w14:paraId="6382A738">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采购方式：公开招标</w:t>
      </w:r>
    </w:p>
    <w:p w14:paraId="245DB28B">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预算金额：988,885.00元</w:t>
      </w:r>
    </w:p>
    <w:p w14:paraId="02327C11">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采购需求：</w:t>
      </w:r>
    </w:p>
    <w:p w14:paraId="63B61CC8">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合同包1(清涧县清涧中学校园监控及防欺凌设备采购项目):</w:t>
      </w:r>
    </w:p>
    <w:p w14:paraId="2626C0E0">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合同包预算金额：988,885.00元</w:t>
      </w:r>
    </w:p>
    <w:p w14:paraId="78E0B0E2">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合同包最高限价：988,885.00元</w:t>
      </w:r>
    </w:p>
    <w:tbl>
      <w:tblPr>
        <w:tblStyle w:val="25"/>
        <w:tblW w:w="9852" w:type="dxa"/>
        <w:tblInd w:w="-21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04"/>
        <w:gridCol w:w="1423"/>
        <w:gridCol w:w="2103"/>
        <w:gridCol w:w="948"/>
        <w:gridCol w:w="1384"/>
        <w:gridCol w:w="1545"/>
        <w:gridCol w:w="1545"/>
      </w:tblGrid>
      <w:tr w14:paraId="02563B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9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E8B889">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4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4CBBD0">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1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B9BC61">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9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D5CE3C">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3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6653B5">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5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11D26D">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5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7FC70B">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14:paraId="38A570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9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EB03F0">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4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49DF40">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其他组合音像设备</w:t>
            </w:r>
          </w:p>
        </w:tc>
        <w:tc>
          <w:tcPr>
            <w:tcW w:w="21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7AA1FB">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清涧县清涧中学校园监控及防欺凌设备采购项目</w:t>
            </w:r>
          </w:p>
        </w:tc>
        <w:tc>
          <w:tcPr>
            <w:tcW w:w="9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464CE4">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1(批)</w:t>
            </w:r>
          </w:p>
        </w:tc>
        <w:tc>
          <w:tcPr>
            <w:tcW w:w="13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A9FD3E">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5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16BCC2">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988,885.00</w:t>
            </w:r>
          </w:p>
        </w:tc>
        <w:tc>
          <w:tcPr>
            <w:tcW w:w="15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C71430">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lang w:val="en-US" w:eastAsia="zh-CN" w:bidi="ar"/>
              </w:rPr>
              <w:t>988,885.00</w:t>
            </w:r>
          </w:p>
        </w:tc>
      </w:tr>
    </w:tbl>
    <w:p w14:paraId="76875024">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14:paraId="201B5817">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合同履行期限：无</w:t>
      </w:r>
    </w:p>
    <w:p w14:paraId="2CD298A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28"/>
          <w:rFonts w:hint="eastAsia" w:ascii="宋体" w:hAnsi="宋体" w:eastAsia="宋体" w:cs="宋体"/>
          <w:b/>
          <w:bCs/>
          <w:i w:val="0"/>
          <w:iCs w:val="0"/>
          <w:caps w:val="0"/>
          <w:color w:val="333333"/>
          <w:spacing w:val="0"/>
          <w:sz w:val="24"/>
          <w:szCs w:val="24"/>
          <w:shd w:val="clear" w:fill="FFFFFF"/>
        </w:rPr>
        <w:t>二、申请人的资格要求：</w:t>
      </w:r>
    </w:p>
    <w:p w14:paraId="6FBB2BA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1.满足《中华人民共和国政府采购法》第二十二条规定;</w:t>
      </w:r>
    </w:p>
    <w:p w14:paraId="6CC668B0">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2.落实政府采购政策需满足的资格要求：</w:t>
      </w:r>
    </w:p>
    <w:p w14:paraId="3CFA2855">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合同包1(清涧县清涧中学校园监控及防欺凌设备采购项目)落实政府采购政策需满足的资格要求如下:</w:t>
      </w:r>
    </w:p>
    <w:p w14:paraId="07E6C7C9">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（1）《节能产品政府采购实施意见》财库〔2004〕185号;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（2）《环境标志产品政府采购实施的意见》财库〔2006〕90号；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（3）《国务院办公厅关于建立政府强制采购节能产品制度的通知》国办发〔2007〕51号；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（4）《政府采购促进中小企业发展管理办法》财库〔2020〕46号；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（5）《陕西省财政厅关于进一步加大政府采购支持中小企业力度的通知》陕财办采〔2022〕5号；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（6）《榆林市财政局关于进一步加大政府采购支持中小企业力度的通知》榆政财采发〔2022〕10号；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（7）陕西省财政厅关于印发《陕西省中小企业政府采购信用融资办法》陕财办采〔2018〕23号，相关政策、业务流程、办理平台(http://www.ccgp-shaanxi.gov.cn/zcdservice/zcd/shanxi/）；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（8）《财政部司法部关于政府采购支持监狱企业发展有关问题的通知》财库〔2014〕68号；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（9）《财政部民政部中国残疾人联合会关于促进残疾人就业政府采购政策的通知》财库〔2017〕141号；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（10）《关于在政府采购活动中查询及使用信用记录有关问题的通知》财库〔2016〕125号；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（11）其他需要落实的政府采购政策；</w:t>
      </w:r>
    </w:p>
    <w:p w14:paraId="1E8D5F75">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3.本项目的特定资格要求：</w:t>
      </w:r>
    </w:p>
    <w:p w14:paraId="65D94D18">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合同包1(清涧县清涧中学校园监控及防欺凌设备采购项目)特定资格要求如下:</w:t>
      </w:r>
    </w:p>
    <w:p w14:paraId="313E53CD">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（2）税收缴纳证明：提供2024年1月至今至少1个月的纳税证明（银行缴费凭证）或完税证明，依法免税的单位应提供相关证明材料；</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（3）社会保障资金缴纳证明：提供2024年1月至今至少1个月的社会保障资金缴存单据或社保机构开具的社会保险参保缴费情况证明，依法不需要缴纳社会保障资金的单位应提供相关证明材料；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4）财务状况报告：提供2023年度财务审计报告；公司成立至开标日期不足一年的提供自成立以来的财务报表（至少包含资产负债表、利润表、现金流量表）或公司基本账户开户行出具自成立以来的资信证明及基本账户开户证明； </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5）对列入“信用中国”网站(www.creditchina.gov.cn)“失信被执行人、税收违法黑名单、异常经营名录”记录名单；“中国政府采购网”(www.ccgp.gov.cn)“政府采购严重违法失信行为信息记录”的单位，应当拒绝参与政府采购活动，提供查询截图（查询日期为从招标文件获取之日起至投标截止日前但最终以投标截止日当天查询结果为准）。</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（6）参加政府采购活动前三年内，在经营活动中没有重大违法记录的书面声明； </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（7）提供具有履行合同所必需的设备和专业技术能力的证明材料或承诺函；</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8）自主上报信用承诺书：投标人及其授权委托人应在“信用中国（陕西榆林）”网站(www.ylcredit.gov.cn)进行注册、登录、自主上报信用承诺书，包括：《榆林市政府采购货物类项目供应商信用承诺书》《投标人信用承诺》、《投标人委托代理人员信用承诺书》(如有)、《投标信用承诺书》。</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备注：本项目不接受联合体投标、不允许分包、转包，单位负责人为同一人或者存在直接控股、管理关系的不同供应商，不得参加同一合同项下的政府采购活动。</w:t>
      </w:r>
    </w:p>
    <w:p w14:paraId="337AB9A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28"/>
          <w:rFonts w:hint="eastAsia" w:ascii="宋体" w:hAnsi="宋体" w:eastAsia="宋体" w:cs="宋体"/>
          <w:b/>
          <w:bCs/>
          <w:i w:val="0"/>
          <w:iCs w:val="0"/>
          <w:caps w:val="0"/>
          <w:color w:val="333333"/>
          <w:spacing w:val="0"/>
          <w:sz w:val="24"/>
          <w:szCs w:val="24"/>
          <w:shd w:val="clear" w:fill="FFFFFF"/>
        </w:rPr>
        <w:t>三、获取招标文件</w:t>
      </w:r>
    </w:p>
    <w:p w14:paraId="1D596A0A">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时间： 2024年12月06日 至 2024年12月12日 ，每天上午 09:00:00 至 12:00:00 ，下午 12:00:00 至 17:00:00 （北京时间）</w:t>
      </w:r>
    </w:p>
    <w:p w14:paraId="47AA6ACE">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途径：登录全国公共资源交易中心平台（陕西省）使用CA锁报名后自行下载</w:t>
      </w:r>
    </w:p>
    <w:p w14:paraId="70C4101F">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方式：在线获取</w:t>
      </w:r>
    </w:p>
    <w:p w14:paraId="5931F967">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售价： 0元</w:t>
      </w:r>
    </w:p>
    <w:p w14:paraId="41EC987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28"/>
          <w:rFonts w:hint="eastAsia" w:ascii="宋体" w:hAnsi="宋体" w:eastAsia="宋体" w:cs="宋体"/>
          <w:b/>
          <w:bCs/>
          <w:i w:val="0"/>
          <w:iCs w:val="0"/>
          <w:caps w:val="0"/>
          <w:color w:val="333333"/>
          <w:spacing w:val="0"/>
          <w:sz w:val="24"/>
          <w:szCs w:val="24"/>
          <w:shd w:val="clear" w:fill="FFFFFF"/>
        </w:rPr>
        <w:t>四、提交投标文件截止时间、开标时间和地点</w:t>
      </w:r>
    </w:p>
    <w:p w14:paraId="44FA58CC">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时间： </w:t>
      </w:r>
      <w:r>
        <w:rPr>
          <w:rFonts w:hint="eastAsia" w:cs="宋体"/>
          <w:i w:val="0"/>
          <w:iCs w:val="0"/>
          <w:caps w:val="0"/>
          <w:color w:val="333333"/>
          <w:spacing w:val="0"/>
          <w:sz w:val="24"/>
          <w:szCs w:val="24"/>
          <w:shd w:val="clear" w:fill="FFFFFF"/>
          <w:lang w:eastAsia="zh-CN"/>
        </w:rPr>
        <w:t>2024年12月30日 13时30分</w:t>
      </w:r>
      <w:r>
        <w:rPr>
          <w:rFonts w:hint="eastAsia" w:ascii="宋体" w:hAnsi="宋体" w:eastAsia="宋体" w:cs="宋体"/>
          <w:i w:val="0"/>
          <w:iCs w:val="0"/>
          <w:caps w:val="0"/>
          <w:color w:val="333333"/>
          <w:spacing w:val="0"/>
          <w:sz w:val="24"/>
          <w:szCs w:val="24"/>
          <w:shd w:val="clear" w:fill="FFFFFF"/>
        </w:rPr>
        <w:t>00秒 （北京时间）</w:t>
      </w:r>
    </w:p>
    <w:p w14:paraId="6825CEF5">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提交投标文件地点：登录全国公共资源交易平台（陕西省•榆林市）网站〖首页〉电子交易平台〉陕西政府采购交易系统）企业端〗，在线提交</w:t>
      </w:r>
    </w:p>
    <w:p w14:paraId="1469E9C8">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开标地点：登录全国公共资源交易平台（陕西省•榆林市）网站〖首页〉不见面开标〗系统，在线参加开标过程</w:t>
      </w:r>
    </w:p>
    <w:p w14:paraId="2D5D61F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28"/>
          <w:rFonts w:hint="eastAsia" w:ascii="宋体" w:hAnsi="宋体" w:eastAsia="宋体" w:cs="宋体"/>
          <w:b/>
          <w:bCs/>
          <w:i w:val="0"/>
          <w:iCs w:val="0"/>
          <w:caps w:val="0"/>
          <w:color w:val="333333"/>
          <w:spacing w:val="0"/>
          <w:sz w:val="24"/>
          <w:szCs w:val="24"/>
          <w:shd w:val="clear" w:fill="FFFFFF"/>
        </w:rPr>
        <w:t>五、公告期限</w:t>
      </w:r>
    </w:p>
    <w:p w14:paraId="65CA4A98">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自本公告发布之日起5个工作日。</w:t>
      </w:r>
    </w:p>
    <w:p w14:paraId="67F1E7C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28"/>
          <w:rFonts w:hint="eastAsia" w:ascii="宋体" w:hAnsi="宋体" w:eastAsia="宋体" w:cs="宋体"/>
          <w:b/>
          <w:bCs/>
          <w:i w:val="0"/>
          <w:iCs w:val="0"/>
          <w:caps w:val="0"/>
          <w:color w:val="333333"/>
          <w:spacing w:val="0"/>
          <w:sz w:val="24"/>
          <w:szCs w:val="24"/>
          <w:shd w:val="clear" w:fill="FFFFFF"/>
        </w:rPr>
        <w:t>六、其他补充事宜</w:t>
      </w:r>
    </w:p>
    <w:p w14:paraId="47AF567B">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spacing w:val="0"/>
          <w:kern w:val="0"/>
          <w:sz w:val="24"/>
          <w:szCs w:val="24"/>
          <w:shd w:val="clear" w:fill="FFFFFF"/>
          <w:lang w:val="en-US" w:eastAsia="zh-CN" w:bidi="ar"/>
        </w:rPr>
        <w:t>（1）本项目不专门面向中小企业采购。</w:t>
      </w:r>
    </w:p>
    <w:p w14:paraId="6EB37BAC">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spacing w:val="0"/>
          <w:kern w:val="0"/>
          <w:sz w:val="24"/>
          <w:szCs w:val="24"/>
          <w:shd w:val="clear" w:fill="FFFFFF"/>
          <w:lang w:val="en-US" w:eastAsia="zh-CN" w:bidi="ar"/>
        </w:rPr>
        <w:t>（2）供应商可登录全国公共资源交易中心平台（陕西省） （http://www.sxggzyjy.cn/）,选择“电子交易平台-陕西政府采购交易系统-陕西省公共资源交易平台-供应商”进行登录，登录后选择“交易乙方”身份进入供应商界面进行报名并免费下载招标文件。</w:t>
      </w:r>
    </w:p>
    <w:p w14:paraId="6A75FBBF">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spacing w:val="0"/>
          <w:kern w:val="0"/>
          <w:sz w:val="24"/>
          <w:szCs w:val="24"/>
          <w:shd w:val="clear" w:fill="FFFFFF"/>
          <w:lang w:val="en-US" w:eastAsia="zh-CN" w:bidi="ar"/>
        </w:rPr>
        <w:t>（3）本项目采用电子化招投标的方式，供应商使用数字认证证书（CA锁）对投标文件进行签章、加密、递交及开标时解密等相关招投标事宜。</w:t>
      </w:r>
    </w:p>
    <w:p w14:paraId="3BFF2801">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spacing w:val="0"/>
          <w:kern w:val="0"/>
          <w:sz w:val="24"/>
          <w:szCs w:val="24"/>
          <w:shd w:val="clear" w:fill="FFFFFF"/>
          <w:lang w:val="en-US" w:eastAsia="zh-CN" w:bidi="ar"/>
        </w:rPr>
        <w:t>（4）电子响应文件制作软件技术支持热线：400-998-0000 ，CA锁购买：榆林市市民大厦三楼E18、E19窗口办理，咨询电话0912-3452148、029-88661298或4006-369-888（陕西CA联系电话）。</w:t>
      </w:r>
    </w:p>
    <w:p w14:paraId="7CBCED9D">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spacing w:val="0"/>
          <w:kern w:val="0"/>
          <w:sz w:val="24"/>
          <w:szCs w:val="24"/>
          <w:shd w:val="clear" w:fill="FFFFFF"/>
          <w:lang w:val="en-US" w:eastAsia="zh-CN" w:bidi="ar"/>
        </w:rPr>
        <w:t>（5）请各供应商获取招标文件后，按照陕西省财政厅《关于政府采购投标供应商注册登记有关事项的通知》要求，通过陕西省政府采购（http://www.ccgp-shaanxi.gov.cn/）注册登记加入陕西省政府采购投标供应商库。</w:t>
      </w:r>
    </w:p>
    <w:p w14:paraId="346BF18F">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spacing w:val="0"/>
          <w:sz w:val="24"/>
          <w:szCs w:val="24"/>
          <w:shd w:val="clear" w:fill="FFFFFF"/>
        </w:rPr>
        <w:t>（6）本项目采用“不见面”开标形式，不见面开标系统操作手册下载方式：登录【全国公共资源交易平台（陕西省）】 网站首页选择【服务指南】-【下载专区】-点击【关于陕西省公共资源交易平台多CA互认系统正式上线运行的通知】进行下载。</w:t>
      </w:r>
    </w:p>
    <w:p w14:paraId="7A5E468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333333"/>
          <w:spacing w:val="0"/>
          <w:sz w:val="24"/>
          <w:szCs w:val="24"/>
        </w:rPr>
      </w:pPr>
      <w:r>
        <w:rPr>
          <w:rStyle w:val="28"/>
          <w:rFonts w:hint="eastAsia" w:ascii="宋体" w:hAnsi="宋体" w:eastAsia="宋体" w:cs="宋体"/>
          <w:b/>
          <w:bCs/>
          <w:i w:val="0"/>
          <w:iCs w:val="0"/>
          <w:caps w:val="0"/>
          <w:color w:val="333333"/>
          <w:spacing w:val="0"/>
          <w:sz w:val="24"/>
          <w:szCs w:val="24"/>
          <w:shd w:val="clear" w:fill="FFFFFF"/>
        </w:rPr>
        <w:t>七、对本次招标提出询问，请按以下方式联系。</w:t>
      </w:r>
    </w:p>
    <w:p w14:paraId="38E2DDA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1.采购人信息</w:t>
      </w:r>
    </w:p>
    <w:p w14:paraId="3A24560D">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名称：清涧县清涧中学</w:t>
      </w:r>
    </w:p>
    <w:p w14:paraId="60DBB164">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地址：清涧县新城开发区</w:t>
      </w:r>
    </w:p>
    <w:p w14:paraId="304EDA99">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联系方式：13892299861</w:t>
      </w:r>
    </w:p>
    <w:p w14:paraId="37BD415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2.采购代理机构信息</w:t>
      </w:r>
    </w:p>
    <w:p w14:paraId="13963B92">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名称：陕西华旭晟信项目管理有限责任公司</w:t>
      </w:r>
    </w:p>
    <w:p w14:paraId="20EB0760">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地址：榆林市榆林大道南段富源大厦602室</w:t>
      </w:r>
    </w:p>
    <w:p w14:paraId="493DF606">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联系方式：17709127880</w:t>
      </w:r>
    </w:p>
    <w:p w14:paraId="5A82126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3.项目联系方式</w:t>
      </w:r>
    </w:p>
    <w:p w14:paraId="3C1497F1">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项目联系人：刘莉娥</w:t>
      </w:r>
    </w:p>
    <w:p w14:paraId="5BAEE33E">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电话：17709127880</w:t>
      </w:r>
    </w:p>
    <w:p w14:paraId="47477CA5">
      <w:pPr>
        <w:jc w:val="center"/>
        <w:outlineLvl w:val="0"/>
        <w:rPr>
          <w:rFonts w:asciiTheme="majorEastAsia" w:hAnsiTheme="majorEastAsia" w:eastAsiaTheme="majorEastAsia" w:cstheme="majorEastAsia"/>
          <w:b/>
          <w:bCs/>
        </w:rPr>
      </w:pPr>
      <w:bookmarkStart w:id="25" w:name="_Toc32217"/>
      <w:r>
        <w:rPr>
          <w:rFonts w:hint="eastAsia" w:asciiTheme="majorEastAsia" w:hAnsiTheme="majorEastAsia" w:eastAsiaTheme="majorEastAsia" w:cstheme="majorEastAsia"/>
          <w:b/>
          <w:bCs/>
          <w:sz w:val="28"/>
          <w:szCs w:val="28"/>
        </w:rPr>
        <w:t xml:space="preserve">第二章 </w:t>
      </w:r>
      <w:r>
        <w:rPr>
          <w:rFonts w:hint="eastAsia" w:asciiTheme="majorEastAsia" w:hAnsiTheme="majorEastAsia" w:eastAsiaTheme="majorEastAsia" w:cstheme="majorEastAsia"/>
          <w:b/>
          <w:bCs/>
          <w:sz w:val="28"/>
          <w:szCs w:val="28"/>
          <w:lang w:val="en-US" w:eastAsia="zh-CN"/>
        </w:rPr>
        <w:t xml:space="preserve"> </w:t>
      </w:r>
      <w:r>
        <w:rPr>
          <w:rFonts w:hint="eastAsia" w:asciiTheme="majorEastAsia" w:hAnsiTheme="majorEastAsia" w:eastAsiaTheme="majorEastAsia" w:cstheme="majorEastAsia"/>
          <w:b/>
          <w:bCs/>
          <w:sz w:val="28"/>
          <w:szCs w:val="28"/>
        </w:rPr>
        <w:t>投标须知前附表</w:t>
      </w:r>
      <w:bookmarkEnd w:id="25"/>
    </w:p>
    <w:bookmarkEnd w:id="0"/>
    <w:tbl>
      <w:tblPr>
        <w:tblStyle w:val="25"/>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907"/>
        <w:gridCol w:w="7014"/>
      </w:tblGrid>
      <w:tr w14:paraId="7E1A1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blHeader/>
          <w:jc w:val="center"/>
        </w:trPr>
        <w:tc>
          <w:tcPr>
            <w:tcW w:w="818" w:type="dxa"/>
            <w:vAlign w:val="center"/>
          </w:tcPr>
          <w:p w14:paraId="20EFB451">
            <w:pPr>
              <w:spacing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序号</w:t>
            </w:r>
          </w:p>
        </w:tc>
        <w:tc>
          <w:tcPr>
            <w:tcW w:w="1907" w:type="dxa"/>
            <w:vAlign w:val="center"/>
          </w:tcPr>
          <w:p w14:paraId="48DB0759">
            <w:pPr>
              <w:spacing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条款名称</w:t>
            </w:r>
          </w:p>
        </w:tc>
        <w:tc>
          <w:tcPr>
            <w:tcW w:w="7014" w:type="dxa"/>
            <w:vAlign w:val="center"/>
          </w:tcPr>
          <w:p w14:paraId="39D92266">
            <w:pPr>
              <w:spacing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说明和要求</w:t>
            </w:r>
          </w:p>
        </w:tc>
      </w:tr>
      <w:tr w14:paraId="56F84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818" w:type="dxa"/>
            <w:vAlign w:val="center"/>
          </w:tcPr>
          <w:p w14:paraId="079102F7">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w:t>
            </w:r>
          </w:p>
        </w:tc>
        <w:tc>
          <w:tcPr>
            <w:tcW w:w="1907" w:type="dxa"/>
            <w:vAlign w:val="center"/>
          </w:tcPr>
          <w:p w14:paraId="053D57D4">
            <w:pPr>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采购人</w:t>
            </w:r>
          </w:p>
        </w:tc>
        <w:tc>
          <w:tcPr>
            <w:tcW w:w="7014" w:type="dxa"/>
            <w:vAlign w:val="center"/>
          </w:tcPr>
          <w:p w14:paraId="3A6235FF">
            <w:pPr>
              <w:spacing w:line="360" w:lineRule="auto"/>
              <w:jc w:val="left"/>
              <w:rPr>
                <w:rFonts w:hint="eastAsia" w:asciiTheme="majorEastAsia" w:hAnsiTheme="majorEastAsia" w:eastAsiaTheme="majorEastAsia" w:cstheme="majorEastAsia"/>
                <w:sz w:val="24"/>
                <w:lang w:eastAsia="zh-CN"/>
              </w:rPr>
            </w:pPr>
            <w:r>
              <w:rPr>
                <w:rFonts w:hint="eastAsia" w:asciiTheme="majorEastAsia" w:hAnsiTheme="majorEastAsia" w:eastAsiaTheme="majorEastAsia" w:cstheme="majorEastAsia"/>
                <w:sz w:val="24"/>
                <w:lang w:eastAsia="zh-CN"/>
              </w:rPr>
              <w:t>清涧县清涧中学</w:t>
            </w:r>
          </w:p>
        </w:tc>
      </w:tr>
      <w:tr w14:paraId="21CA8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18" w:type="dxa"/>
            <w:vAlign w:val="center"/>
          </w:tcPr>
          <w:p w14:paraId="3611B20D">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p>
        </w:tc>
        <w:tc>
          <w:tcPr>
            <w:tcW w:w="1907" w:type="dxa"/>
            <w:vAlign w:val="center"/>
          </w:tcPr>
          <w:p w14:paraId="1FB0EB95">
            <w:pPr>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采购代理机构</w:t>
            </w:r>
          </w:p>
        </w:tc>
        <w:tc>
          <w:tcPr>
            <w:tcW w:w="7014" w:type="dxa"/>
            <w:vAlign w:val="center"/>
          </w:tcPr>
          <w:p w14:paraId="4B217A7F">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陕西华旭晟信项目管理有限责任公司</w:t>
            </w:r>
          </w:p>
        </w:tc>
      </w:tr>
      <w:tr w14:paraId="32420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818" w:type="dxa"/>
            <w:vAlign w:val="center"/>
          </w:tcPr>
          <w:p w14:paraId="47915FE3">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p>
        </w:tc>
        <w:tc>
          <w:tcPr>
            <w:tcW w:w="1907" w:type="dxa"/>
            <w:vAlign w:val="center"/>
          </w:tcPr>
          <w:p w14:paraId="7706DFDB">
            <w:pPr>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监督管理机构</w:t>
            </w:r>
          </w:p>
        </w:tc>
        <w:tc>
          <w:tcPr>
            <w:tcW w:w="7014" w:type="dxa"/>
            <w:vAlign w:val="center"/>
          </w:tcPr>
          <w:p w14:paraId="41AA528B">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lang w:val="en-US" w:eastAsia="zh-CN"/>
              </w:rPr>
              <w:t>清涧县</w:t>
            </w:r>
            <w:r>
              <w:rPr>
                <w:rFonts w:hint="eastAsia" w:asciiTheme="majorEastAsia" w:hAnsiTheme="majorEastAsia" w:eastAsiaTheme="majorEastAsia" w:cstheme="majorEastAsia"/>
                <w:sz w:val="24"/>
              </w:rPr>
              <w:t>财政局</w:t>
            </w:r>
          </w:p>
        </w:tc>
      </w:tr>
      <w:tr w14:paraId="2259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818" w:type="dxa"/>
            <w:vAlign w:val="center"/>
          </w:tcPr>
          <w:p w14:paraId="111CED13">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w:t>
            </w:r>
          </w:p>
        </w:tc>
        <w:tc>
          <w:tcPr>
            <w:tcW w:w="1907" w:type="dxa"/>
            <w:vAlign w:val="center"/>
          </w:tcPr>
          <w:p w14:paraId="38BF131D">
            <w:pPr>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项目名称</w:t>
            </w:r>
          </w:p>
        </w:tc>
        <w:tc>
          <w:tcPr>
            <w:tcW w:w="7014" w:type="dxa"/>
            <w:vAlign w:val="center"/>
          </w:tcPr>
          <w:p w14:paraId="3870B196">
            <w:pPr>
              <w:spacing w:line="360" w:lineRule="auto"/>
              <w:rPr>
                <w:rFonts w:hint="eastAsia" w:asciiTheme="majorEastAsia" w:hAnsiTheme="majorEastAsia" w:eastAsiaTheme="majorEastAsia" w:cstheme="majorEastAsia"/>
                <w:sz w:val="24"/>
                <w:lang w:eastAsia="zh-CN"/>
              </w:rPr>
            </w:pPr>
            <w:r>
              <w:rPr>
                <w:rFonts w:hint="eastAsia" w:asciiTheme="majorEastAsia" w:hAnsiTheme="majorEastAsia" w:eastAsiaTheme="majorEastAsia" w:cstheme="majorEastAsia"/>
                <w:sz w:val="24"/>
                <w:lang w:eastAsia="zh-CN"/>
              </w:rPr>
              <w:t>清涧县清涧中学校园监控及防欺凌设备采购项目</w:t>
            </w:r>
          </w:p>
        </w:tc>
      </w:tr>
      <w:tr w14:paraId="5F2DC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818" w:type="dxa"/>
            <w:vAlign w:val="center"/>
          </w:tcPr>
          <w:p w14:paraId="3A30F895">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w:t>
            </w:r>
          </w:p>
        </w:tc>
        <w:tc>
          <w:tcPr>
            <w:tcW w:w="1907" w:type="dxa"/>
            <w:vAlign w:val="center"/>
          </w:tcPr>
          <w:p w14:paraId="268E4A07">
            <w:pPr>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项目编号</w:t>
            </w:r>
          </w:p>
        </w:tc>
        <w:tc>
          <w:tcPr>
            <w:tcW w:w="7014" w:type="dxa"/>
            <w:vAlign w:val="center"/>
          </w:tcPr>
          <w:p w14:paraId="37DBD14D">
            <w:pPr>
              <w:spacing w:line="360" w:lineRule="auto"/>
              <w:rPr>
                <w:rFonts w:hint="eastAsia" w:asciiTheme="majorEastAsia" w:hAnsiTheme="majorEastAsia" w:eastAsiaTheme="majorEastAsia" w:cstheme="majorEastAsia"/>
                <w:sz w:val="24"/>
                <w:lang w:eastAsia="zh-CN"/>
              </w:rPr>
            </w:pPr>
            <w:r>
              <w:rPr>
                <w:rFonts w:hint="eastAsia" w:asciiTheme="majorEastAsia" w:hAnsiTheme="majorEastAsia" w:eastAsiaTheme="majorEastAsia" w:cstheme="majorEastAsia"/>
                <w:sz w:val="24"/>
                <w:lang w:eastAsia="zh-CN"/>
              </w:rPr>
              <w:t>HXCX2024039</w:t>
            </w:r>
          </w:p>
        </w:tc>
      </w:tr>
      <w:tr w14:paraId="504BB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818" w:type="dxa"/>
            <w:vAlign w:val="center"/>
          </w:tcPr>
          <w:p w14:paraId="177EE67B">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w:t>
            </w:r>
          </w:p>
        </w:tc>
        <w:tc>
          <w:tcPr>
            <w:tcW w:w="1907" w:type="dxa"/>
            <w:vAlign w:val="center"/>
          </w:tcPr>
          <w:p w14:paraId="6C566BD7">
            <w:pPr>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标段名称</w:t>
            </w:r>
          </w:p>
        </w:tc>
        <w:tc>
          <w:tcPr>
            <w:tcW w:w="7014" w:type="dxa"/>
            <w:vAlign w:val="center"/>
          </w:tcPr>
          <w:p w14:paraId="04319DD7">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w:t>
            </w:r>
          </w:p>
        </w:tc>
      </w:tr>
      <w:tr w14:paraId="19E1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818" w:type="dxa"/>
            <w:vAlign w:val="center"/>
          </w:tcPr>
          <w:p w14:paraId="2C38589D">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7</w:t>
            </w:r>
          </w:p>
        </w:tc>
        <w:tc>
          <w:tcPr>
            <w:tcW w:w="1907" w:type="dxa"/>
            <w:vAlign w:val="center"/>
          </w:tcPr>
          <w:p w14:paraId="55221BC3">
            <w:pPr>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标段编号</w:t>
            </w:r>
          </w:p>
        </w:tc>
        <w:tc>
          <w:tcPr>
            <w:tcW w:w="7014" w:type="dxa"/>
            <w:vAlign w:val="center"/>
          </w:tcPr>
          <w:p w14:paraId="6B24375B">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w:t>
            </w:r>
          </w:p>
        </w:tc>
      </w:tr>
      <w:tr w14:paraId="28FE6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18" w:type="dxa"/>
            <w:vAlign w:val="center"/>
          </w:tcPr>
          <w:p w14:paraId="3D59EABF">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8</w:t>
            </w:r>
          </w:p>
        </w:tc>
        <w:tc>
          <w:tcPr>
            <w:tcW w:w="1907" w:type="dxa"/>
            <w:vAlign w:val="center"/>
          </w:tcPr>
          <w:p w14:paraId="1F36162F">
            <w:pPr>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采购内容及要求</w:t>
            </w:r>
          </w:p>
        </w:tc>
        <w:tc>
          <w:tcPr>
            <w:tcW w:w="7014" w:type="dxa"/>
            <w:vAlign w:val="center"/>
          </w:tcPr>
          <w:p w14:paraId="20131AAE">
            <w:pPr>
              <w:pStyle w:val="105"/>
              <w:spacing w:line="360" w:lineRule="auto"/>
              <w:ind w:firstLine="0" w:firstLineChars="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详见招标文件第四章 采购内容及技术要求。</w:t>
            </w:r>
          </w:p>
        </w:tc>
      </w:tr>
      <w:tr w14:paraId="13A5A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dxa"/>
            <w:vAlign w:val="center"/>
          </w:tcPr>
          <w:p w14:paraId="409B8F6B">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9</w:t>
            </w:r>
          </w:p>
        </w:tc>
        <w:tc>
          <w:tcPr>
            <w:tcW w:w="1907" w:type="dxa"/>
            <w:vAlign w:val="center"/>
          </w:tcPr>
          <w:p w14:paraId="2B2EC8B9">
            <w:pPr>
              <w:spacing w:line="360" w:lineRule="auto"/>
              <w:rPr>
                <w:rFonts w:asciiTheme="majorEastAsia" w:hAnsiTheme="majorEastAsia" w:eastAsiaTheme="majorEastAsia" w:cstheme="majorEastAsia"/>
                <w:sz w:val="24"/>
                <w:highlight w:val="red"/>
              </w:rPr>
            </w:pPr>
            <w:r>
              <w:rPr>
                <w:rFonts w:hint="eastAsia" w:asciiTheme="majorEastAsia" w:hAnsiTheme="majorEastAsia" w:eastAsiaTheme="majorEastAsia" w:cstheme="majorEastAsia"/>
                <w:sz w:val="24"/>
              </w:rPr>
              <w:t>投标人资格要求</w:t>
            </w:r>
          </w:p>
        </w:tc>
        <w:tc>
          <w:tcPr>
            <w:tcW w:w="7014" w:type="dxa"/>
          </w:tcPr>
          <w:p w14:paraId="7838E509">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asciiTheme="majorEastAsia" w:hAnsiTheme="majorEastAsia" w:eastAsiaTheme="majorEastAsia" w:cstheme="majorEastAsia"/>
                <w:sz w:val="24"/>
              </w:rPr>
            </w:pPr>
            <w:r>
              <w:rPr>
                <w:rFonts w:hint="eastAsia" w:asciiTheme="majorEastAsia" w:hAnsiTheme="majorEastAsia" w:eastAsiaTheme="majorEastAsia" w:cstheme="majorEastAsia"/>
                <w:i w:val="0"/>
                <w:iCs w:val="0"/>
                <w:caps w:val="0"/>
                <w:color w:val="333333"/>
                <w:spacing w:val="0"/>
                <w:sz w:val="24"/>
                <w:szCs w:val="24"/>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（2）税收缴纳证明：提供</w:t>
            </w:r>
            <w:r>
              <w:rPr>
                <w:rFonts w:hint="eastAsia" w:asciiTheme="majorEastAsia" w:hAnsiTheme="majorEastAsia" w:eastAsiaTheme="majorEastAsia" w:cstheme="majorEastAsia"/>
                <w:i w:val="0"/>
                <w:iCs w:val="0"/>
                <w:caps w:val="0"/>
                <w:color w:val="333333"/>
                <w:spacing w:val="0"/>
                <w:sz w:val="24"/>
                <w:szCs w:val="24"/>
                <w:shd w:val="clear" w:fill="FFFFFF"/>
                <w:lang w:eastAsia="zh-CN"/>
              </w:rPr>
              <w:t>2024年1月至今至少1个月</w:t>
            </w:r>
            <w:r>
              <w:rPr>
                <w:rFonts w:hint="eastAsia" w:asciiTheme="majorEastAsia" w:hAnsiTheme="majorEastAsia" w:eastAsiaTheme="majorEastAsia" w:cstheme="majorEastAsia"/>
                <w:i w:val="0"/>
                <w:iCs w:val="0"/>
                <w:caps w:val="0"/>
                <w:color w:val="333333"/>
                <w:spacing w:val="0"/>
                <w:sz w:val="24"/>
                <w:szCs w:val="24"/>
                <w:shd w:val="clear" w:fill="FFFFFF"/>
              </w:rPr>
              <w:t>的纳税证明（银行缴费凭证）或完税证明，依法免税的单位应提供相关证明材料；</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（3）社会保障资金缴纳证明：提供</w:t>
            </w:r>
            <w:r>
              <w:rPr>
                <w:rFonts w:hint="eastAsia" w:asciiTheme="majorEastAsia" w:hAnsiTheme="majorEastAsia" w:eastAsiaTheme="majorEastAsia" w:cstheme="majorEastAsia"/>
                <w:i w:val="0"/>
                <w:iCs w:val="0"/>
                <w:caps w:val="0"/>
                <w:color w:val="333333"/>
                <w:spacing w:val="0"/>
                <w:sz w:val="24"/>
                <w:szCs w:val="24"/>
                <w:shd w:val="clear" w:fill="FFFFFF"/>
                <w:lang w:eastAsia="zh-CN"/>
              </w:rPr>
              <w:t>2024年1月至今至少1个月</w:t>
            </w:r>
            <w:r>
              <w:rPr>
                <w:rFonts w:hint="eastAsia" w:asciiTheme="majorEastAsia" w:hAnsiTheme="majorEastAsia" w:eastAsiaTheme="majorEastAsia" w:cstheme="majorEastAsia"/>
                <w:i w:val="0"/>
                <w:iCs w:val="0"/>
                <w:caps w:val="0"/>
                <w:color w:val="333333"/>
                <w:spacing w:val="0"/>
                <w:sz w:val="24"/>
                <w:szCs w:val="24"/>
                <w:shd w:val="clear" w:fill="FFFFFF"/>
              </w:rPr>
              <w:t>的社会保障资金缴存单据或社保机构开具的社会保险参保缴费情况证明，依法不需要缴纳社会保障资金的单位应提供相关证明材料；</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4）财务状况报告：提供2023年度财务审计报告；公司成立至开标日期不足一年的提供自成立以来的财务报表（至少包含资产负债表、利润表、现金流量表）或公司基本账户开户行出具自成立以来的资信证明及基本账户开户证明； </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5）对列入“信用中国”网站(www.creditchina.gov.cn)“失信被执行人、税收违法黑名单、异常经营名录”记录名单；“中国政府采购网”(www.ccgp.gov.cn)“政府采购严重违法失信行为信息记录”的单位，应当拒绝参与政府采购活动，提供查询截图（查询日期为从招标文件获取之日起至投标截止日前但最终以投标截止日当天查询结果为准）。</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（6）参加政府采购活动前三年内，在经营活动中没有重大违法记录的书面声明； </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（7）提供具有履行合同所必需的设备和专业技术能力的证明材料或承诺函；</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8）自主上报信用承诺书：投标人及其授权委托人应在“信用中国（陕西榆林）”网站(www.ylcredit.gov.cn)进行注册、登录、自主上报信用承诺书，包括：《榆林市政府采购货物类项目供应商信用承诺书》《投标人信用承诺》、《投标人委托代理人员信用承诺书》(如有)、《投标信用承诺书》。</w:t>
            </w:r>
            <w:r>
              <w:rPr>
                <w:rFonts w:hint="eastAsia" w:asciiTheme="majorEastAsia" w:hAnsiTheme="majorEastAsia" w:eastAsiaTheme="majorEastAsia" w:cstheme="majorEastAsia"/>
                <w:i w:val="0"/>
                <w:iCs w:val="0"/>
                <w:caps w:val="0"/>
                <w:color w:val="333333"/>
                <w:spacing w:val="0"/>
                <w:sz w:val="24"/>
                <w:szCs w:val="24"/>
                <w:shd w:val="clear" w:fill="FFFFFF"/>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备注：本项目不接受联合体投标、不允许分包、转包，单位负责人为同一人或者存在直接控股、管理关系的不同供应商，不得参加同一合同项下的政府采购活动。</w:t>
            </w:r>
          </w:p>
        </w:tc>
      </w:tr>
      <w:tr w14:paraId="36536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818" w:type="dxa"/>
            <w:vAlign w:val="center"/>
          </w:tcPr>
          <w:p w14:paraId="284B3F6A">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10</w:t>
            </w:r>
          </w:p>
        </w:tc>
        <w:tc>
          <w:tcPr>
            <w:tcW w:w="1907" w:type="dxa"/>
            <w:vAlign w:val="center"/>
          </w:tcPr>
          <w:p w14:paraId="32DB86C8">
            <w:pPr>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交货期</w:t>
            </w:r>
          </w:p>
        </w:tc>
        <w:tc>
          <w:tcPr>
            <w:tcW w:w="7014" w:type="dxa"/>
            <w:vAlign w:val="center"/>
          </w:tcPr>
          <w:p w14:paraId="2C63B314">
            <w:pPr>
              <w:spacing w:line="360" w:lineRule="auto"/>
              <w:rPr>
                <w:rFonts w:hint="eastAsia" w:asciiTheme="majorEastAsia" w:hAnsiTheme="majorEastAsia" w:eastAsiaTheme="majorEastAsia" w:cstheme="majorEastAsia"/>
                <w:sz w:val="24"/>
                <w:lang w:eastAsia="zh-CN"/>
              </w:rPr>
            </w:pPr>
            <w:r>
              <w:rPr>
                <w:rFonts w:hint="eastAsia" w:eastAsiaTheme="majorEastAsia"/>
                <w:sz w:val="24"/>
                <w:lang w:eastAsia="zh-CN"/>
              </w:rPr>
              <w:t>合同签订后30日历天</w:t>
            </w:r>
          </w:p>
        </w:tc>
      </w:tr>
      <w:tr w14:paraId="124B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dxa"/>
            <w:vAlign w:val="center"/>
          </w:tcPr>
          <w:p w14:paraId="38022FD5">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11</w:t>
            </w:r>
          </w:p>
        </w:tc>
        <w:tc>
          <w:tcPr>
            <w:tcW w:w="1907" w:type="dxa"/>
            <w:vAlign w:val="center"/>
          </w:tcPr>
          <w:p w14:paraId="333F2161">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投标文件数量和提交截止时间</w:t>
            </w:r>
          </w:p>
        </w:tc>
        <w:tc>
          <w:tcPr>
            <w:tcW w:w="7014" w:type="dxa"/>
          </w:tcPr>
          <w:p w14:paraId="10F88736">
            <w:pPr>
              <w:topLinePunct/>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电子文件数量:电子投标文件</w:t>
            </w:r>
            <w:r>
              <w:rPr>
                <w:rFonts w:hint="eastAsia" w:asciiTheme="majorEastAsia" w:hAnsiTheme="majorEastAsia" w:eastAsiaTheme="majorEastAsia" w:cstheme="majorEastAsia"/>
                <w:sz w:val="24"/>
                <w:u w:val="single"/>
              </w:rPr>
              <w:t xml:space="preserve"> 壹 </w:t>
            </w:r>
            <w:r>
              <w:rPr>
                <w:rFonts w:hint="eastAsia" w:asciiTheme="majorEastAsia" w:hAnsiTheme="majorEastAsia" w:eastAsiaTheme="majorEastAsia" w:cstheme="majorEastAsia"/>
                <w:sz w:val="24"/>
              </w:rPr>
              <w:t>份，后缀为（*.SXSTF）；</w:t>
            </w:r>
          </w:p>
          <w:p w14:paraId="382C73A7">
            <w:pPr>
              <w:topLinePunct/>
              <w:spacing w:line="360" w:lineRule="auto"/>
              <w:rPr>
                <w:rFonts w:hint="eastAsia" w:asciiTheme="majorEastAsia" w:hAnsiTheme="majorEastAsia" w:eastAsiaTheme="majorEastAsia" w:cstheme="majorEastAsia"/>
                <w:sz w:val="24"/>
                <w:lang w:eastAsia="zh-CN"/>
              </w:rPr>
            </w:pPr>
            <w:r>
              <w:rPr>
                <w:rFonts w:hint="eastAsia" w:asciiTheme="majorEastAsia" w:hAnsiTheme="majorEastAsia" w:eastAsiaTheme="majorEastAsia" w:cstheme="majorEastAsia"/>
                <w:sz w:val="24"/>
              </w:rPr>
              <w:t>提交截止时间: </w:t>
            </w:r>
            <w:r>
              <w:rPr>
                <w:rFonts w:hint="eastAsia" w:asciiTheme="majorEastAsia" w:hAnsiTheme="majorEastAsia" w:eastAsiaTheme="majorEastAsia" w:cstheme="majorEastAsia"/>
                <w:sz w:val="24"/>
                <w:lang w:eastAsia="zh-CN"/>
              </w:rPr>
              <w:t xml:space="preserve"> 2024年12月30日 13时30分</w:t>
            </w:r>
          </w:p>
          <w:p w14:paraId="4AC0C948">
            <w:pPr>
              <w:topLinePunct/>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b/>
                <w:bCs/>
                <w:sz w:val="24"/>
              </w:rPr>
              <w:t>注:</w:t>
            </w:r>
            <w:r>
              <w:rPr>
                <w:rFonts w:hint="eastAsia" w:asciiTheme="majorEastAsia" w:hAnsiTheme="majorEastAsia" w:eastAsiaTheme="majorEastAsia" w:cstheme="majorEastAsia"/>
                <w:sz w:val="24"/>
              </w:rPr>
              <w:t>1.电子投标文件应于投标文件提交截止时间前任意时段登录全国公共资源交易中心平台（陕西省）提交，逾期提交系统将拒绝接收。</w:t>
            </w:r>
          </w:p>
        </w:tc>
      </w:tr>
      <w:tr w14:paraId="23EB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18" w:type="dxa"/>
            <w:vAlign w:val="center"/>
          </w:tcPr>
          <w:p w14:paraId="31516307">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w:t>
            </w:r>
          </w:p>
        </w:tc>
        <w:tc>
          <w:tcPr>
            <w:tcW w:w="1907" w:type="dxa"/>
            <w:vAlign w:val="center"/>
          </w:tcPr>
          <w:p w14:paraId="6F8E3838">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投标文件开启时间和地点</w:t>
            </w:r>
          </w:p>
        </w:tc>
        <w:tc>
          <w:tcPr>
            <w:tcW w:w="7014" w:type="dxa"/>
            <w:vAlign w:val="center"/>
          </w:tcPr>
          <w:p w14:paraId="59D98C27">
            <w:pPr>
              <w:topLinePunct/>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开启时间：</w:t>
            </w:r>
            <w:r>
              <w:rPr>
                <w:rFonts w:hint="eastAsia" w:asciiTheme="majorEastAsia" w:hAnsiTheme="majorEastAsia" w:eastAsiaTheme="majorEastAsia" w:cstheme="majorEastAsia"/>
                <w:sz w:val="24"/>
                <w:lang w:eastAsia="zh-CN"/>
              </w:rPr>
              <w:t xml:space="preserve"> 2024年12月30日 13时30分</w:t>
            </w:r>
            <w:r>
              <w:rPr>
                <w:rFonts w:hint="eastAsia" w:asciiTheme="majorEastAsia" w:hAnsiTheme="majorEastAsia" w:eastAsiaTheme="majorEastAsia" w:cstheme="majorEastAsia"/>
                <w:sz w:val="24"/>
              </w:rPr>
              <w:t>（同投标截止时间）</w:t>
            </w:r>
          </w:p>
          <w:p w14:paraId="6527FC37">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开启地点：登录全国公共资源交易平台（陕西省•榆林市）网站〖首页〉不见面开标〗系统，在线参加开标过程</w:t>
            </w:r>
          </w:p>
        </w:tc>
      </w:tr>
      <w:tr w14:paraId="0487A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18" w:type="dxa"/>
            <w:vAlign w:val="center"/>
          </w:tcPr>
          <w:p w14:paraId="048764EE">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13</w:t>
            </w:r>
          </w:p>
        </w:tc>
        <w:tc>
          <w:tcPr>
            <w:tcW w:w="1907" w:type="dxa"/>
            <w:vAlign w:val="center"/>
          </w:tcPr>
          <w:p w14:paraId="400CEAAB">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投标有效期</w:t>
            </w:r>
          </w:p>
        </w:tc>
        <w:tc>
          <w:tcPr>
            <w:tcW w:w="7014" w:type="dxa"/>
            <w:vAlign w:val="center"/>
          </w:tcPr>
          <w:p w14:paraId="638213B0">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自提交投标文件截止之日起不少于90个日历日</w:t>
            </w:r>
          </w:p>
        </w:tc>
      </w:tr>
      <w:tr w14:paraId="27091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818" w:type="dxa"/>
            <w:vAlign w:val="center"/>
          </w:tcPr>
          <w:p w14:paraId="0102B29B">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14</w:t>
            </w:r>
          </w:p>
        </w:tc>
        <w:tc>
          <w:tcPr>
            <w:tcW w:w="1907" w:type="dxa"/>
            <w:vAlign w:val="center"/>
          </w:tcPr>
          <w:p w14:paraId="62E79FD4">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联合体投标</w:t>
            </w:r>
          </w:p>
        </w:tc>
        <w:tc>
          <w:tcPr>
            <w:tcW w:w="7014" w:type="dxa"/>
            <w:vAlign w:val="center"/>
          </w:tcPr>
          <w:p w14:paraId="5140812B">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b/>
                <w:bCs/>
                <w:sz w:val="24"/>
              </w:rPr>
              <w:sym w:font="Wingdings" w:char="00FE"/>
            </w:r>
            <w:r>
              <w:rPr>
                <w:rFonts w:hint="eastAsia" w:asciiTheme="majorEastAsia" w:hAnsiTheme="majorEastAsia" w:eastAsiaTheme="majorEastAsia" w:cstheme="majorEastAsia"/>
                <w:b/>
                <w:bCs/>
                <w:sz w:val="24"/>
              </w:rPr>
              <w:t xml:space="preserve">不接受   </w:t>
            </w:r>
            <w:r>
              <w:rPr>
                <w:rFonts w:hint="eastAsia" w:asciiTheme="majorEastAsia" w:hAnsiTheme="majorEastAsia" w:eastAsiaTheme="majorEastAsia" w:cstheme="majorEastAsia"/>
                <w:b/>
                <w:bCs/>
                <w:sz w:val="24"/>
              </w:rPr>
              <w:sym w:font="Wingdings" w:char="00A8"/>
            </w:r>
            <w:r>
              <w:rPr>
                <w:rFonts w:hint="eastAsia" w:asciiTheme="majorEastAsia" w:hAnsiTheme="majorEastAsia" w:eastAsiaTheme="majorEastAsia" w:cstheme="majorEastAsia"/>
                <w:b/>
                <w:bCs/>
                <w:sz w:val="24"/>
              </w:rPr>
              <w:t>接受</w:t>
            </w:r>
          </w:p>
        </w:tc>
      </w:tr>
      <w:tr w14:paraId="12ECA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18" w:type="dxa"/>
            <w:vAlign w:val="center"/>
          </w:tcPr>
          <w:p w14:paraId="7B7AF5E8">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15</w:t>
            </w:r>
          </w:p>
        </w:tc>
        <w:tc>
          <w:tcPr>
            <w:tcW w:w="1907" w:type="dxa"/>
            <w:vAlign w:val="center"/>
          </w:tcPr>
          <w:p w14:paraId="73592855">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现场勘查、标前答疑会</w:t>
            </w:r>
          </w:p>
        </w:tc>
        <w:tc>
          <w:tcPr>
            <w:tcW w:w="7014" w:type="dxa"/>
            <w:vAlign w:val="center"/>
          </w:tcPr>
          <w:p w14:paraId="4DA2E616">
            <w:pPr>
              <w:spacing w:line="360" w:lineRule="auto"/>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sym w:font="Wingdings" w:char="00FE"/>
            </w:r>
            <w:r>
              <w:rPr>
                <w:rFonts w:hint="eastAsia" w:asciiTheme="majorEastAsia" w:hAnsiTheme="majorEastAsia" w:eastAsiaTheme="majorEastAsia" w:cstheme="majorEastAsia"/>
                <w:b/>
                <w:bCs/>
                <w:sz w:val="24"/>
              </w:rPr>
              <w:t xml:space="preserve">不组织   </w:t>
            </w:r>
            <w:r>
              <w:rPr>
                <w:rFonts w:hint="eastAsia" w:asciiTheme="majorEastAsia" w:hAnsiTheme="majorEastAsia" w:eastAsiaTheme="majorEastAsia" w:cstheme="majorEastAsia"/>
                <w:b/>
                <w:bCs/>
                <w:sz w:val="24"/>
              </w:rPr>
              <w:sym w:font="Wingdings" w:char="00A8"/>
            </w:r>
            <w:r>
              <w:rPr>
                <w:rFonts w:hint="eastAsia" w:asciiTheme="majorEastAsia" w:hAnsiTheme="majorEastAsia" w:eastAsiaTheme="majorEastAsia" w:cstheme="majorEastAsia"/>
                <w:b/>
                <w:bCs/>
                <w:sz w:val="24"/>
              </w:rPr>
              <w:t>组织</w:t>
            </w:r>
          </w:p>
          <w:p w14:paraId="18D88373">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投标人可自行安排勘察现场，由此产生的费用、不良后果、相关责任均由投标人自行承担。</w:t>
            </w:r>
          </w:p>
        </w:tc>
      </w:tr>
      <w:tr w14:paraId="760E4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818" w:type="dxa"/>
            <w:vAlign w:val="center"/>
          </w:tcPr>
          <w:p w14:paraId="0E71D620">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16</w:t>
            </w:r>
          </w:p>
        </w:tc>
        <w:tc>
          <w:tcPr>
            <w:tcW w:w="1907" w:type="dxa"/>
            <w:vAlign w:val="center"/>
          </w:tcPr>
          <w:p w14:paraId="7116647E">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投标人对招标文件提出质疑的时间</w:t>
            </w:r>
          </w:p>
        </w:tc>
        <w:tc>
          <w:tcPr>
            <w:tcW w:w="7014" w:type="dxa"/>
            <w:vAlign w:val="center"/>
          </w:tcPr>
          <w:p w14:paraId="23BC8430">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投标人已依法获取其可质疑的招标文件的，可以对该文件提出质疑。对招标文件提出质疑的，应当在获取招标文件或者招标文件公告期限届满之日起7个工作日内提出，逾期提出的无效。</w:t>
            </w:r>
          </w:p>
        </w:tc>
      </w:tr>
      <w:tr w14:paraId="5DAC6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dxa"/>
            <w:vAlign w:val="center"/>
          </w:tcPr>
          <w:p w14:paraId="57DBBD40">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17</w:t>
            </w:r>
          </w:p>
        </w:tc>
        <w:tc>
          <w:tcPr>
            <w:tcW w:w="1907" w:type="dxa"/>
            <w:vAlign w:val="center"/>
          </w:tcPr>
          <w:p w14:paraId="0EB12662">
            <w:pPr>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构成招标文件的其他文件</w:t>
            </w:r>
          </w:p>
        </w:tc>
        <w:tc>
          <w:tcPr>
            <w:tcW w:w="7014" w:type="dxa"/>
            <w:vAlign w:val="center"/>
          </w:tcPr>
          <w:p w14:paraId="1FFDAA57">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招标文件的澄清、修改书及有关补充通知均为招标文件的有效组成部分。</w:t>
            </w:r>
          </w:p>
          <w:p w14:paraId="4727B2FA">
            <w:pPr>
              <w:pStyle w:val="23"/>
              <w:spacing w:after="0" w:line="360" w:lineRule="auto"/>
              <w:ind w:firstLine="0"/>
              <w:rPr>
                <w:rFonts w:asciiTheme="majorEastAsia" w:hAnsiTheme="majorEastAsia" w:eastAsiaTheme="majorEastAsia" w:cstheme="majorEastAsia"/>
                <w:sz w:val="24"/>
              </w:rPr>
            </w:pPr>
            <w:r>
              <w:rPr>
                <w:rFonts w:hint="eastAsia" w:asciiTheme="majorEastAsia" w:hAnsiTheme="majorEastAsia" w:eastAsiaTheme="majorEastAsia" w:cstheme="majorEastAsia"/>
                <w:b/>
                <w:bCs/>
                <w:sz w:val="24"/>
              </w:rPr>
              <w:t>注意事项：</w:t>
            </w:r>
            <w:r>
              <w:rPr>
                <w:rFonts w:hint="eastAsia" w:asciiTheme="majorEastAsia" w:hAnsiTheme="majorEastAsia" w:eastAsiaTheme="majorEastAsia" w:cstheme="majorEastAsia"/>
                <w:sz w:val="24"/>
              </w:rPr>
              <w:t>投标人应随时留意可能发布的变更公告，当澄清或修改的内容影响投标文件编制时，将在全国公共资源交易中心平台（陕西省）上同步发布答疑文件，此时投标人应从“项目流程·〉答疑文件下载”下载最新发布的答疑文件后缀为（*.SXSCF），并使用该文件重新编制电子投标文件后缀为（*.SXSTF），使用旧版电子招标文件或旧版答疑文件制作的电子投标文件，系统将拒绝接收。</w:t>
            </w:r>
          </w:p>
        </w:tc>
      </w:tr>
      <w:tr w14:paraId="666B1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18" w:type="dxa"/>
            <w:vAlign w:val="center"/>
          </w:tcPr>
          <w:p w14:paraId="53B124AE">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18</w:t>
            </w:r>
          </w:p>
        </w:tc>
        <w:tc>
          <w:tcPr>
            <w:tcW w:w="1907" w:type="dxa"/>
            <w:vAlign w:val="center"/>
          </w:tcPr>
          <w:p w14:paraId="2595B181">
            <w:pPr>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投标保证金 </w:t>
            </w:r>
          </w:p>
        </w:tc>
        <w:tc>
          <w:tcPr>
            <w:tcW w:w="7014" w:type="dxa"/>
            <w:vAlign w:val="center"/>
          </w:tcPr>
          <w:p w14:paraId="4FE83941">
            <w:pPr>
              <w:pStyle w:val="23"/>
              <w:spacing w:after="0" w:line="360" w:lineRule="auto"/>
              <w:ind w:firstLine="0"/>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采用“投标信用承诺书”代替投标保证金。</w:t>
            </w:r>
          </w:p>
          <w:p w14:paraId="571B215E">
            <w:pPr>
              <w:pStyle w:val="23"/>
              <w:spacing w:after="0" w:line="360" w:lineRule="auto"/>
              <w:ind w:firstLine="0"/>
              <w:rPr>
                <w:rFonts w:asciiTheme="majorEastAsia" w:hAnsiTheme="majorEastAsia" w:eastAsiaTheme="majorEastAsia" w:cstheme="majorEastAsia"/>
                <w:sz w:val="24"/>
              </w:rPr>
            </w:pPr>
            <w:r>
              <w:rPr>
                <w:rFonts w:hint="eastAsia" w:asciiTheme="majorEastAsia" w:hAnsiTheme="majorEastAsia" w:eastAsiaTheme="majorEastAsia" w:cstheme="majorEastAsia"/>
                <w:b/>
                <w:bCs/>
                <w:sz w:val="24"/>
              </w:rPr>
              <w:t>注：</w:t>
            </w:r>
            <w:r>
              <w:rPr>
                <w:rFonts w:hint="eastAsia" w:asciiTheme="majorEastAsia" w:hAnsiTheme="majorEastAsia" w:eastAsiaTheme="majorEastAsia" w:cstheme="majorEastAsia"/>
                <w:sz w:val="24"/>
              </w:rPr>
              <w:t>需在网上提交《投标信用承诺》，并将《投标信用承诺》及网上已上报后的网页截图附在投标文件中。（承诺书格式详见第七章《投标文件构成及格式》，自主上报信用承诺具体要求详见投标人须知前附表26）</w:t>
            </w:r>
          </w:p>
        </w:tc>
      </w:tr>
      <w:tr w14:paraId="2779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8" w:type="dxa"/>
            <w:vAlign w:val="center"/>
          </w:tcPr>
          <w:p w14:paraId="33AE3884">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19</w:t>
            </w:r>
          </w:p>
        </w:tc>
        <w:tc>
          <w:tcPr>
            <w:tcW w:w="1907" w:type="dxa"/>
            <w:vAlign w:val="center"/>
          </w:tcPr>
          <w:p w14:paraId="754A2AA9">
            <w:pPr>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是否允许递交备选投标方案</w:t>
            </w:r>
          </w:p>
        </w:tc>
        <w:tc>
          <w:tcPr>
            <w:tcW w:w="7014" w:type="dxa"/>
            <w:vAlign w:val="center"/>
          </w:tcPr>
          <w:p w14:paraId="4076F1F9">
            <w:pPr>
              <w:tabs>
                <w:tab w:val="left" w:pos="7013"/>
              </w:tabs>
              <w:spacing w:line="360" w:lineRule="auto"/>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sym w:font="Wingdings" w:char="00FE"/>
            </w:r>
            <w:r>
              <w:rPr>
                <w:rFonts w:hint="eastAsia" w:asciiTheme="majorEastAsia" w:hAnsiTheme="majorEastAsia" w:eastAsiaTheme="majorEastAsia" w:cstheme="majorEastAsia"/>
                <w:b/>
                <w:bCs/>
                <w:sz w:val="24"/>
              </w:rPr>
              <w:t xml:space="preserve">不接受   </w:t>
            </w:r>
            <w:r>
              <w:rPr>
                <w:rFonts w:hint="eastAsia" w:asciiTheme="majorEastAsia" w:hAnsiTheme="majorEastAsia" w:eastAsiaTheme="majorEastAsia" w:cstheme="majorEastAsia"/>
                <w:b/>
                <w:bCs/>
                <w:sz w:val="24"/>
              </w:rPr>
              <w:sym w:font="Wingdings" w:char="00A8"/>
            </w:r>
            <w:r>
              <w:rPr>
                <w:rFonts w:hint="eastAsia" w:asciiTheme="majorEastAsia" w:hAnsiTheme="majorEastAsia" w:eastAsiaTheme="majorEastAsia" w:cstheme="majorEastAsia"/>
                <w:b/>
                <w:bCs/>
                <w:sz w:val="24"/>
              </w:rPr>
              <w:t>接受</w:t>
            </w:r>
          </w:p>
          <w:p w14:paraId="19CBE6EA">
            <w:pPr>
              <w:tabs>
                <w:tab w:val="left" w:pos="7013"/>
              </w:tabs>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不接受备选投标方案和投标文件中出现多个报价。</w:t>
            </w:r>
          </w:p>
        </w:tc>
      </w:tr>
      <w:tr w14:paraId="718D1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818" w:type="dxa"/>
            <w:vAlign w:val="center"/>
          </w:tcPr>
          <w:p w14:paraId="0D151CEF">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20</w:t>
            </w:r>
          </w:p>
        </w:tc>
        <w:tc>
          <w:tcPr>
            <w:tcW w:w="1907" w:type="dxa"/>
            <w:vAlign w:val="center"/>
          </w:tcPr>
          <w:p w14:paraId="4D2FAD6A">
            <w:pPr>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电子投标文件签字和盖章要求</w:t>
            </w:r>
          </w:p>
        </w:tc>
        <w:tc>
          <w:tcPr>
            <w:tcW w:w="7014" w:type="dxa"/>
            <w:vAlign w:val="center"/>
          </w:tcPr>
          <w:p w14:paraId="22B7E04C">
            <w:pPr>
              <w:tabs>
                <w:tab w:val="left" w:pos="7013"/>
              </w:tabs>
              <w:spacing w:line="360" w:lineRule="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后缀为“*.SXSTF”格式的电子投标文件须逐页进行电子签章，法定代表人或其委托代理人签字和盖章以所发布的投标</w:t>
            </w:r>
            <w:r>
              <w:rPr>
                <w:rFonts w:hint="eastAsia" w:asciiTheme="majorEastAsia" w:hAnsiTheme="majorEastAsia" w:eastAsiaTheme="majorEastAsia" w:cstheme="majorEastAsia"/>
                <w:sz w:val="24"/>
              </w:rPr>
              <w:t>文件构成及格式</w:t>
            </w:r>
            <w:r>
              <w:rPr>
                <w:rFonts w:hint="eastAsia" w:asciiTheme="majorEastAsia" w:hAnsiTheme="majorEastAsia" w:eastAsiaTheme="majorEastAsia" w:cstheme="majorEastAsia"/>
                <w:bCs/>
                <w:sz w:val="24"/>
              </w:rPr>
              <w:t>为准，签章是指签字和盖章，即在当事人的签字上加盖印章。</w:t>
            </w:r>
          </w:p>
          <w:p w14:paraId="629F25B1">
            <w:pPr>
              <w:tabs>
                <w:tab w:val="left" w:pos="7013"/>
              </w:tabs>
              <w:spacing w:line="360" w:lineRule="auto"/>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注：</w:t>
            </w:r>
            <w:r>
              <w:rPr>
                <w:rFonts w:hint="eastAsia" w:asciiTheme="majorEastAsia" w:hAnsiTheme="majorEastAsia" w:eastAsiaTheme="majorEastAsia" w:cstheme="majorEastAsia"/>
                <w:bCs/>
                <w:sz w:val="24"/>
              </w:rPr>
              <w:t>未作格式要求的除外，擅自修改签字盖章指定格式将否决投标。</w:t>
            </w:r>
          </w:p>
        </w:tc>
      </w:tr>
      <w:tr w14:paraId="20D8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jc w:val="center"/>
        </w:trPr>
        <w:tc>
          <w:tcPr>
            <w:tcW w:w="818" w:type="dxa"/>
            <w:vAlign w:val="center"/>
          </w:tcPr>
          <w:p w14:paraId="1C02C49A">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21</w:t>
            </w:r>
          </w:p>
        </w:tc>
        <w:tc>
          <w:tcPr>
            <w:tcW w:w="1907" w:type="dxa"/>
            <w:vAlign w:val="center"/>
          </w:tcPr>
          <w:p w14:paraId="7CE8DE66">
            <w:pPr>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投标报价</w:t>
            </w:r>
          </w:p>
        </w:tc>
        <w:tc>
          <w:tcPr>
            <w:tcW w:w="7014" w:type="dxa"/>
            <w:vAlign w:val="center"/>
          </w:tcPr>
          <w:p w14:paraId="55115B95">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报价是投标人响应采购项目要求的全部工作内容的价格体现，包括完成采购项目所需的直接费、间接费、利润、税金及其它相关的一切费用。投标人在报价时应充分考虑所有可能发生的费用，招标文件未列明，而投标人认为应当计取的费用均应列入报价中。报价时不论是否计取，采购人均按已计取对待。</w:t>
            </w:r>
          </w:p>
          <w:p w14:paraId="66DCA413">
            <w:pPr>
              <w:spacing w:line="360" w:lineRule="auto"/>
              <w:ind w:firstLine="240" w:firstLineChars="1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1.投标人应严格按照第</w:t>
            </w:r>
            <w:r>
              <w:rPr>
                <w:rFonts w:hint="eastAsia" w:asciiTheme="majorEastAsia" w:hAnsiTheme="majorEastAsia" w:eastAsiaTheme="majorEastAsia" w:cstheme="majorEastAsia"/>
                <w:sz w:val="24"/>
                <w:lang w:val="en-US" w:eastAsia="zh-CN"/>
              </w:rPr>
              <w:t>七</w:t>
            </w:r>
            <w:r>
              <w:rPr>
                <w:rFonts w:hint="eastAsia" w:asciiTheme="majorEastAsia" w:hAnsiTheme="majorEastAsia" w:eastAsiaTheme="majorEastAsia" w:cstheme="majorEastAsia"/>
                <w:sz w:val="24"/>
              </w:rPr>
              <w:t>章《投标文件构成及格式》中《开标一览表》中的相关要求填写分类报价及其他需要响应的内容。</w:t>
            </w:r>
          </w:p>
          <w:p w14:paraId="63934BC0">
            <w:pPr>
              <w:spacing w:line="360" w:lineRule="auto"/>
              <w:ind w:firstLine="240" w:firstLineChars="1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2.投标报价货币：人民币；单位：元。</w:t>
            </w:r>
          </w:p>
          <w:p w14:paraId="247A2301">
            <w:pPr>
              <w:spacing w:line="360" w:lineRule="auto"/>
              <w:ind w:firstLine="240" w:firstLineChars="1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3.投标报价只能提交唯一报价，并且在合同履行过程中是固定不变的，任何有选择的报价将不予接受，按无效投标处理。</w:t>
            </w:r>
          </w:p>
          <w:p w14:paraId="5717D309">
            <w:pPr>
              <w:spacing w:line="360" w:lineRule="auto"/>
              <w:ind w:firstLine="240" w:firstLineChars="1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4.投标报价应遵守《中华人民共和国价格法》，投标人不得以低于成本的报价参与投标。</w:t>
            </w:r>
          </w:p>
        </w:tc>
      </w:tr>
      <w:tr w14:paraId="2D1BB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18" w:type="dxa"/>
            <w:vAlign w:val="center"/>
          </w:tcPr>
          <w:p w14:paraId="46DF922C">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22</w:t>
            </w:r>
          </w:p>
        </w:tc>
        <w:tc>
          <w:tcPr>
            <w:tcW w:w="1907" w:type="dxa"/>
            <w:vAlign w:val="center"/>
          </w:tcPr>
          <w:p w14:paraId="72EB643E">
            <w:pPr>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最高限价</w:t>
            </w:r>
          </w:p>
        </w:tc>
        <w:tc>
          <w:tcPr>
            <w:tcW w:w="7014" w:type="dxa"/>
            <w:vAlign w:val="center"/>
          </w:tcPr>
          <w:p w14:paraId="5C34ACF8">
            <w:pPr>
              <w:spacing w:line="360" w:lineRule="auto"/>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sym w:font="Wingdings" w:char="00A8"/>
            </w:r>
            <w:r>
              <w:rPr>
                <w:rFonts w:hint="eastAsia" w:asciiTheme="majorEastAsia" w:hAnsiTheme="majorEastAsia" w:eastAsiaTheme="majorEastAsia" w:cstheme="majorEastAsia"/>
                <w:b/>
                <w:bCs/>
                <w:sz w:val="24"/>
              </w:rPr>
              <w:t xml:space="preserve">无  </w:t>
            </w:r>
            <w:r>
              <w:rPr>
                <w:rFonts w:hint="eastAsia" w:asciiTheme="majorEastAsia" w:hAnsiTheme="majorEastAsia" w:eastAsiaTheme="majorEastAsia" w:cstheme="majorEastAsia"/>
                <w:b/>
                <w:bCs/>
                <w:sz w:val="24"/>
              </w:rPr>
              <w:sym w:font="Wingdings" w:char="00FE"/>
            </w:r>
            <w:r>
              <w:rPr>
                <w:rFonts w:hint="eastAsia" w:asciiTheme="majorEastAsia" w:hAnsiTheme="majorEastAsia" w:eastAsiaTheme="majorEastAsia" w:cstheme="majorEastAsia"/>
                <w:b/>
                <w:bCs/>
                <w:sz w:val="24"/>
              </w:rPr>
              <w:t>有</w:t>
            </w:r>
          </w:p>
          <w:p w14:paraId="166667D6">
            <w:pPr>
              <w:spacing w:line="360" w:lineRule="auto"/>
              <w:rPr>
                <w:rFonts w:asciiTheme="majorEastAsia" w:hAnsiTheme="majorEastAsia" w:eastAsiaTheme="majorEastAsia" w:cstheme="majorEastAsia"/>
                <w:sz w:val="24"/>
              </w:rPr>
            </w:pPr>
            <w:bookmarkStart w:id="26" w:name="6449-1520584968142"/>
            <w:bookmarkEnd w:id="26"/>
            <w:r>
              <w:rPr>
                <w:rFonts w:hint="eastAsia" w:asciiTheme="majorEastAsia" w:hAnsiTheme="majorEastAsia" w:eastAsiaTheme="majorEastAsia" w:cstheme="majorEastAsia"/>
                <w:sz w:val="24"/>
              </w:rPr>
              <w:t>最高限价为：</w:t>
            </w:r>
            <w:r>
              <w:rPr>
                <w:rFonts w:hint="eastAsia" w:asciiTheme="majorEastAsia" w:hAnsiTheme="majorEastAsia" w:eastAsiaTheme="majorEastAsia" w:cstheme="majorEastAsia"/>
                <w:sz w:val="24"/>
                <w:lang w:val="en-US" w:eastAsia="zh-CN"/>
              </w:rPr>
              <w:t>玖拾捌万捌仟捌佰捌拾伍元整</w:t>
            </w: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sz w:val="24"/>
                <w:lang w:eastAsia="zh-CN"/>
              </w:rPr>
              <w:t>988,885.00</w:t>
            </w:r>
            <w:r>
              <w:rPr>
                <w:rFonts w:hint="eastAsia" w:asciiTheme="majorEastAsia" w:hAnsiTheme="majorEastAsia" w:eastAsiaTheme="majorEastAsia" w:cstheme="majorEastAsia"/>
                <w:sz w:val="24"/>
              </w:rPr>
              <w:t>元）</w:t>
            </w:r>
          </w:p>
          <w:p w14:paraId="1935BE13">
            <w:pPr>
              <w:spacing w:line="360" w:lineRule="auto"/>
              <w:rPr>
                <w:rFonts w:asciiTheme="majorEastAsia" w:hAnsiTheme="majorEastAsia" w:eastAsiaTheme="majorEastAsia" w:cstheme="majorEastAsia"/>
                <w:b/>
                <w:sz w:val="24"/>
              </w:rPr>
            </w:pPr>
            <w:r>
              <w:rPr>
                <w:rFonts w:hint="eastAsia" w:asciiTheme="majorEastAsia" w:hAnsiTheme="majorEastAsia" w:eastAsiaTheme="majorEastAsia" w:cstheme="majorEastAsia"/>
                <w:b/>
                <w:bCs/>
                <w:sz w:val="24"/>
              </w:rPr>
              <w:t>注：</w:t>
            </w:r>
            <w:r>
              <w:rPr>
                <w:rFonts w:hint="eastAsia" w:asciiTheme="majorEastAsia" w:hAnsiTheme="majorEastAsia" w:eastAsiaTheme="majorEastAsia" w:cstheme="majorEastAsia"/>
                <w:sz w:val="24"/>
              </w:rPr>
              <w:t>投标人的投标总报价高于最高限价者将被否决投标。</w:t>
            </w:r>
          </w:p>
        </w:tc>
      </w:tr>
      <w:tr w14:paraId="00AA3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818" w:type="dxa"/>
            <w:vAlign w:val="center"/>
          </w:tcPr>
          <w:p w14:paraId="01125188">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23</w:t>
            </w:r>
          </w:p>
        </w:tc>
        <w:tc>
          <w:tcPr>
            <w:tcW w:w="1907" w:type="dxa"/>
            <w:vAlign w:val="center"/>
          </w:tcPr>
          <w:p w14:paraId="48EC083D">
            <w:pPr>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评审办法及标准</w:t>
            </w:r>
          </w:p>
        </w:tc>
        <w:tc>
          <w:tcPr>
            <w:tcW w:w="7014" w:type="dxa"/>
            <w:vAlign w:val="center"/>
          </w:tcPr>
          <w:p w14:paraId="5733B3E1">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采用综合评分法；综合评分法，是指投标文件满足招标文件全部实质性要求，且按照评审因素的量化指标评审得分最高的投标人为中标候选人的评标方法。评审方法、评审标准、评审因素等内容详见招标文件第三章评审办法及标准。</w:t>
            </w:r>
          </w:p>
        </w:tc>
      </w:tr>
      <w:tr w14:paraId="7C80C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818" w:type="dxa"/>
            <w:vAlign w:val="center"/>
          </w:tcPr>
          <w:p w14:paraId="7E2D717D">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24</w:t>
            </w:r>
          </w:p>
        </w:tc>
        <w:tc>
          <w:tcPr>
            <w:tcW w:w="1907" w:type="dxa"/>
            <w:vAlign w:val="center"/>
          </w:tcPr>
          <w:p w14:paraId="64346983">
            <w:pPr>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其它事项</w:t>
            </w:r>
          </w:p>
        </w:tc>
        <w:tc>
          <w:tcPr>
            <w:tcW w:w="7014" w:type="dxa"/>
            <w:vAlign w:val="center"/>
          </w:tcPr>
          <w:p w14:paraId="31DF666C">
            <w:pPr>
              <w:pStyle w:val="106"/>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次采购项目、投标报价、评审和合同授予均以项目为单位，投标人必须就一个完整项目进行响应。中标人与采购人在成交通知书发出10日内签订合同，不及时签订视为自动放弃。非经采购人同意，本项目不允许中标后另行转包或者分包。中标人无正当理由不得放弃中标。因自身原因拒绝签订政府采购合同的或者未按合同约定进行履约的中标人不得参加对该项目重新开展的采购活动。</w:t>
            </w:r>
          </w:p>
        </w:tc>
      </w:tr>
      <w:tr w14:paraId="4DC84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18" w:type="dxa"/>
            <w:vAlign w:val="center"/>
          </w:tcPr>
          <w:p w14:paraId="0A11F540">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25</w:t>
            </w:r>
          </w:p>
        </w:tc>
        <w:tc>
          <w:tcPr>
            <w:tcW w:w="1907" w:type="dxa"/>
            <w:vAlign w:val="center"/>
          </w:tcPr>
          <w:p w14:paraId="3B6C4FC6">
            <w:pPr>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招标代理服务费</w:t>
            </w:r>
          </w:p>
        </w:tc>
        <w:tc>
          <w:tcPr>
            <w:tcW w:w="7014" w:type="dxa"/>
            <w:vAlign w:val="center"/>
          </w:tcPr>
          <w:p w14:paraId="4EF02929">
            <w:pPr>
              <w:numPr>
                <w:ilvl w:val="0"/>
                <w:numId w:val="0"/>
              </w:numPr>
              <w:spacing w:line="360" w:lineRule="auto"/>
              <w:ind w:firstLine="472" w:firstLineChars="200"/>
              <w:rPr>
                <w:rFonts w:hint="eastAsia"/>
                <w:spacing w:val="-2"/>
                <w:sz w:val="24"/>
                <w:szCs w:val="24"/>
                <w:lang w:val="en-US" w:eastAsia="zh-CN"/>
              </w:rPr>
            </w:pPr>
            <w:r>
              <w:rPr>
                <w:spacing w:val="-2"/>
                <w:sz w:val="24"/>
                <w:szCs w:val="24"/>
              </w:rPr>
              <w:t>参考国家计委</w:t>
            </w:r>
            <w:r>
              <w:rPr>
                <w:spacing w:val="-46"/>
                <w:sz w:val="24"/>
                <w:szCs w:val="24"/>
              </w:rPr>
              <w:t xml:space="preserve"> </w:t>
            </w:r>
            <w:r>
              <w:rPr>
                <w:rFonts w:ascii="Times New Roman" w:hAnsi="Times New Roman" w:eastAsia="Times New Roman" w:cs="Times New Roman"/>
                <w:spacing w:val="-2"/>
                <w:sz w:val="24"/>
                <w:szCs w:val="24"/>
              </w:rPr>
              <w:t xml:space="preserve">2002 </w:t>
            </w:r>
            <w:r>
              <w:rPr>
                <w:spacing w:val="-2"/>
                <w:sz w:val="24"/>
                <w:szCs w:val="24"/>
              </w:rPr>
              <w:t>年颁发的《招标代理服务收费管理暂行办法》</w:t>
            </w:r>
            <w:r>
              <w:rPr>
                <w:rFonts w:ascii="Times New Roman" w:hAnsi="Times New Roman" w:eastAsia="Times New Roman" w:cs="Times New Roman"/>
                <w:spacing w:val="-2"/>
                <w:sz w:val="24"/>
                <w:szCs w:val="24"/>
              </w:rPr>
              <w:t>(</w:t>
            </w:r>
            <w:r>
              <w:rPr>
                <w:spacing w:val="-2"/>
                <w:sz w:val="24"/>
                <w:szCs w:val="24"/>
              </w:rPr>
              <w:t>计</w:t>
            </w:r>
            <w:r>
              <w:rPr>
                <w:spacing w:val="-3"/>
                <w:sz w:val="24"/>
                <w:szCs w:val="24"/>
              </w:rPr>
              <w:t>价格〔</w:t>
            </w:r>
            <w:r>
              <w:rPr>
                <w:rFonts w:ascii="Times New Roman" w:hAnsi="Times New Roman" w:eastAsia="Times New Roman" w:cs="Times New Roman"/>
                <w:spacing w:val="-3"/>
                <w:sz w:val="24"/>
                <w:szCs w:val="24"/>
              </w:rPr>
              <w:t>2002</w:t>
            </w:r>
            <w:r>
              <w:rPr>
                <w:spacing w:val="-3"/>
                <w:sz w:val="24"/>
                <w:szCs w:val="24"/>
              </w:rPr>
              <w:t>〕</w:t>
            </w:r>
            <w:r>
              <w:rPr>
                <w:rFonts w:ascii="Times New Roman" w:hAnsi="Times New Roman" w:eastAsia="Times New Roman" w:cs="Times New Roman"/>
                <w:spacing w:val="-3"/>
                <w:sz w:val="24"/>
                <w:szCs w:val="24"/>
              </w:rPr>
              <w:t>1980</w:t>
            </w:r>
            <w:r>
              <w:rPr>
                <w:spacing w:val="-3"/>
                <w:sz w:val="24"/>
                <w:szCs w:val="24"/>
              </w:rPr>
              <w:t>号</w:t>
            </w:r>
            <w:r>
              <w:rPr>
                <w:rFonts w:ascii="Times New Roman" w:hAnsi="Times New Roman" w:eastAsia="Times New Roman" w:cs="Times New Roman"/>
                <w:spacing w:val="-3"/>
                <w:sz w:val="24"/>
                <w:szCs w:val="24"/>
              </w:rPr>
              <w:t>)</w:t>
            </w:r>
            <w:r>
              <w:rPr>
                <w:rFonts w:ascii="Times New Roman" w:hAnsi="Times New Roman" w:eastAsia="Times New Roman" w:cs="Times New Roman"/>
                <w:spacing w:val="-32"/>
                <w:sz w:val="24"/>
                <w:szCs w:val="24"/>
              </w:rPr>
              <w:t xml:space="preserve"> </w:t>
            </w:r>
            <w:r>
              <w:rPr>
                <w:spacing w:val="-3"/>
                <w:sz w:val="24"/>
                <w:szCs w:val="24"/>
              </w:rPr>
              <w:t>、国家发展改革委员会办公厅颁发的《关于招标</w:t>
            </w:r>
            <w:r>
              <w:rPr>
                <w:spacing w:val="-10"/>
                <w:sz w:val="24"/>
                <w:szCs w:val="24"/>
              </w:rPr>
              <w:t>代理服务费收费有关问题的通知》（发改办价格〔</w:t>
            </w:r>
            <w:r>
              <w:rPr>
                <w:rFonts w:ascii="Times New Roman" w:hAnsi="Times New Roman" w:eastAsia="Times New Roman" w:cs="Times New Roman"/>
                <w:spacing w:val="-10"/>
                <w:sz w:val="24"/>
                <w:szCs w:val="24"/>
              </w:rPr>
              <w:t>2003</w:t>
            </w:r>
            <w:r>
              <w:rPr>
                <w:spacing w:val="-10"/>
                <w:sz w:val="24"/>
                <w:szCs w:val="24"/>
              </w:rPr>
              <w:t>〕</w:t>
            </w:r>
            <w:r>
              <w:rPr>
                <w:rFonts w:ascii="Times New Roman" w:hAnsi="Times New Roman" w:eastAsia="Times New Roman" w:cs="Times New Roman"/>
                <w:spacing w:val="-10"/>
                <w:sz w:val="24"/>
                <w:szCs w:val="24"/>
              </w:rPr>
              <w:t>857</w:t>
            </w:r>
            <w:r>
              <w:rPr>
                <w:spacing w:val="-10"/>
                <w:sz w:val="24"/>
                <w:szCs w:val="24"/>
              </w:rPr>
              <w:t>号）及《调</w:t>
            </w:r>
            <w:r>
              <w:rPr>
                <w:spacing w:val="-4"/>
                <w:sz w:val="24"/>
                <w:szCs w:val="24"/>
              </w:rPr>
              <w:t>整后的招标代理服务收费标准》</w:t>
            </w:r>
            <w:r>
              <w:rPr>
                <w:rFonts w:ascii="Times New Roman" w:hAnsi="Times New Roman" w:eastAsia="Times New Roman" w:cs="Times New Roman"/>
                <w:spacing w:val="-4"/>
                <w:sz w:val="24"/>
                <w:szCs w:val="24"/>
              </w:rPr>
              <w:t>(</w:t>
            </w:r>
            <w:r>
              <w:rPr>
                <w:rFonts w:hint="eastAsia"/>
                <w:spacing w:val="-2"/>
                <w:sz w:val="24"/>
                <w:szCs w:val="24"/>
                <w:lang w:val="en-US" w:eastAsia="zh-CN"/>
              </w:rPr>
              <w:t>发改价格〔2011〕534 号)规定</w:t>
            </w:r>
            <w:r>
              <w:rPr>
                <w:rFonts w:hint="eastAsia" w:asciiTheme="majorEastAsia" w:hAnsiTheme="majorEastAsia" w:eastAsiaTheme="majorEastAsia" w:cstheme="majorEastAsia"/>
                <w:sz w:val="24"/>
                <w:szCs w:val="24"/>
              </w:rPr>
              <w:t>由</w:t>
            </w:r>
            <w:r>
              <w:rPr>
                <w:rFonts w:hint="eastAsia" w:asciiTheme="majorEastAsia" w:hAnsiTheme="majorEastAsia" w:eastAsiaTheme="majorEastAsia" w:cstheme="majorEastAsia"/>
                <w:sz w:val="24"/>
                <w:szCs w:val="24"/>
                <w:u w:val="single"/>
                <w:lang w:val="en-US" w:eastAsia="zh-CN"/>
              </w:rPr>
              <w:t xml:space="preserve"> 中标单位 </w:t>
            </w:r>
            <w:r>
              <w:rPr>
                <w:rFonts w:hint="eastAsia" w:asciiTheme="majorEastAsia" w:hAnsiTheme="majorEastAsia" w:eastAsiaTheme="majorEastAsia" w:cstheme="majorEastAsia"/>
                <w:sz w:val="24"/>
                <w:szCs w:val="24"/>
              </w:rPr>
              <w:t>一次性支付给</w:t>
            </w:r>
            <w:r>
              <w:rPr>
                <w:rFonts w:hint="eastAsia" w:asciiTheme="majorEastAsia" w:hAnsiTheme="majorEastAsia" w:eastAsiaTheme="majorEastAsia" w:cstheme="majorEastAsia"/>
                <w:sz w:val="24"/>
                <w:szCs w:val="24"/>
                <w:u w:val="single"/>
              </w:rPr>
              <w:t>陕西华旭晟信项目管理有限责任公司</w:t>
            </w:r>
            <w:r>
              <w:rPr>
                <w:rFonts w:hint="eastAsia"/>
                <w:spacing w:val="-2"/>
                <w:sz w:val="24"/>
                <w:szCs w:val="24"/>
                <w:lang w:val="en-US" w:eastAsia="zh-CN"/>
              </w:rPr>
              <w:t>。</w:t>
            </w:r>
            <w:bookmarkStart w:id="285" w:name="_GoBack"/>
            <w:bookmarkEnd w:id="285"/>
          </w:p>
          <w:p w14:paraId="5F9FCB8F">
            <w:pPr>
              <w:pStyle w:val="114"/>
              <w:spacing w:before="40" w:line="350" w:lineRule="auto"/>
              <w:ind w:right="108" w:firstLine="472" w:firstLineChars="200"/>
              <w:jc w:val="both"/>
              <w:rPr>
                <w:rFonts w:hint="eastAsia"/>
                <w:spacing w:val="-2"/>
                <w:lang w:val="en-US" w:eastAsia="zh-CN"/>
              </w:rPr>
            </w:pPr>
            <w:r>
              <w:rPr>
                <w:rFonts w:hint="eastAsia"/>
                <w:spacing w:val="-2"/>
                <w:sz w:val="24"/>
                <w:szCs w:val="24"/>
                <w:lang w:val="en-US" w:eastAsia="zh-CN"/>
              </w:rPr>
              <w:t>采购代理服务费按差额定率累进法计算：</w:t>
            </w:r>
          </w:p>
          <w:tbl>
            <w:tblPr>
              <w:tblStyle w:val="25"/>
              <w:tblW w:w="6579" w:type="dxa"/>
              <w:jc w:val="center"/>
              <w:tblBorders>
                <w:top w:val="single" w:color="DFDFDF" w:sz="6" w:space="0"/>
                <w:left w:val="single" w:color="DFDFDF" w:sz="6" w:space="0"/>
                <w:bottom w:val="single" w:color="DFDFDF" w:sz="6" w:space="0"/>
                <w:right w:val="single" w:color="DFDFDF"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753"/>
              <w:gridCol w:w="1651"/>
              <w:gridCol w:w="1669"/>
              <w:gridCol w:w="1506"/>
            </w:tblGrid>
            <w:tr w14:paraId="3A9CBC26">
              <w:tblPrEx>
                <w:tblBorders>
                  <w:top w:val="single" w:color="DFDFDF" w:sz="6" w:space="0"/>
                  <w:left w:val="single" w:color="DFDFDF" w:sz="6" w:space="0"/>
                  <w:bottom w:val="single" w:color="DFDFDF" w:sz="6" w:space="0"/>
                  <w:right w:val="single" w:color="DFDFDF" w:sz="6" w:space="0"/>
                  <w:insideH w:val="none" w:color="auto" w:sz="0" w:space="0"/>
                  <w:insideV w:val="none" w:color="auto" w:sz="0" w:space="0"/>
                </w:tblBorders>
                <w:tblCellMar>
                  <w:top w:w="0" w:type="dxa"/>
                  <w:left w:w="0" w:type="dxa"/>
                  <w:bottom w:w="0" w:type="dxa"/>
                  <w:right w:w="0" w:type="dxa"/>
                </w:tblCellMar>
              </w:tblPrEx>
              <w:trPr>
                <w:trHeight w:val="509" w:hRule="atLeast"/>
                <w:jc w:val="center"/>
              </w:trPr>
              <w:tc>
                <w:tcPr>
                  <w:tcW w:w="1753"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3C80F134">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color w:val="333333"/>
                    </w:rPr>
                  </w:pPr>
                  <w:r>
                    <w:rPr>
                      <w:rStyle w:val="28"/>
                      <w:rFonts w:hint="default" w:ascii="Arial" w:hAnsi="Arial" w:cs="Arial"/>
                      <w:b/>
                      <w:i w:val="0"/>
                      <w:caps w:val="0"/>
                      <w:color w:val="333333"/>
                      <w:spacing w:val="0"/>
                      <w:sz w:val="18"/>
                      <w:szCs w:val="18"/>
                    </w:rPr>
                    <w:t>服费务类率型</w:t>
                  </w:r>
                </w:p>
                <w:p w14:paraId="0A0B6556">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color w:val="333333"/>
                    </w:rPr>
                  </w:pPr>
                  <w:r>
                    <w:rPr>
                      <w:rStyle w:val="28"/>
                      <w:rFonts w:hint="default" w:ascii="Arial" w:hAnsi="Arial" w:cs="Arial"/>
                      <w:b/>
                      <w:i w:val="0"/>
                      <w:caps w:val="0"/>
                      <w:color w:val="333333"/>
                      <w:spacing w:val="0"/>
                      <w:sz w:val="18"/>
                      <w:szCs w:val="18"/>
                    </w:rPr>
                    <w:t>中标金额(万元)</w:t>
                  </w:r>
                </w:p>
              </w:tc>
              <w:tc>
                <w:tcPr>
                  <w:tcW w:w="1651"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0B6EB419">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color w:val="333333"/>
                    </w:rPr>
                  </w:pPr>
                  <w:r>
                    <w:rPr>
                      <w:rStyle w:val="28"/>
                      <w:rFonts w:hint="default" w:ascii="Arial" w:hAnsi="Arial" w:cs="Arial"/>
                      <w:b/>
                      <w:i w:val="0"/>
                      <w:caps w:val="0"/>
                      <w:color w:val="333333"/>
                      <w:spacing w:val="0"/>
                      <w:sz w:val="18"/>
                      <w:szCs w:val="18"/>
                    </w:rPr>
                    <w:t>货物招标</w:t>
                  </w:r>
                </w:p>
              </w:tc>
              <w:tc>
                <w:tcPr>
                  <w:tcW w:w="1669"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6A1DAEE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color w:val="333333"/>
                    </w:rPr>
                  </w:pPr>
                  <w:r>
                    <w:rPr>
                      <w:rStyle w:val="28"/>
                      <w:rFonts w:hint="default" w:ascii="Arial" w:hAnsi="Arial" w:cs="Arial"/>
                      <w:b/>
                      <w:i w:val="0"/>
                      <w:caps w:val="0"/>
                      <w:color w:val="333333"/>
                      <w:spacing w:val="0"/>
                      <w:sz w:val="18"/>
                      <w:szCs w:val="18"/>
                    </w:rPr>
                    <w:t>服务招标</w:t>
                  </w:r>
                </w:p>
              </w:tc>
              <w:tc>
                <w:tcPr>
                  <w:tcW w:w="1506"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1230BCC5">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color w:val="333333"/>
                    </w:rPr>
                  </w:pPr>
                  <w:r>
                    <w:rPr>
                      <w:rStyle w:val="28"/>
                      <w:rFonts w:hint="default" w:ascii="Arial" w:hAnsi="Arial" w:cs="Arial"/>
                      <w:b/>
                      <w:i w:val="0"/>
                      <w:caps w:val="0"/>
                      <w:color w:val="333333"/>
                      <w:spacing w:val="0"/>
                      <w:sz w:val="18"/>
                      <w:szCs w:val="18"/>
                    </w:rPr>
                    <w:t>工程招标</w:t>
                  </w:r>
                </w:p>
              </w:tc>
            </w:tr>
            <w:tr w14:paraId="4821466C">
              <w:tblPrEx>
                <w:tblBorders>
                  <w:top w:val="single" w:color="DFDFDF" w:sz="6" w:space="0"/>
                  <w:left w:val="single" w:color="DFDFDF" w:sz="6" w:space="0"/>
                  <w:bottom w:val="single" w:color="DFDFDF" w:sz="6" w:space="0"/>
                  <w:right w:val="single" w:color="DFDFDF" w:sz="6" w:space="0"/>
                  <w:insideH w:val="none" w:color="auto" w:sz="0" w:space="0"/>
                  <w:insideV w:val="none" w:color="auto" w:sz="0" w:space="0"/>
                </w:tblBorders>
                <w:tblCellMar>
                  <w:top w:w="0" w:type="dxa"/>
                  <w:left w:w="0" w:type="dxa"/>
                  <w:bottom w:w="0" w:type="dxa"/>
                  <w:right w:w="0" w:type="dxa"/>
                </w:tblCellMar>
              </w:tblPrEx>
              <w:trPr>
                <w:trHeight w:val="229" w:hRule="atLeast"/>
                <w:jc w:val="center"/>
              </w:trPr>
              <w:tc>
                <w:tcPr>
                  <w:tcW w:w="1753"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55A3BBA4">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color w:val="333333"/>
                    </w:rPr>
                  </w:pPr>
                  <w:r>
                    <w:rPr>
                      <w:rFonts w:hint="default" w:ascii="Arial" w:hAnsi="Arial" w:cs="Arial"/>
                      <w:i w:val="0"/>
                      <w:caps w:val="0"/>
                      <w:color w:val="333333"/>
                      <w:spacing w:val="0"/>
                      <w:sz w:val="18"/>
                      <w:szCs w:val="18"/>
                    </w:rPr>
                    <w:t>100以下</w:t>
                  </w:r>
                </w:p>
              </w:tc>
              <w:tc>
                <w:tcPr>
                  <w:tcW w:w="1651"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33CCFBF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color w:val="333333"/>
                    </w:rPr>
                  </w:pPr>
                  <w:r>
                    <w:rPr>
                      <w:rFonts w:hint="default" w:ascii="Arial" w:hAnsi="Arial" w:cs="Arial"/>
                      <w:i w:val="0"/>
                      <w:caps w:val="0"/>
                      <w:color w:val="333333"/>
                      <w:spacing w:val="0"/>
                      <w:sz w:val="18"/>
                      <w:szCs w:val="18"/>
                    </w:rPr>
                    <w:t>1.5%</w:t>
                  </w:r>
                </w:p>
              </w:tc>
              <w:tc>
                <w:tcPr>
                  <w:tcW w:w="1669"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3533CEAE">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color w:val="333333"/>
                    </w:rPr>
                  </w:pPr>
                  <w:r>
                    <w:rPr>
                      <w:rFonts w:hint="default" w:ascii="Arial" w:hAnsi="Arial" w:cs="Arial"/>
                      <w:i w:val="0"/>
                      <w:caps w:val="0"/>
                      <w:color w:val="333333"/>
                      <w:spacing w:val="0"/>
                      <w:sz w:val="18"/>
                      <w:szCs w:val="18"/>
                    </w:rPr>
                    <w:t>1.5%</w:t>
                  </w:r>
                </w:p>
              </w:tc>
              <w:tc>
                <w:tcPr>
                  <w:tcW w:w="1506"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6CC05B59">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color w:val="333333"/>
                    </w:rPr>
                  </w:pPr>
                  <w:r>
                    <w:rPr>
                      <w:rFonts w:hint="default" w:ascii="Arial" w:hAnsi="Arial" w:cs="Arial"/>
                      <w:i w:val="0"/>
                      <w:caps w:val="0"/>
                      <w:color w:val="333333"/>
                      <w:spacing w:val="0"/>
                      <w:sz w:val="18"/>
                      <w:szCs w:val="18"/>
                    </w:rPr>
                    <w:t>1.0%</w:t>
                  </w:r>
                </w:p>
              </w:tc>
            </w:tr>
            <w:tr w14:paraId="6441789A">
              <w:tblPrEx>
                <w:tblBorders>
                  <w:top w:val="single" w:color="DFDFDF" w:sz="6" w:space="0"/>
                  <w:left w:val="single" w:color="DFDFDF" w:sz="6" w:space="0"/>
                  <w:bottom w:val="single" w:color="DFDFDF" w:sz="6" w:space="0"/>
                  <w:right w:val="single" w:color="DFDFDF" w:sz="6" w:space="0"/>
                  <w:insideH w:val="none" w:color="auto" w:sz="0" w:space="0"/>
                  <w:insideV w:val="none" w:color="auto" w:sz="0" w:space="0"/>
                </w:tblBorders>
                <w:tblCellMar>
                  <w:top w:w="0" w:type="dxa"/>
                  <w:left w:w="0" w:type="dxa"/>
                  <w:bottom w:w="0" w:type="dxa"/>
                  <w:right w:w="0" w:type="dxa"/>
                </w:tblCellMar>
              </w:tblPrEx>
              <w:trPr>
                <w:trHeight w:val="267" w:hRule="atLeast"/>
                <w:jc w:val="center"/>
              </w:trPr>
              <w:tc>
                <w:tcPr>
                  <w:tcW w:w="1753"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60B2402F">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color w:val="333333"/>
                    </w:rPr>
                  </w:pPr>
                  <w:r>
                    <w:rPr>
                      <w:rFonts w:hint="default" w:ascii="Arial" w:hAnsi="Arial" w:cs="Arial"/>
                      <w:i w:val="0"/>
                      <w:caps w:val="0"/>
                      <w:color w:val="333333"/>
                      <w:spacing w:val="0"/>
                      <w:sz w:val="18"/>
                      <w:szCs w:val="18"/>
                    </w:rPr>
                    <w:t>100-500</w:t>
                  </w:r>
                </w:p>
              </w:tc>
              <w:tc>
                <w:tcPr>
                  <w:tcW w:w="1651"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465D2A3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color w:val="333333"/>
                    </w:rPr>
                  </w:pPr>
                  <w:r>
                    <w:rPr>
                      <w:rFonts w:hint="default" w:ascii="Arial" w:hAnsi="Arial" w:cs="Arial"/>
                      <w:i w:val="0"/>
                      <w:caps w:val="0"/>
                      <w:color w:val="333333"/>
                      <w:spacing w:val="0"/>
                      <w:sz w:val="18"/>
                      <w:szCs w:val="18"/>
                    </w:rPr>
                    <w:t>1.1%</w:t>
                  </w:r>
                </w:p>
              </w:tc>
              <w:tc>
                <w:tcPr>
                  <w:tcW w:w="1669"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5DE86869">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color w:val="333333"/>
                    </w:rPr>
                  </w:pPr>
                  <w:r>
                    <w:rPr>
                      <w:rFonts w:hint="default" w:ascii="Arial" w:hAnsi="Arial" w:cs="Arial"/>
                      <w:i w:val="0"/>
                      <w:caps w:val="0"/>
                      <w:color w:val="333333"/>
                      <w:spacing w:val="0"/>
                      <w:sz w:val="18"/>
                      <w:szCs w:val="18"/>
                    </w:rPr>
                    <w:t>0.8%</w:t>
                  </w:r>
                </w:p>
              </w:tc>
              <w:tc>
                <w:tcPr>
                  <w:tcW w:w="1506"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2048C6F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color w:val="333333"/>
                    </w:rPr>
                  </w:pPr>
                  <w:r>
                    <w:rPr>
                      <w:rFonts w:hint="default" w:ascii="Arial" w:hAnsi="Arial" w:cs="Arial"/>
                      <w:i w:val="0"/>
                      <w:caps w:val="0"/>
                      <w:color w:val="333333"/>
                      <w:spacing w:val="0"/>
                      <w:sz w:val="18"/>
                      <w:szCs w:val="18"/>
                    </w:rPr>
                    <w:t>0.7%</w:t>
                  </w:r>
                </w:p>
              </w:tc>
            </w:tr>
            <w:tr w14:paraId="5690E7C9">
              <w:tblPrEx>
                <w:tblBorders>
                  <w:top w:val="single" w:color="DFDFDF" w:sz="6" w:space="0"/>
                  <w:left w:val="single" w:color="DFDFDF" w:sz="6" w:space="0"/>
                  <w:bottom w:val="single" w:color="DFDFDF" w:sz="6" w:space="0"/>
                  <w:right w:val="single" w:color="DFDFDF" w:sz="6" w:space="0"/>
                  <w:insideH w:val="none" w:color="auto" w:sz="0" w:space="0"/>
                  <w:insideV w:val="none" w:color="auto" w:sz="0" w:space="0"/>
                </w:tblBorders>
                <w:tblCellMar>
                  <w:top w:w="0" w:type="dxa"/>
                  <w:left w:w="0" w:type="dxa"/>
                  <w:bottom w:w="0" w:type="dxa"/>
                  <w:right w:w="0" w:type="dxa"/>
                </w:tblCellMar>
              </w:tblPrEx>
              <w:trPr>
                <w:trHeight w:val="221" w:hRule="atLeast"/>
                <w:jc w:val="center"/>
              </w:trPr>
              <w:tc>
                <w:tcPr>
                  <w:tcW w:w="1753"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673B6800">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color w:val="333333"/>
                    </w:rPr>
                  </w:pPr>
                  <w:r>
                    <w:rPr>
                      <w:rFonts w:hint="default" w:ascii="Arial" w:hAnsi="Arial" w:cs="Arial"/>
                      <w:i w:val="0"/>
                      <w:caps w:val="0"/>
                      <w:color w:val="333333"/>
                      <w:spacing w:val="0"/>
                      <w:sz w:val="18"/>
                      <w:szCs w:val="18"/>
                    </w:rPr>
                    <w:t>500-1000</w:t>
                  </w:r>
                </w:p>
              </w:tc>
              <w:tc>
                <w:tcPr>
                  <w:tcW w:w="1651"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6DC0819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color w:val="333333"/>
                    </w:rPr>
                  </w:pPr>
                  <w:r>
                    <w:rPr>
                      <w:rFonts w:hint="default" w:ascii="Arial" w:hAnsi="Arial" w:cs="Arial"/>
                      <w:i w:val="0"/>
                      <w:caps w:val="0"/>
                      <w:color w:val="333333"/>
                      <w:spacing w:val="0"/>
                      <w:sz w:val="18"/>
                      <w:szCs w:val="18"/>
                    </w:rPr>
                    <w:t>0.8%</w:t>
                  </w:r>
                </w:p>
              </w:tc>
              <w:tc>
                <w:tcPr>
                  <w:tcW w:w="1669"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32FB75D5">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color w:val="333333"/>
                    </w:rPr>
                  </w:pPr>
                  <w:r>
                    <w:rPr>
                      <w:rFonts w:hint="default" w:ascii="Arial" w:hAnsi="Arial" w:cs="Arial"/>
                      <w:i w:val="0"/>
                      <w:caps w:val="0"/>
                      <w:color w:val="333333"/>
                      <w:spacing w:val="0"/>
                      <w:sz w:val="18"/>
                      <w:szCs w:val="18"/>
                    </w:rPr>
                    <w:t>0.45%</w:t>
                  </w:r>
                </w:p>
              </w:tc>
              <w:tc>
                <w:tcPr>
                  <w:tcW w:w="1506"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7BF56BA0">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color w:val="333333"/>
                    </w:rPr>
                  </w:pPr>
                  <w:r>
                    <w:rPr>
                      <w:rFonts w:hint="default" w:ascii="Arial" w:hAnsi="Arial" w:cs="Arial"/>
                      <w:i w:val="0"/>
                      <w:caps w:val="0"/>
                      <w:color w:val="333333"/>
                      <w:spacing w:val="0"/>
                      <w:sz w:val="18"/>
                      <w:szCs w:val="18"/>
                    </w:rPr>
                    <w:t>0.55%</w:t>
                  </w:r>
                </w:p>
              </w:tc>
            </w:tr>
            <w:tr w14:paraId="0E97398B">
              <w:tblPrEx>
                <w:tblBorders>
                  <w:top w:val="single" w:color="DFDFDF" w:sz="6" w:space="0"/>
                  <w:left w:val="single" w:color="DFDFDF" w:sz="6" w:space="0"/>
                  <w:bottom w:val="single" w:color="DFDFDF" w:sz="6" w:space="0"/>
                  <w:right w:val="single" w:color="DFDFDF" w:sz="6" w:space="0"/>
                  <w:insideH w:val="none" w:color="auto" w:sz="0" w:space="0"/>
                  <w:insideV w:val="none" w:color="auto" w:sz="0" w:space="0"/>
                </w:tblBorders>
                <w:tblCellMar>
                  <w:top w:w="0" w:type="dxa"/>
                  <w:left w:w="0" w:type="dxa"/>
                  <w:bottom w:w="0" w:type="dxa"/>
                  <w:right w:w="0" w:type="dxa"/>
                </w:tblCellMar>
              </w:tblPrEx>
              <w:trPr>
                <w:trHeight w:val="221" w:hRule="atLeast"/>
                <w:jc w:val="center"/>
              </w:trPr>
              <w:tc>
                <w:tcPr>
                  <w:tcW w:w="1753"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70E1469F">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color w:val="333333"/>
                    </w:rPr>
                  </w:pPr>
                  <w:r>
                    <w:rPr>
                      <w:rFonts w:hint="default" w:ascii="Arial" w:hAnsi="Arial" w:cs="Arial"/>
                      <w:i w:val="0"/>
                      <w:caps w:val="0"/>
                      <w:color w:val="333333"/>
                      <w:spacing w:val="0"/>
                      <w:sz w:val="18"/>
                      <w:szCs w:val="18"/>
                    </w:rPr>
                    <w:t>1000-5000</w:t>
                  </w:r>
                </w:p>
              </w:tc>
              <w:tc>
                <w:tcPr>
                  <w:tcW w:w="1651"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0C692AB1">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color w:val="333333"/>
                    </w:rPr>
                  </w:pPr>
                  <w:r>
                    <w:rPr>
                      <w:rFonts w:hint="default" w:ascii="Arial" w:hAnsi="Arial" w:cs="Arial"/>
                      <w:i w:val="0"/>
                      <w:caps w:val="0"/>
                      <w:color w:val="333333"/>
                      <w:spacing w:val="0"/>
                      <w:sz w:val="18"/>
                      <w:szCs w:val="18"/>
                    </w:rPr>
                    <w:t>0.5%</w:t>
                  </w:r>
                </w:p>
              </w:tc>
              <w:tc>
                <w:tcPr>
                  <w:tcW w:w="1669"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7027518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color w:val="333333"/>
                    </w:rPr>
                  </w:pPr>
                  <w:r>
                    <w:rPr>
                      <w:rFonts w:hint="default" w:ascii="Arial" w:hAnsi="Arial" w:cs="Arial"/>
                      <w:i w:val="0"/>
                      <w:caps w:val="0"/>
                      <w:color w:val="333333"/>
                      <w:spacing w:val="0"/>
                      <w:sz w:val="18"/>
                      <w:szCs w:val="18"/>
                    </w:rPr>
                    <w:t>0.25%</w:t>
                  </w:r>
                </w:p>
              </w:tc>
              <w:tc>
                <w:tcPr>
                  <w:tcW w:w="1506"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3A927141">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color w:val="333333"/>
                    </w:rPr>
                  </w:pPr>
                  <w:r>
                    <w:rPr>
                      <w:rFonts w:hint="default" w:ascii="Arial" w:hAnsi="Arial" w:cs="Arial"/>
                      <w:i w:val="0"/>
                      <w:caps w:val="0"/>
                      <w:color w:val="333333"/>
                      <w:spacing w:val="0"/>
                      <w:sz w:val="18"/>
                      <w:szCs w:val="18"/>
                    </w:rPr>
                    <w:t>0.35%</w:t>
                  </w:r>
                </w:p>
              </w:tc>
            </w:tr>
            <w:tr w14:paraId="1E8374A0">
              <w:tblPrEx>
                <w:tblBorders>
                  <w:top w:val="single" w:color="DFDFDF" w:sz="6" w:space="0"/>
                  <w:left w:val="single" w:color="DFDFDF" w:sz="6" w:space="0"/>
                  <w:bottom w:val="single" w:color="DFDFDF" w:sz="6" w:space="0"/>
                  <w:right w:val="single" w:color="DFDFDF" w:sz="6" w:space="0"/>
                  <w:insideH w:val="none" w:color="auto" w:sz="0" w:space="0"/>
                  <w:insideV w:val="none" w:color="auto" w:sz="0" w:space="0"/>
                </w:tblBorders>
                <w:tblCellMar>
                  <w:top w:w="0" w:type="dxa"/>
                  <w:left w:w="0" w:type="dxa"/>
                  <w:bottom w:w="0" w:type="dxa"/>
                  <w:right w:w="0" w:type="dxa"/>
                </w:tblCellMar>
              </w:tblPrEx>
              <w:trPr>
                <w:trHeight w:val="263" w:hRule="atLeast"/>
                <w:jc w:val="center"/>
              </w:trPr>
              <w:tc>
                <w:tcPr>
                  <w:tcW w:w="1753"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1D6E7238">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color w:val="333333"/>
                    </w:rPr>
                  </w:pPr>
                  <w:r>
                    <w:rPr>
                      <w:rFonts w:hint="default" w:ascii="Arial" w:hAnsi="Arial" w:cs="Arial"/>
                      <w:i w:val="0"/>
                      <w:caps w:val="0"/>
                      <w:color w:val="333333"/>
                      <w:spacing w:val="0"/>
                      <w:sz w:val="18"/>
                      <w:szCs w:val="18"/>
                    </w:rPr>
                    <w:t>5000-10000</w:t>
                  </w:r>
                </w:p>
              </w:tc>
              <w:tc>
                <w:tcPr>
                  <w:tcW w:w="1651"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250B499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color w:val="333333"/>
                    </w:rPr>
                  </w:pPr>
                  <w:r>
                    <w:rPr>
                      <w:rFonts w:hint="default" w:ascii="Arial" w:hAnsi="Arial" w:cs="Arial"/>
                      <w:i w:val="0"/>
                      <w:caps w:val="0"/>
                      <w:color w:val="333333"/>
                      <w:spacing w:val="0"/>
                      <w:sz w:val="18"/>
                      <w:szCs w:val="18"/>
                    </w:rPr>
                    <w:t>0.25%</w:t>
                  </w:r>
                </w:p>
              </w:tc>
              <w:tc>
                <w:tcPr>
                  <w:tcW w:w="1669"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0C0CCD26">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color w:val="333333"/>
                    </w:rPr>
                  </w:pPr>
                  <w:r>
                    <w:rPr>
                      <w:rFonts w:hint="default" w:ascii="Arial" w:hAnsi="Arial" w:cs="Arial"/>
                      <w:i w:val="0"/>
                      <w:caps w:val="0"/>
                      <w:color w:val="333333"/>
                      <w:spacing w:val="0"/>
                      <w:sz w:val="18"/>
                      <w:szCs w:val="18"/>
                    </w:rPr>
                    <w:t>0.1%</w:t>
                  </w:r>
                </w:p>
              </w:tc>
              <w:tc>
                <w:tcPr>
                  <w:tcW w:w="1506"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0AA7A324">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color w:val="333333"/>
                    </w:rPr>
                  </w:pPr>
                  <w:r>
                    <w:rPr>
                      <w:rFonts w:hint="default" w:ascii="Arial" w:hAnsi="Arial" w:cs="Arial"/>
                      <w:i w:val="0"/>
                      <w:caps w:val="0"/>
                      <w:color w:val="333333"/>
                      <w:spacing w:val="0"/>
                      <w:sz w:val="18"/>
                      <w:szCs w:val="18"/>
                    </w:rPr>
                    <w:t>0.2%</w:t>
                  </w:r>
                </w:p>
              </w:tc>
            </w:tr>
            <w:tr w14:paraId="459ED942">
              <w:tblPrEx>
                <w:tblBorders>
                  <w:top w:val="single" w:color="DFDFDF" w:sz="6" w:space="0"/>
                  <w:left w:val="single" w:color="DFDFDF" w:sz="6" w:space="0"/>
                  <w:bottom w:val="single" w:color="DFDFDF" w:sz="6" w:space="0"/>
                  <w:right w:val="single" w:color="DFDFDF" w:sz="6" w:space="0"/>
                  <w:insideH w:val="none" w:color="auto" w:sz="0" w:space="0"/>
                  <w:insideV w:val="none" w:color="auto" w:sz="0" w:space="0"/>
                </w:tblBorders>
                <w:tblCellMar>
                  <w:top w:w="0" w:type="dxa"/>
                  <w:left w:w="0" w:type="dxa"/>
                  <w:bottom w:w="0" w:type="dxa"/>
                  <w:right w:w="0" w:type="dxa"/>
                </w:tblCellMar>
              </w:tblPrEx>
              <w:trPr>
                <w:trHeight w:val="180" w:hRule="atLeast"/>
                <w:jc w:val="center"/>
              </w:trPr>
              <w:tc>
                <w:tcPr>
                  <w:tcW w:w="1753"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3CDCA1A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color w:val="333333"/>
                    </w:rPr>
                  </w:pPr>
                  <w:r>
                    <w:rPr>
                      <w:rFonts w:hint="default" w:ascii="Arial" w:hAnsi="Arial" w:cs="Arial"/>
                      <w:i w:val="0"/>
                      <w:caps w:val="0"/>
                      <w:color w:val="333333"/>
                      <w:spacing w:val="0"/>
                      <w:sz w:val="18"/>
                      <w:szCs w:val="18"/>
                    </w:rPr>
                    <w:t>1亿~5亿</w:t>
                  </w:r>
                </w:p>
              </w:tc>
              <w:tc>
                <w:tcPr>
                  <w:tcW w:w="1651"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6F1C75E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color w:val="333333"/>
                    </w:rPr>
                  </w:pPr>
                  <w:r>
                    <w:rPr>
                      <w:rFonts w:hint="default" w:ascii="Arial" w:hAnsi="Arial" w:cs="Arial"/>
                      <w:i w:val="0"/>
                      <w:caps w:val="0"/>
                      <w:color w:val="333333"/>
                      <w:spacing w:val="0"/>
                      <w:sz w:val="18"/>
                      <w:szCs w:val="18"/>
                    </w:rPr>
                    <w:t>0.05%</w:t>
                  </w:r>
                </w:p>
              </w:tc>
              <w:tc>
                <w:tcPr>
                  <w:tcW w:w="1669"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6AE7091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color w:val="333333"/>
                    </w:rPr>
                  </w:pPr>
                  <w:r>
                    <w:rPr>
                      <w:rFonts w:hint="default" w:ascii="Arial" w:hAnsi="Arial" w:cs="Arial"/>
                      <w:i w:val="0"/>
                      <w:caps w:val="0"/>
                      <w:color w:val="333333"/>
                      <w:spacing w:val="0"/>
                      <w:sz w:val="18"/>
                      <w:szCs w:val="18"/>
                    </w:rPr>
                    <w:t>0.05%</w:t>
                  </w:r>
                </w:p>
              </w:tc>
              <w:tc>
                <w:tcPr>
                  <w:tcW w:w="1506" w:type="dxa"/>
                  <w:tcBorders>
                    <w:top w:val="single" w:color="auto" w:sz="4" w:space="0"/>
                    <w:left w:val="single" w:color="auto" w:sz="4" w:space="0"/>
                    <w:bottom w:val="single" w:color="auto" w:sz="4" w:space="0"/>
                    <w:right w:val="single" w:color="auto" w:sz="4" w:space="0"/>
                  </w:tcBorders>
                  <w:shd w:val="clear" w:color="auto" w:fill="FFFFFF"/>
                  <w:noWrap w:val="0"/>
                  <w:tcMar>
                    <w:top w:w="30" w:type="dxa"/>
                    <w:left w:w="90" w:type="dxa"/>
                    <w:bottom w:w="30" w:type="dxa"/>
                    <w:right w:w="90" w:type="dxa"/>
                  </w:tcMar>
                  <w:vAlign w:val="center"/>
                </w:tcPr>
                <w:p w14:paraId="5F4BC1D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240" w:lineRule="auto"/>
                    <w:ind w:left="0" w:right="0" w:firstLine="0"/>
                    <w:jc w:val="center"/>
                    <w:textAlignment w:val="auto"/>
                    <w:rPr>
                      <w:color w:val="333333"/>
                    </w:rPr>
                  </w:pPr>
                  <w:r>
                    <w:rPr>
                      <w:rFonts w:hint="default" w:ascii="Arial" w:hAnsi="Arial" w:cs="Arial"/>
                      <w:i w:val="0"/>
                      <w:caps w:val="0"/>
                      <w:color w:val="333333"/>
                      <w:spacing w:val="0"/>
                      <w:sz w:val="18"/>
                      <w:szCs w:val="18"/>
                    </w:rPr>
                    <w:t>0.05%</w:t>
                  </w:r>
                </w:p>
              </w:tc>
            </w:tr>
          </w:tbl>
          <w:p w14:paraId="21299583">
            <w:pPr>
              <w:pStyle w:val="114"/>
              <w:spacing w:before="40" w:line="350" w:lineRule="auto"/>
              <w:ind w:right="108" w:firstLine="440" w:firstLineChars="200"/>
              <w:jc w:val="both"/>
              <w:rPr>
                <w:spacing w:val="-10"/>
              </w:rPr>
            </w:pPr>
            <w:r>
              <w:rPr>
                <w:spacing w:val="-10"/>
              </w:rPr>
              <w:t>例如：某工程招标项目成交金额为 678.2 万元，采购代理服务费计算 如下：</w:t>
            </w:r>
          </w:p>
          <w:p w14:paraId="729B6AAB">
            <w:pPr>
              <w:pStyle w:val="114"/>
              <w:spacing w:before="40" w:line="350" w:lineRule="auto"/>
              <w:ind w:right="108" w:firstLine="440" w:firstLineChars="200"/>
              <w:jc w:val="both"/>
              <w:rPr>
                <w:spacing w:val="-10"/>
              </w:rPr>
            </w:pPr>
            <w:r>
              <w:rPr>
                <w:spacing w:val="-10"/>
              </w:rPr>
              <w:t>100 万元*1.0%=1.00 万元  (500-100)*0.7%=2.80 万元</w:t>
            </w:r>
          </w:p>
          <w:p w14:paraId="06965E93">
            <w:pPr>
              <w:pStyle w:val="114"/>
              <w:spacing w:before="40" w:line="350" w:lineRule="auto"/>
              <w:ind w:right="108" w:firstLine="440" w:firstLineChars="200"/>
              <w:jc w:val="both"/>
              <w:rPr>
                <w:spacing w:val="-10"/>
              </w:rPr>
            </w:pPr>
            <w:r>
              <w:rPr>
                <w:spacing w:val="-10"/>
              </w:rPr>
              <w:t>(678.2-500)*0.55%=0.9801 万元</w:t>
            </w:r>
          </w:p>
          <w:p w14:paraId="199846CB">
            <w:pPr>
              <w:pStyle w:val="114"/>
              <w:spacing w:before="40" w:line="350" w:lineRule="auto"/>
              <w:ind w:right="108" w:firstLine="440" w:firstLineChars="200"/>
              <w:jc w:val="both"/>
              <w:rPr>
                <w:spacing w:val="-10"/>
                <w:sz w:val="24"/>
                <w:szCs w:val="24"/>
              </w:rPr>
            </w:pPr>
            <w:r>
              <w:rPr>
                <w:spacing w:val="-10"/>
                <w:sz w:val="24"/>
                <w:szCs w:val="24"/>
              </w:rPr>
              <w:t>服务费=1.00+2.80+0.9801=4.7801 万元。</w:t>
            </w:r>
          </w:p>
          <w:p w14:paraId="1F0D2B05">
            <w:pPr>
              <w:numPr>
                <w:ilvl w:val="0"/>
                <w:numId w:val="0"/>
              </w:numPr>
              <w:spacing w:line="360" w:lineRule="auto"/>
              <w:ind w:firstLine="440" w:firstLineChars="200"/>
              <w:rPr>
                <w:rFonts w:hint="default" w:asciiTheme="majorEastAsia" w:hAnsiTheme="majorEastAsia" w:eastAsiaTheme="majorEastAsia" w:cstheme="majorEastAsia"/>
                <w:sz w:val="24"/>
                <w:lang w:val="en-US" w:eastAsia="zh-CN"/>
              </w:rPr>
            </w:pPr>
            <w:r>
              <w:rPr>
                <w:spacing w:val="-10"/>
                <w:sz w:val="24"/>
                <w:szCs w:val="24"/>
              </w:rPr>
              <w:t>本项目项目属性：</w:t>
            </w:r>
            <w:r>
              <w:rPr>
                <w:rFonts w:hint="eastAsia"/>
                <w:b/>
                <w:bCs/>
                <w:spacing w:val="-10"/>
                <w:sz w:val="24"/>
                <w:szCs w:val="24"/>
                <w:lang w:val="en-US" w:eastAsia="zh-CN"/>
              </w:rPr>
              <w:t>货物</w:t>
            </w:r>
            <w:r>
              <w:rPr>
                <w:b/>
                <w:bCs/>
                <w:spacing w:val="-10"/>
                <w:sz w:val="24"/>
                <w:szCs w:val="24"/>
              </w:rPr>
              <w:t>招标。</w:t>
            </w:r>
          </w:p>
        </w:tc>
      </w:tr>
      <w:tr w14:paraId="41CBF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18" w:type="dxa"/>
            <w:vAlign w:val="center"/>
          </w:tcPr>
          <w:p w14:paraId="646DE4CE">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26</w:t>
            </w:r>
          </w:p>
        </w:tc>
        <w:tc>
          <w:tcPr>
            <w:tcW w:w="1907" w:type="dxa"/>
            <w:vAlign w:val="center"/>
          </w:tcPr>
          <w:p w14:paraId="4548F909">
            <w:pPr>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关于自主上报信用承诺书说明</w:t>
            </w:r>
          </w:p>
        </w:tc>
        <w:tc>
          <w:tcPr>
            <w:tcW w:w="7014" w:type="dxa"/>
            <w:vAlign w:val="center"/>
          </w:tcPr>
          <w:p w14:paraId="2CD8A58B">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所有投标人按照《榆林市公共资源交易中心关于公共资源交易信用承诺网上公示的通知》（榆交易函〔2021〕19号）文件要求，于投标文件提交截止时间前自主申报信用承诺，具体操作流程详见招标文件附件1。自主上报信用承诺书具体要求事项如下：</w:t>
            </w:r>
          </w:p>
          <w:p w14:paraId="167F81FB">
            <w:pPr>
              <w:spacing w:line="360" w:lineRule="auto"/>
              <w:rPr>
                <w:rFonts w:asciiTheme="majorEastAsia" w:hAnsiTheme="majorEastAsia" w:eastAsiaTheme="majorEastAsia" w:cstheme="majorEastAsia"/>
                <w:b/>
                <w:bCs/>
                <w:sz w:val="24"/>
              </w:rPr>
            </w:pPr>
            <w:r>
              <w:rPr>
                <w:rFonts w:hint="eastAsia" w:asciiTheme="majorEastAsia" w:hAnsiTheme="majorEastAsia" w:eastAsiaTheme="majorEastAsia" w:cstheme="majorEastAsia"/>
                <w:sz w:val="24"/>
              </w:rPr>
              <w:t>1.承诺事项名称：选择《榆林市政府采购工程类/货物类/服务类项目供应商信用承诺书》；承诺事由：“填写项目名称+项目编号”；承诺附件：按招标文件第七章给定的格式填写，需上传至承诺附件；受理部门为榆林市财政局采购科；附件承诺有效期为1年，承诺起始时间为提交投标文件截止之日。</w:t>
            </w:r>
          </w:p>
          <w:p w14:paraId="7506C43A">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承诺事项名称：选择《投标人信用承诺》；承诺事由：填写“公共资源交易平台所有活动”；承诺附件：按招标文件第七章给定的格式填写，需上传至承诺附件；受理部门为榆林市公共资源交易中心；承诺有效期同投标有效期，承诺起始时间为提交投标文件截止之日。</w:t>
            </w:r>
          </w:p>
          <w:p w14:paraId="60CB430B">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 承诺事项名称：选择《投标信用(保证金）承诺书》；承诺事由：填写“公共资源交易平台所有活动”；承诺附件：按招标文件第七章给定的格式填写，需上传至承诺附件；受理部门为榆林市公共资源交易中心；承诺有效期同投标有效期，承诺起始时间为提交投标文件截止之日。</w:t>
            </w:r>
          </w:p>
          <w:p w14:paraId="781386C7">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承诺事项名称：《投标人委托代理人员信用承诺书》；承诺事由：填写“公共资源交易平台所有活动”；承诺附件：按招标文件第七章给定的格式填写，需上传至承诺附件；受理部门为榆林市公共资源交易中心；承诺有效期同投标有效期，承诺起始时间为提交投标文件截止之日。</w:t>
            </w:r>
          </w:p>
          <w:p w14:paraId="01F6406A">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注：①法定代表人直接参与投标的无须上报和提供《投标人委托代理人员信用承诺书》。</w:t>
            </w:r>
          </w:p>
          <w:p w14:paraId="53B350F8">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②不见面开标结束后由采购代理机构通过平台进行核实查验，未按上述要求在“信用中国（陕西榆林）”网站进行自主上报信用承诺或投标文件中所附内容与上报内容不符的将否决投标。</w:t>
            </w:r>
          </w:p>
        </w:tc>
      </w:tr>
      <w:tr w14:paraId="5FB12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18" w:type="dxa"/>
            <w:vAlign w:val="center"/>
          </w:tcPr>
          <w:p w14:paraId="0B3C8154">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27</w:t>
            </w:r>
          </w:p>
        </w:tc>
        <w:tc>
          <w:tcPr>
            <w:tcW w:w="1907" w:type="dxa"/>
            <w:vAlign w:val="center"/>
          </w:tcPr>
          <w:p w14:paraId="23780AE8">
            <w:pPr>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关于中小企业执行的优惠政策说明</w:t>
            </w:r>
          </w:p>
        </w:tc>
        <w:tc>
          <w:tcPr>
            <w:tcW w:w="7014" w:type="dxa"/>
            <w:vAlign w:val="center"/>
          </w:tcPr>
          <w:p w14:paraId="417B3989">
            <w:pPr>
              <w:pStyle w:val="23"/>
              <w:spacing w:after="0" w:line="360" w:lineRule="auto"/>
              <w:ind w:firstLine="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sym w:font="Wingdings" w:char="00A8"/>
            </w:r>
            <w:r>
              <w:rPr>
                <w:rFonts w:hint="eastAsia" w:asciiTheme="majorEastAsia" w:hAnsiTheme="majorEastAsia" w:eastAsiaTheme="majorEastAsia" w:cstheme="majorEastAsia"/>
                <w:sz w:val="24"/>
              </w:rPr>
              <w:t>专门面向中小企业采购项目。</w:t>
            </w:r>
          </w:p>
          <w:p w14:paraId="74AA61D3">
            <w:pPr>
              <w:pStyle w:val="23"/>
              <w:spacing w:after="0" w:line="360" w:lineRule="auto"/>
              <w:ind w:firstLine="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sym w:font="Wingdings" w:char="00FE"/>
            </w:r>
            <w:r>
              <w:rPr>
                <w:rFonts w:hint="eastAsia" w:asciiTheme="majorEastAsia" w:hAnsiTheme="majorEastAsia" w:eastAsiaTheme="majorEastAsia" w:cstheme="majorEastAsia"/>
                <w:sz w:val="24"/>
              </w:rPr>
              <w:t>非专门面向中小企业采购项目(价格扣除)：用扣除后的价格参与评审。小微企业的价格扣除比例为20%。</w:t>
            </w:r>
          </w:p>
          <w:p w14:paraId="5A8DEB2B">
            <w:pPr>
              <w:pStyle w:val="23"/>
              <w:spacing w:after="0" w:line="360" w:lineRule="auto"/>
              <w:ind w:firstLine="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采购标的对应的中小企业划分标准所属行业：</w:t>
            </w:r>
            <w:r>
              <w:rPr>
                <w:rFonts w:hint="eastAsia" w:asciiTheme="majorEastAsia" w:hAnsiTheme="majorEastAsia" w:eastAsiaTheme="majorEastAsia" w:cstheme="majorEastAsia"/>
                <w:sz w:val="24"/>
                <w:lang w:val="en-US" w:eastAsia="zh-CN"/>
              </w:rPr>
              <w:t>工</w:t>
            </w:r>
            <w:r>
              <w:rPr>
                <w:rFonts w:hint="eastAsia" w:asciiTheme="majorEastAsia" w:hAnsiTheme="majorEastAsia" w:eastAsiaTheme="majorEastAsia" w:cstheme="majorEastAsia"/>
                <w:sz w:val="24"/>
              </w:rPr>
              <w:t>业</w:t>
            </w:r>
          </w:p>
        </w:tc>
      </w:tr>
      <w:tr w14:paraId="3742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818" w:type="dxa"/>
            <w:vAlign w:val="center"/>
          </w:tcPr>
          <w:p w14:paraId="281740E5">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28</w:t>
            </w:r>
          </w:p>
        </w:tc>
        <w:tc>
          <w:tcPr>
            <w:tcW w:w="1907" w:type="dxa"/>
            <w:vAlign w:val="center"/>
          </w:tcPr>
          <w:p w14:paraId="5F793E47">
            <w:pPr>
              <w:pStyle w:val="17"/>
              <w:snapToGrid/>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合同价款形式</w:t>
            </w:r>
          </w:p>
        </w:tc>
        <w:tc>
          <w:tcPr>
            <w:tcW w:w="7014" w:type="dxa"/>
            <w:vAlign w:val="center"/>
          </w:tcPr>
          <w:p w14:paraId="067276D0">
            <w:pPr>
              <w:pStyle w:val="17"/>
              <w:snapToGrid/>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本采购项目签订固定总价合同。</w:t>
            </w:r>
          </w:p>
        </w:tc>
      </w:tr>
      <w:tr w14:paraId="45FD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818" w:type="dxa"/>
            <w:vAlign w:val="center"/>
          </w:tcPr>
          <w:p w14:paraId="443C005E">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29</w:t>
            </w:r>
          </w:p>
        </w:tc>
        <w:tc>
          <w:tcPr>
            <w:tcW w:w="1907" w:type="dxa"/>
            <w:vAlign w:val="center"/>
          </w:tcPr>
          <w:p w14:paraId="3B5A8A97">
            <w:pPr>
              <w:pStyle w:val="17"/>
              <w:snapToGrid/>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政采贷业务</w:t>
            </w:r>
          </w:p>
        </w:tc>
        <w:tc>
          <w:tcPr>
            <w:tcW w:w="7014" w:type="dxa"/>
            <w:vAlign w:val="center"/>
          </w:tcPr>
          <w:p w14:paraId="522E4C8E">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陕西省财政厅 中国人民银行西安分行关于深入推进政府采购信用融资业务的通知》（陕财办采〔2023〕5号）等有关规定，按照政府引导、市场运作、银企自愿、风险自担的原则，中标（成交）供应商可根据自身资金需求，登录陕西省政府采购信用融资平台（http://www.ccgp-shaanxi.gov.cn/zcdservice/zcd/shanxi/）或中征平台（https://www.crcrfsp.com）在线申请，依法参加政府采购信用融资活动。</w:t>
            </w:r>
          </w:p>
          <w:p w14:paraId="44E56F92">
            <w:pPr>
              <w:spacing w:line="360" w:lineRule="auto"/>
              <w:rPr>
                <w:rFonts w:asciiTheme="majorEastAsia" w:hAnsiTheme="majorEastAsia" w:eastAsiaTheme="majorEastAsia" w:cstheme="majorEastAsia"/>
                <w:szCs w:val="21"/>
              </w:rPr>
            </w:pPr>
          </w:p>
          <w:tbl>
            <w:tblPr>
              <w:tblStyle w:val="25"/>
              <w:tblpPr w:leftFromText="180" w:rightFromText="180" w:vertAnchor="page" w:horzAnchor="page" w:tblpX="201" w:tblpY="1244"/>
              <w:tblOverlap w:val="never"/>
              <w:tblW w:w="6700" w:type="dxa"/>
              <w:tblInd w:w="0" w:type="dxa"/>
              <w:tblLayout w:type="fixed"/>
              <w:tblCellMar>
                <w:top w:w="0" w:type="dxa"/>
                <w:left w:w="108" w:type="dxa"/>
                <w:bottom w:w="0" w:type="dxa"/>
                <w:right w:w="108" w:type="dxa"/>
              </w:tblCellMar>
            </w:tblPr>
            <w:tblGrid>
              <w:gridCol w:w="562"/>
              <w:gridCol w:w="698"/>
              <w:gridCol w:w="843"/>
              <w:gridCol w:w="805"/>
              <w:gridCol w:w="747"/>
              <w:gridCol w:w="791"/>
              <w:gridCol w:w="837"/>
              <w:gridCol w:w="1417"/>
            </w:tblGrid>
            <w:tr w14:paraId="62851E7B">
              <w:tblPrEx>
                <w:tblCellMar>
                  <w:top w:w="0" w:type="dxa"/>
                  <w:left w:w="108" w:type="dxa"/>
                  <w:bottom w:w="0" w:type="dxa"/>
                  <w:right w:w="108" w:type="dxa"/>
                </w:tblCellMar>
              </w:tblPrEx>
              <w:trPr>
                <w:trHeight w:val="90" w:hRule="atLeast"/>
              </w:trPr>
              <w:tc>
                <w:tcPr>
                  <w:tcW w:w="6700" w:type="dxa"/>
                  <w:gridSpan w:val="8"/>
                  <w:tcBorders>
                    <w:top w:val="nil"/>
                    <w:left w:val="nil"/>
                    <w:bottom w:val="nil"/>
                    <w:right w:val="nil"/>
                  </w:tcBorders>
                  <w:noWrap/>
                  <w:vAlign w:val="center"/>
                </w:tcPr>
                <w:p w14:paraId="3D0269B4">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榆林市“政采贷”业务办理银行联系表</w:t>
                  </w:r>
                </w:p>
              </w:tc>
            </w:tr>
            <w:tr w14:paraId="2AF0FB65">
              <w:tblPrEx>
                <w:tblCellMar>
                  <w:top w:w="0" w:type="dxa"/>
                  <w:left w:w="108" w:type="dxa"/>
                  <w:bottom w:w="0" w:type="dxa"/>
                  <w:right w:w="108" w:type="dxa"/>
                </w:tblCellMar>
              </w:tblPrEx>
              <w:trPr>
                <w:trHeight w:val="408" w:hRule="atLeast"/>
              </w:trPr>
              <w:tc>
                <w:tcPr>
                  <w:tcW w:w="562" w:type="dxa"/>
                  <w:tcBorders>
                    <w:top w:val="single" w:color="000000" w:sz="4" w:space="0"/>
                    <w:left w:val="single" w:color="000000" w:sz="4" w:space="0"/>
                    <w:bottom w:val="single" w:color="000000" w:sz="4" w:space="0"/>
                    <w:right w:val="single" w:color="000000" w:sz="4" w:space="0"/>
                  </w:tcBorders>
                  <w:noWrap/>
                  <w:vAlign w:val="center"/>
                </w:tcPr>
                <w:p w14:paraId="408354DA">
                  <w:pPr>
                    <w:widowControl/>
                    <w:jc w:val="center"/>
                    <w:textAlignment w:val="center"/>
                    <w:rPr>
                      <w:rFonts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序号</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4B8E2FB0">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银行名称</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0FB134D2">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产品名称</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2608A402">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贷款额度</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41B8FFF8">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贷款期限</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45C0147D">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贷款利率</w:t>
                  </w:r>
                </w:p>
              </w:tc>
              <w:tc>
                <w:tcPr>
                  <w:tcW w:w="837" w:type="dxa"/>
                  <w:tcBorders>
                    <w:top w:val="single" w:color="000000" w:sz="4" w:space="0"/>
                    <w:left w:val="single" w:color="000000" w:sz="4" w:space="0"/>
                    <w:bottom w:val="single" w:color="000000" w:sz="4" w:space="0"/>
                    <w:right w:val="single" w:color="000000" w:sz="4" w:space="0"/>
                  </w:tcBorders>
                  <w:noWrap/>
                  <w:vAlign w:val="center"/>
                </w:tcPr>
                <w:p w14:paraId="3B0B6E88">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办理时效</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5DBFE696">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联系人</w:t>
                  </w:r>
                </w:p>
              </w:tc>
            </w:tr>
            <w:tr w14:paraId="248A77D2">
              <w:tblPrEx>
                <w:tblCellMar>
                  <w:top w:w="0" w:type="dxa"/>
                  <w:left w:w="108" w:type="dxa"/>
                  <w:bottom w:w="0" w:type="dxa"/>
                  <w:right w:w="108" w:type="dxa"/>
                </w:tblCellMar>
              </w:tblPrEx>
              <w:trPr>
                <w:trHeight w:val="408" w:hRule="atLeast"/>
              </w:trPr>
              <w:tc>
                <w:tcPr>
                  <w:tcW w:w="562" w:type="dxa"/>
                  <w:tcBorders>
                    <w:top w:val="single" w:color="000000" w:sz="4" w:space="0"/>
                    <w:left w:val="single" w:color="000000" w:sz="4" w:space="0"/>
                    <w:bottom w:val="single" w:color="000000" w:sz="4" w:space="0"/>
                    <w:right w:val="single" w:color="000000" w:sz="4" w:space="0"/>
                  </w:tcBorders>
                  <w:noWrap/>
                  <w:vAlign w:val="center"/>
                </w:tcPr>
                <w:p w14:paraId="0765A129">
                  <w:pPr>
                    <w:widowControl/>
                    <w:jc w:val="center"/>
                    <w:textAlignment w:val="center"/>
                    <w:rPr>
                      <w:rFonts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1</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2D2B255C">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长安银行</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47FEC308">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政采贷</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20EDEF9B">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1000万元</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69AA8748">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1-3年</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746DDBF4">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3.45%</w:t>
                  </w:r>
                </w:p>
              </w:tc>
              <w:tc>
                <w:tcPr>
                  <w:tcW w:w="837" w:type="dxa"/>
                  <w:tcBorders>
                    <w:top w:val="single" w:color="000000" w:sz="4" w:space="0"/>
                    <w:left w:val="single" w:color="000000" w:sz="4" w:space="0"/>
                    <w:bottom w:val="single" w:color="000000" w:sz="4" w:space="0"/>
                    <w:right w:val="single" w:color="000000" w:sz="4" w:space="0"/>
                  </w:tcBorders>
                  <w:noWrap/>
                  <w:vAlign w:val="center"/>
                </w:tcPr>
                <w:p w14:paraId="717BAEE1">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72小时</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05F83B0A">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魏  众15109123951</w:t>
                  </w:r>
                </w:p>
              </w:tc>
            </w:tr>
            <w:tr w14:paraId="0BDAA301">
              <w:tblPrEx>
                <w:tblCellMar>
                  <w:top w:w="0" w:type="dxa"/>
                  <w:left w:w="108" w:type="dxa"/>
                  <w:bottom w:w="0" w:type="dxa"/>
                  <w:right w:w="108" w:type="dxa"/>
                </w:tblCellMar>
              </w:tblPrEx>
              <w:trPr>
                <w:trHeight w:val="408" w:hRule="atLeast"/>
              </w:trPr>
              <w:tc>
                <w:tcPr>
                  <w:tcW w:w="562" w:type="dxa"/>
                  <w:tcBorders>
                    <w:top w:val="single" w:color="000000" w:sz="4" w:space="0"/>
                    <w:left w:val="single" w:color="000000" w:sz="4" w:space="0"/>
                    <w:bottom w:val="single" w:color="000000" w:sz="4" w:space="0"/>
                    <w:right w:val="single" w:color="000000" w:sz="4" w:space="0"/>
                  </w:tcBorders>
                  <w:noWrap/>
                  <w:vAlign w:val="center"/>
                </w:tcPr>
                <w:p w14:paraId="7B9A86DB">
                  <w:pPr>
                    <w:widowControl/>
                    <w:jc w:val="center"/>
                    <w:textAlignment w:val="center"/>
                    <w:rPr>
                      <w:rFonts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2</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5FD6EDE0">
                  <w:pPr>
                    <w:widowControl/>
                    <w:jc w:val="center"/>
                    <w:textAlignment w:val="center"/>
                    <w:rPr>
                      <w:rFonts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中信银行</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2D98C060">
                  <w:pPr>
                    <w:widowControl/>
                    <w:jc w:val="center"/>
                    <w:textAlignment w:val="center"/>
                    <w:rPr>
                      <w:rFonts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政采E贷</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77F8ACE8">
                  <w:pPr>
                    <w:widowControl/>
                    <w:jc w:val="center"/>
                    <w:textAlignment w:val="center"/>
                    <w:rPr>
                      <w:rFonts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1000万元</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2FE91F97">
                  <w:pPr>
                    <w:widowControl/>
                    <w:jc w:val="center"/>
                    <w:textAlignment w:val="center"/>
                    <w:rPr>
                      <w:rFonts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1-3年</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114A9B28">
                  <w:pPr>
                    <w:widowControl/>
                    <w:jc w:val="center"/>
                    <w:textAlignment w:val="center"/>
                    <w:rPr>
                      <w:rFonts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3.45%起</w:t>
                  </w:r>
                </w:p>
              </w:tc>
              <w:tc>
                <w:tcPr>
                  <w:tcW w:w="837" w:type="dxa"/>
                  <w:tcBorders>
                    <w:top w:val="single" w:color="000000" w:sz="4" w:space="0"/>
                    <w:left w:val="single" w:color="000000" w:sz="4" w:space="0"/>
                    <w:bottom w:val="single" w:color="000000" w:sz="4" w:space="0"/>
                    <w:right w:val="single" w:color="000000" w:sz="4" w:space="0"/>
                  </w:tcBorders>
                  <w:noWrap/>
                  <w:vAlign w:val="center"/>
                </w:tcPr>
                <w:p w14:paraId="577E386C">
                  <w:pPr>
                    <w:widowControl/>
                    <w:jc w:val="center"/>
                    <w:textAlignment w:val="center"/>
                    <w:rPr>
                      <w:rFonts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24小时</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30CDC002">
                  <w:pPr>
                    <w:widowControl/>
                    <w:jc w:val="center"/>
                    <w:textAlignment w:val="center"/>
                    <w:rPr>
                      <w:rFonts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李  靖15509125117</w:t>
                  </w:r>
                </w:p>
              </w:tc>
            </w:tr>
            <w:tr w14:paraId="08CEBEDB">
              <w:tblPrEx>
                <w:tblCellMar>
                  <w:top w:w="0" w:type="dxa"/>
                  <w:left w:w="108" w:type="dxa"/>
                  <w:bottom w:w="0" w:type="dxa"/>
                  <w:right w:w="108" w:type="dxa"/>
                </w:tblCellMar>
              </w:tblPrEx>
              <w:trPr>
                <w:trHeight w:val="408" w:hRule="atLeast"/>
              </w:trPr>
              <w:tc>
                <w:tcPr>
                  <w:tcW w:w="562" w:type="dxa"/>
                  <w:tcBorders>
                    <w:top w:val="single" w:color="000000" w:sz="4" w:space="0"/>
                    <w:left w:val="single" w:color="000000" w:sz="4" w:space="0"/>
                    <w:bottom w:val="single" w:color="000000" w:sz="4" w:space="0"/>
                    <w:right w:val="single" w:color="000000" w:sz="4" w:space="0"/>
                  </w:tcBorders>
                  <w:noWrap/>
                  <w:vAlign w:val="center"/>
                </w:tcPr>
                <w:p w14:paraId="6B6AF0E7">
                  <w:pPr>
                    <w:widowControl/>
                    <w:jc w:val="center"/>
                    <w:textAlignment w:val="center"/>
                    <w:rPr>
                      <w:rFonts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3</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1EB656B9">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光大银行</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04FB07B5">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政采贷</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1571BC09">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1000万元</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4B465EF3">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1-3年</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5FE01D78">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3.45%</w:t>
                  </w:r>
                </w:p>
              </w:tc>
              <w:tc>
                <w:tcPr>
                  <w:tcW w:w="837" w:type="dxa"/>
                  <w:tcBorders>
                    <w:top w:val="single" w:color="000000" w:sz="4" w:space="0"/>
                    <w:left w:val="single" w:color="000000" w:sz="4" w:space="0"/>
                    <w:bottom w:val="single" w:color="000000" w:sz="4" w:space="0"/>
                    <w:right w:val="single" w:color="000000" w:sz="4" w:space="0"/>
                  </w:tcBorders>
                  <w:noWrap/>
                  <w:vAlign w:val="center"/>
                </w:tcPr>
                <w:p w14:paraId="77BCB213">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72小时</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2F3D7436">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刘  波18809125468</w:t>
                  </w:r>
                </w:p>
              </w:tc>
            </w:tr>
            <w:tr w14:paraId="3AE6105F">
              <w:tblPrEx>
                <w:tblCellMar>
                  <w:top w:w="0" w:type="dxa"/>
                  <w:left w:w="108" w:type="dxa"/>
                  <w:bottom w:w="0" w:type="dxa"/>
                  <w:right w:w="108" w:type="dxa"/>
                </w:tblCellMar>
              </w:tblPrEx>
              <w:trPr>
                <w:trHeight w:val="408" w:hRule="atLeast"/>
              </w:trPr>
              <w:tc>
                <w:tcPr>
                  <w:tcW w:w="562" w:type="dxa"/>
                  <w:tcBorders>
                    <w:top w:val="single" w:color="000000" w:sz="4" w:space="0"/>
                    <w:left w:val="single" w:color="000000" w:sz="4" w:space="0"/>
                    <w:bottom w:val="single" w:color="000000" w:sz="4" w:space="0"/>
                    <w:right w:val="single" w:color="000000" w:sz="4" w:space="0"/>
                  </w:tcBorders>
                  <w:noWrap/>
                  <w:vAlign w:val="center"/>
                </w:tcPr>
                <w:p w14:paraId="5576A454">
                  <w:pPr>
                    <w:widowControl/>
                    <w:jc w:val="center"/>
                    <w:textAlignment w:val="center"/>
                    <w:rPr>
                      <w:rFonts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4</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6090D735">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交通银行</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4A8FE6B3">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秦政贷</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11C4A229">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1000万元</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0A1440C5">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1年</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68A988A8">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3.45%</w:t>
                  </w:r>
                </w:p>
              </w:tc>
              <w:tc>
                <w:tcPr>
                  <w:tcW w:w="837" w:type="dxa"/>
                  <w:tcBorders>
                    <w:top w:val="single" w:color="000000" w:sz="4" w:space="0"/>
                    <w:left w:val="single" w:color="000000" w:sz="4" w:space="0"/>
                    <w:bottom w:val="single" w:color="000000" w:sz="4" w:space="0"/>
                    <w:right w:val="single" w:color="000000" w:sz="4" w:space="0"/>
                  </w:tcBorders>
                  <w:noWrap/>
                  <w:vAlign w:val="center"/>
                </w:tcPr>
                <w:p w14:paraId="2FFE8A5C">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24小时</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5625D286">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张  飞15291296886</w:t>
                  </w:r>
                </w:p>
              </w:tc>
            </w:tr>
            <w:tr w14:paraId="7CE01F08">
              <w:tblPrEx>
                <w:tblCellMar>
                  <w:top w:w="0" w:type="dxa"/>
                  <w:left w:w="108" w:type="dxa"/>
                  <w:bottom w:w="0" w:type="dxa"/>
                  <w:right w:w="108" w:type="dxa"/>
                </w:tblCellMar>
              </w:tblPrEx>
              <w:trPr>
                <w:trHeight w:val="408" w:hRule="atLeast"/>
              </w:trPr>
              <w:tc>
                <w:tcPr>
                  <w:tcW w:w="562" w:type="dxa"/>
                  <w:tcBorders>
                    <w:top w:val="single" w:color="000000" w:sz="4" w:space="0"/>
                    <w:left w:val="single" w:color="000000" w:sz="4" w:space="0"/>
                    <w:bottom w:val="single" w:color="000000" w:sz="4" w:space="0"/>
                    <w:right w:val="single" w:color="000000" w:sz="4" w:space="0"/>
                  </w:tcBorders>
                  <w:noWrap/>
                  <w:vAlign w:val="center"/>
                </w:tcPr>
                <w:p w14:paraId="3CF0505F">
                  <w:pPr>
                    <w:widowControl/>
                    <w:jc w:val="center"/>
                    <w:textAlignment w:val="center"/>
                    <w:rPr>
                      <w:rFonts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5</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6683C54A">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中国银行</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57A63CE6">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政采贷</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6AC33C36">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1000万元</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76E6D8D2">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1-3年</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4D89E59D">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3.45%</w:t>
                  </w:r>
                </w:p>
              </w:tc>
              <w:tc>
                <w:tcPr>
                  <w:tcW w:w="837" w:type="dxa"/>
                  <w:tcBorders>
                    <w:top w:val="single" w:color="000000" w:sz="4" w:space="0"/>
                    <w:left w:val="single" w:color="000000" w:sz="4" w:space="0"/>
                    <w:bottom w:val="single" w:color="000000" w:sz="4" w:space="0"/>
                    <w:right w:val="single" w:color="000000" w:sz="4" w:space="0"/>
                  </w:tcBorders>
                  <w:noWrap/>
                  <w:vAlign w:val="center"/>
                </w:tcPr>
                <w:p w14:paraId="36CD167C">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72小时</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3EF09314">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李  浩18691230007</w:t>
                  </w:r>
                </w:p>
              </w:tc>
            </w:tr>
            <w:tr w14:paraId="287B1738">
              <w:tblPrEx>
                <w:tblCellMar>
                  <w:top w:w="0" w:type="dxa"/>
                  <w:left w:w="108" w:type="dxa"/>
                  <w:bottom w:w="0" w:type="dxa"/>
                  <w:right w:w="108" w:type="dxa"/>
                </w:tblCellMar>
              </w:tblPrEx>
              <w:trPr>
                <w:trHeight w:val="408" w:hRule="atLeast"/>
              </w:trPr>
              <w:tc>
                <w:tcPr>
                  <w:tcW w:w="562" w:type="dxa"/>
                  <w:tcBorders>
                    <w:top w:val="single" w:color="000000" w:sz="4" w:space="0"/>
                    <w:left w:val="single" w:color="000000" w:sz="4" w:space="0"/>
                    <w:bottom w:val="single" w:color="000000" w:sz="4" w:space="0"/>
                    <w:right w:val="single" w:color="000000" w:sz="4" w:space="0"/>
                  </w:tcBorders>
                  <w:noWrap/>
                  <w:vAlign w:val="center"/>
                </w:tcPr>
                <w:p w14:paraId="57C1ED1D">
                  <w:pPr>
                    <w:widowControl/>
                    <w:jc w:val="center"/>
                    <w:textAlignment w:val="center"/>
                    <w:rPr>
                      <w:rFonts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6</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5885AAF2">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招商银行</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7DEBA049">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政采贷</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124FDEA1">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3000万元</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73B53B10">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1-3年</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464559AC">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3.45%起</w:t>
                  </w:r>
                </w:p>
              </w:tc>
              <w:tc>
                <w:tcPr>
                  <w:tcW w:w="837" w:type="dxa"/>
                  <w:tcBorders>
                    <w:top w:val="single" w:color="000000" w:sz="4" w:space="0"/>
                    <w:left w:val="single" w:color="000000" w:sz="4" w:space="0"/>
                    <w:bottom w:val="single" w:color="000000" w:sz="4" w:space="0"/>
                    <w:right w:val="single" w:color="000000" w:sz="4" w:space="0"/>
                  </w:tcBorders>
                  <w:noWrap/>
                  <w:vAlign w:val="center"/>
                </w:tcPr>
                <w:p w14:paraId="458B0EDE">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24小时</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7C164D66">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马  烨15596100007</w:t>
                  </w:r>
                </w:p>
              </w:tc>
            </w:tr>
            <w:tr w14:paraId="0D5D6E7A">
              <w:tblPrEx>
                <w:tblCellMar>
                  <w:top w:w="0" w:type="dxa"/>
                  <w:left w:w="108" w:type="dxa"/>
                  <w:bottom w:w="0" w:type="dxa"/>
                  <w:right w:w="108" w:type="dxa"/>
                </w:tblCellMar>
              </w:tblPrEx>
              <w:trPr>
                <w:trHeight w:val="408" w:hRule="atLeast"/>
              </w:trPr>
              <w:tc>
                <w:tcPr>
                  <w:tcW w:w="562" w:type="dxa"/>
                  <w:tcBorders>
                    <w:top w:val="single" w:color="000000" w:sz="4" w:space="0"/>
                    <w:left w:val="single" w:color="000000" w:sz="4" w:space="0"/>
                    <w:bottom w:val="single" w:color="000000" w:sz="4" w:space="0"/>
                    <w:right w:val="single" w:color="000000" w:sz="4" w:space="0"/>
                  </w:tcBorders>
                  <w:noWrap/>
                  <w:vAlign w:val="center"/>
                </w:tcPr>
                <w:p w14:paraId="398D627F">
                  <w:pPr>
                    <w:widowControl/>
                    <w:jc w:val="center"/>
                    <w:textAlignment w:val="center"/>
                    <w:rPr>
                      <w:rFonts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7</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32C02609">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浦发银行</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61723AF6">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政采E贷</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62C9B563">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2000万元</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3A2FB4B6">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1年</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3E2600F8">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3.8%</w:t>
                  </w:r>
                </w:p>
              </w:tc>
              <w:tc>
                <w:tcPr>
                  <w:tcW w:w="837" w:type="dxa"/>
                  <w:tcBorders>
                    <w:top w:val="single" w:color="000000" w:sz="4" w:space="0"/>
                    <w:left w:val="single" w:color="000000" w:sz="4" w:space="0"/>
                    <w:bottom w:val="single" w:color="000000" w:sz="4" w:space="0"/>
                    <w:right w:val="single" w:color="000000" w:sz="4" w:space="0"/>
                  </w:tcBorders>
                  <w:noWrap/>
                  <w:vAlign w:val="center"/>
                </w:tcPr>
                <w:p w14:paraId="25467B06">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72小时</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367F10F2">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朱  君15629169158</w:t>
                  </w:r>
                </w:p>
              </w:tc>
            </w:tr>
            <w:tr w14:paraId="637C0A0D">
              <w:tblPrEx>
                <w:tblCellMar>
                  <w:top w:w="0" w:type="dxa"/>
                  <w:left w:w="108" w:type="dxa"/>
                  <w:bottom w:w="0" w:type="dxa"/>
                  <w:right w:w="108" w:type="dxa"/>
                </w:tblCellMar>
              </w:tblPrEx>
              <w:trPr>
                <w:trHeight w:val="408" w:hRule="atLeast"/>
              </w:trPr>
              <w:tc>
                <w:tcPr>
                  <w:tcW w:w="562" w:type="dxa"/>
                  <w:tcBorders>
                    <w:top w:val="single" w:color="000000" w:sz="4" w:space="0"/>
                    <w:left w:val="single" w:color="000000" w:sz="4" w:space="0"/>
                    <w:bottom w:val="single" w:color="000000" w:sz="4" w:space="0"/>
                    <w:right w:val="single" w:color="000000" w:sz="4" w:space="0"/>
                  </w:tcBorders>
                  <w:noWrap/>
                  <w:vAlign w:val="center"/>
                </w:tcPr>
                <w:p w14:paraId="6CA077F9">
                  <w:pPr>
                    <w:widowControl/>
                    <w:jc w:val="center"/>
                    <w:textAlignment w:val="center"/>
                    <w:rPr>
                      <w:rFonts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8</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193A8CF6">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农商银行</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7AE93AE3">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政采贷</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596F2E5C">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1000万元</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39D8DF2F">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1-2年</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67B73C90">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3.45%-5.8%</w:t>
                  </w:r>
                </w:p>
              </w:tc>
              <w:tc>
                <w:tcPr>
                  <w:tcW w:w="837" w:type="dxa"/>
                  <w:tcBorders>
                    <w:top w:val="single" w:color="000000" w:sz="4" w:space="0"/>
                    <w:left w:val="single" w:color="000000" w:sz="4" w:space="0"/>
                    <w:bottom w:val="single" w:color="000000" w:sz="4" w:space="0"/>
                    <w:right w:val="single" w:color="000000" w:sz="4" w:space="0"/>
                  </w:tcBorders>
                  <w:noWrap/>
                  <w:vAlign w:val="center"/>
                </w:tcPr>
                <w:p w14:paraId="57E7C2F2">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24小时</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1DBCBE9C">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王  璐15529875056</w:t>
                  </w:r>
                </w:p>
              </w:tc>
            </w:tr>
            <w:tr w14:paraId="16F98D34">
              <w:tblPrEx>
                <w:tblCellMar>
                  <w:top w:w="0" w:type="dxa"/>
                  <w:left w:w="108" w:type="dxa"/>
                  <w:bottom w:w="0" w:type="dxa"/>
                  <w:right w:w="108" w:type="dxa"/>
                </w:tblCellMar>
              </w:tblPrEx>
              <w:trPr>
                <w:trHeight w:val="408" w:hRule="atLeast"/>
              </w:trPr>
              <w:tc>
                <w:tcPr>
                  <w:tcW w:w="562" w:type="dxa"/>
                  <w:tcBorders>
                    <w:top w:val="single" w:color="000000" w:sz="4" w:space="0"/>
                    <w:left w:val="single" w:color="000000" w:sz="4" w:space="0"/>
                    <w:bottom w:val="single" w:color="000000" w:sz="4" w:space="0"/>
                    <w:right w:val="single" w:color="000000" w:sz="4" w:space="0"/>
                  </w:tcBorders>
                  <w:noWrap/>
                  <w:vAlign w:val="center"/>
                </w:tcPr>
                <w:p w14:paraId="6DE8349E">
                  <w:pPr>
                    <w:widowControl/>
                    <w:jc w:val="center"/>
                    <w:textAlignment w:val="center"/>
                    <w:rPr>
                      <w:rFonts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9</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5443771A">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农业银行</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1E11E4E2">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政采贷</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2D8319DB">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3000万元</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15D8A132">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1年</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7381FB0C">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3.45%-3.85%</w:t>
                  </w:r>
                </w:p>
              </w:tc>
              <w:tc>
                <w:tcPr>
                  <w:tcW w:w="837" w:type="dxa"/>
                  <w:tcBorders>
                    <w:top w:val="single" w:color="000000" w:sz="4" w:space="0"/>
                    <w:left w:val="single" w:color="000000" w:sz="4" w:space="0"/>
                    <w:bottom w:val="single" w:color="000000" w:sz="4" w:space="0"/>
                    <w:right w:val="single" w:color="000000" w:sz="4" w:space="0"/>
                  </w:tcBorders>
                  <w:noWrap/>
                  <w:vAlign w:val="center"/>
                </w:tcPr>
                <w:p w14:paraId="3727992F">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24小时</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7ADADC64">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杨  尧13325409313</w:t>
                  </w:r>
                </w:p>
              </w:tc>
            </w:tr>
            <w:tr w14:paraId="7D1FAD80">
              <w:tblPrEx>
                <w:tblCellMar>
                  <w:top w:w="0" w:type="dxa"/>
                  <w:left w:w="108" w:type="dxa"/>
                  <w:bottom w:w="0" w:type="dxa"/>
                  <w:right w:w="108" w:type="dxa"/>
                </w:tblCellMar>
              </w:tblPrEx>
              <w:trPr>
                <w:trHeight w:val="408" w:hRule="atLeast"/>
              </w:trPr>
              <w:tc>
                <w:tcPr>
                  <w:tcW w:w="562" w:type="dxa"/>
                  <w:tcBorders>
                    <w:top w:val="single" w:color="000000" w:sz="4" w:space="0"/>
                    <w:left w:val="single" w:color="000000" w:sz="4" w:space="0"/>
                    <w:bottom w:val="single" w:color="000000" w:sz="4" w:space="0"/>
                    <w:right w:val="single" w:color="000000" w:sz="4" w:space="0"/>
                  </w:tcBorders>
                  <w:noWrap/>
                  <w:vAlign w:val="center"/>
                </w:tcPr>
                <w:p w14:paraId="3E451B71">
                  <w:pPr>
                    <w:widowControl/>
                    <w:jc w:val="center"/>
                    <w:textAlignment w:val="center"/>
                    <w:rPr>
                      <w:rFonts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10</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5E6323AC">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民生银行</w:t>
                  </w:r>
                </w:p>
              </w:tc>
              <w:tc>
                <w:tcPr>
                  <w:tcW w:w="843" w:type="dxa"/>
                  <w:tcBorders>
                    <w:top w:val="single" w:color="000000" w:sz="4" w:space="0"/>
                    <w:left w:val="single" w:color="000000" w:sz="4" w:space="0"/>
                    <w:bottom w:val="single" w:color="000000" w:sz="4" w:space="0"/>
                    <w:right w:val="single" w:color="000000" w:sz="4" w:space="0"/>
                  </w:tcBorders>
                  <w:noWrap/>
                  <w:vAlign w:val="center"/>
                </w:tcPr>
                <w:p w14:paraId="24FF967E">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政采E贷</w:t>
                  </w:r>
                </w:p>
              </w:tc>
              <w:tc>
                <w:tcPr>
                  <w:tcW w:w="805" w:type="dxa"/>
                  <w:tcBorders>
                    <w:top w:val="single" w:color="000000" w:sz="4" w:space="0"/>
                    <w:left w:val="single" w:color="000000" w:sz="4" w:space="0"/>
                    <w:bottom w:val="single" w:color="000000" w:sz="4" w:space="0"/>
                    <w:right w:val="single" w:color="000000" w:sz="4" w:space="0"/>
                  </w:tcBorders>
                  <w:noWrap/>
                  <w:vAlign w:val="center"/>
                </w:tcPr>
                <w:p w14:paraId="086FCD65">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3000万元</w:t>
                  </w:r>
                </w:p>
              </w:tc>
              <w:tc>
                <w:tcPr>
                  <w:tcW w:w="747" w:type="dxa"/>
                  <w:tcBorders>
                    <w:top w:val="single" w:color="000000" w:sz="4" w:space="0"/>
                    <w:left w:val="single" w:color="000000" w:sz="4" w:space="0"/>
                    <w:bottom w:val="single" w:color="000000" w:sz="4" w:space="0"/>
                    <w:right w:val="single" w:color="000000" w:sz="4" w:space="0"/>
                  </w:tcBorders>
                  <w:noWrap/>
                  <w:vAlign w:val="center"/>
                </w:tcPr>
                <w:p w14:paraId="3A99A213">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1年</w:t>
                  </w:r>
                </w:p>
              </w:tc>
              <w:tc>
                <w:tcPr>
                  <w:tcW w:w="791" w:type="dxa"/>
                  <w:tcBorders>
                    <w:top w:val="single" w:color="000000" w:sz="4" w:space="0"/>
                    <w:left w:val="single" w:color="000000" w:sz="4" w:space="0"/>
                    <w:bottom w:val="single" w:color="000000" w:sz="4" w:space="0"/>
                    <w:right w:val="single" w:color="000000" w:sz="4" w:space="0"/>
                  </w:tcBorders>
                  <w:noWrap/>
                  <w:vAlign w:val="center"/>
                </w:tcPr>
                <w:p w14:paraId="4C5AE39D">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3.45%起</w:t>
                  </w:r>
                </w:p>
              </w:tc>
              <w:tc>
                <w:tcPr>
                  <w:tcW w:w="837" w:type="dxa"/>
                  <w:tcBorders>
                    <w:top w:val="single" w:color="000000" w:sz="4" w:space="0"/>
                    <w:left w:val="single" w:color="000000" w:sz="4" w:space="0"/>
                    <w:bottom w:val="single" w:color="000000" w:sz="4" w:space="0"/>
                    <w:right w:val="single" w:color="000000" w:sz="4" w:space="0"/>
                  </w:tcBorders>
                  <w:noWrap/>
                  <w:vAlign w:val="center"/>
                </w:tcPr>
                <w:p w14:paraId="1C9423A1">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24小时</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25E6451F">
                  <w:pPr>
                    <w:widowControl/>
                    <w:jc w:val="center"/>
                    <w:textAlignment w:val="center"/>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kern w:val="0"/>
                      <w:szCs w:val="21"/>
                    </w:rPr>
                    <w:t>郝双双15991225850</w:t>
                  </w:r>
                </w:p>
              </w:tc>
            </w:tr>
          </w:tbl>
          <w:p w14:paraId="0E7A5A43">
            <w:pPr>
              <w:pStyle w:val="17"/>
              <w:snapToGrid/>
              <w:spacing w:line="360" w:lineRule="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sz w:val="21"/>
                <w:szCs w:val="21"/>
              </w:rPr>
              <w:t>备注：银行排名不分先后。如产品额度、期限、利率等内容发生改变，以银行解释为准。</w:t>
            </w:r>
          </w:p>
        </w:tc>
      </w:tr>
      <w:tr w14:paraId="396B4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818" w:type="dxa"/>
            <w:vAlign w:val="center"/>
          </w:tcPr>
          <w:p w14:paraId="5CA2CD1D">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30</w:t>
            </w:r>
          </w:p>
        </w:tc>
        <w:tc>
          <w:tcPr>
            <w:tcW w:w="1907" w:type="dxa"/>
            <w:vAlign w:val="center"/>
          </w:tcPr>
          <w:p w14:paraId="2F16BACC">
            <w:pPr>
              <w:pStyle w:val="17"/>
              <w:snapToGrid/>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其他</w:t>
            </w:r>
          </w:p>
        </w:tc>
        <w:tc>
          <w:tcPr>
            <w:tcW w:w="7014" w:type="dxa"/>
            <w:vAlign w:val="center"/>
          </w:tcPr>
          <w:p w14:paraId="0A71FE94">
            <w:pPr>
              <w:spacing w:line="360" w:lineRule="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招标文件与媒体发布的采购公告不一致时，以采购公告为准；正文与投标人须知前附表表述不一致时，以投标人须知前附表为准。</w:t>
            </w:r>
          </w:p>
        </w:tc>
      </w:tr>
    </w:tbl>
    <w:p w14:paraId="197870C1">
      <w:pPr>
        <w:jc w:val="center"/>
        <w:rPr>
          <w:rFonts w:asciiTheme="majorEastAsia" w:hAnsiTheme="majorEastAsia" w:eastAsiaTheme="majorEastAsia" w:cstheme="majorEastAsia"/>
          <w:b/>
          <w:sz w:val="30"/>
          <w:szCs w:val="30"/>
        </w:rPr>
      </w:pPr>
    </w:p>
    <w:p w14:paraId="5927FE72">
      <w:pPr>
        <w:jc w:val="center"/>
        <w:outlineLvl w:val="0"/>
        <w:rPr>
          <w:rFonts w:asciiTheme="majorEastAsia" w:hAnsiTheme="majorEastAsia" w:eastAsiaTheme="majorEastAsia" w:cstheme="majorEastAsia"/>
          <w:b/>
          <w:sz w:val="30"/>
          <w:szCs w:val="30"/>
        </w:rPr>
        <w:sectPr>
          <w:headerReference r:id="rId4" w:type="default"/>
          <w:footerReference r:id="rId5" w:type="default"/>
          <w:pgSz w:w="11900" w:h="16838"/>
          <w:pgMar w:top="1429" w:right="1417" w:bottom="1417" w:left="1417" w:header="850" w:footer="850" w:gutter="0"/>
          <w:cols w:space="720" w:num="1"/>
          <w:docGrid w:linePitch="326" w:charSpace="0"/>
        </w:sectPr>
      </w:pPr>
    </w:p>
    <w:p w14:paraId="4EB4D435">
      <w:pPr>
        <w:jc w:val="center"/>
        <w:outlineLvl w:val="0"/>
        <w:rPr>
          <w:rFonts w:asciiTheme="majorEastAsia" w:hAnsiTheme="majorEastAsia" w:eastAsiaTheme="majorEastAsia" w:cstheme="majorEastAsia"/>
          <w:b/>
          <w:sz w:val="30"/>
          <w:szCs w:val="30"/>
        </w:rPr>
      </w:pPr>
      <w:bookmarkStart w:id="27" w:name="_Toc27150"/>
      <w:r>
        <w:rPr>
          <w:rFonts w:hint="eastAsia" w:asciiTheme="majorEastAsia" w:hAnsiTheme="majorEastAsia" w:eastAsiaTheme="majorEastAsia" w:cstheme="majorEastAsia"/>
          <w:b/>
          <w:sz w:val="30"/>
          <w:szCs w:val="30"/>
        </w:rPr>
        <w:t>第三章  投标须知</w:t>
      </w:r>
      <w:bookmarkEnd w:id="27"/>
    </w:p>
    <w:p w14:paraId="6C321E87">
      <w:pPr>
        <w:spacing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一、总  则</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46B94A37">
      <w:pPr>
        <w:spacing w:line="360" w:lineRule="auto"/>
        <w:ind w:firstLine="470" w:firstLineChars="196"/>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本次招标依据《中华人民共和国政府采购法》、《政府采购货物和服务招标投标管理办法》、及国家现行有关法律法规执行。</w:t>
      </w:r>
    </w:p>
    <w:p w14:paraId="612D00CB">
      <w:pPr>
        <w:spacing w:line="360" w:lineRule="auto"/>
        <w:ind w:firstLine="472" w:firstLineChars="196"/>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1．采购人、采购代理机构、监督管理机构</w:t>
      </w:r>
    </w:p>
    <w:p w14:paraId="36F047F5">
      <w:pPr>
        <w:spacing w:line="360" w:lineRule="auto"/>
        <w:ind w:firstLine="470" w:firstLineChars="196"/>
        <w:rPr>
          <w:rFonts w:hint="eastAsia" w:asciiTheme="majorEastAsia" w:hAnsiTheme="majorEastAsia" w:eastAsiaTheme="majorEastAsia" w:cstheme="majorEastAsia"/>
          <w:sz w:val="24"/>
          <w:lang w:eastAsia="zh-CN"/>
        </w:rPr>
      </w:pPr>
      <w:r>
        <w:rPr>
          <w:rFonts w:hint="eastAsia" w:asciiTheme="majorEastAsia" w:hAnsiTheme="majorEastAsia" w:eastAsiaTheme="majorEastAsia" w:cstheme="majorEastAsia"/>
          <w:sz w:val="24"/>
        </w:rPr>
        <w:t>1.1 采   购   人：</w:t>
      </w:r>
      <w:r>
        <w:rPr>
          <w:rFonts w:hint="eastAsia" w:asciiTheme="majorEastAsia" w:hAnsiTheme="majorEastAsia" w:eastAsiaTheme="majorEastAsia" w:cstheme="majorEastAsia"/>
          <w:sz w:val="24"/>
          <w:lang w:eastAsia="zh-CN"/>
        </w:rPr>
        <w:t>清涧县清涧中学</w:t>
      </w:r>
    </w:p>
    <w:p w14:paraId="4D8B8A4B">
      <w:pPr>
        <w:spacing w:line="360" w:lineRule="auto"/>
        <w:ind w:firstLine="470" w:firstLineChars="196"/>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 采购代理机构：陕西华旭晟信项目管理有限责任公司</w:t>
      </w:r>
    </w:p>
    <w:p w14:paraId="21CFF261">
      <w:pPr>
        <w:spacing w:line="360" w:lineRule="auto"/>
        <w:ind w:firstLine="470" w:firstLineChars="196"/>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1.3 监督管理机构：</w:t>
      </w:r>
      <w:r>
        <w:rPr>
          <w:rFonts w:hint="eastAsia" w:asciiTheme="majorEastAsia" w:hAnsiTheme="majorEastAsia" w:eastAsiaTheme="majorEastAsia" w:cstheme="majorEastAsia"/>
          <w:sz w:val="24"/>
          <w:lang w:val="en-US" w:eastAsia="zh-CN"/>
        </w:rPr>
        <w:t>清涧县</w:t>
      </w:r>
      <w:r>
        <w:rPr>
          <w:rFonts w:hint="eastAsia" w:asciiTheme="majorEastAsia" w:hAnsiTheme="majorEastAsia" w:eastAsiaTheme="majorEastAsia" w:cstheme="majorEastAsia"/>
          <w:sz w:val="24"/>
        </w:rPr>
        <w:t>财政局</w:t>
      </w:r>
    </w:p>
    <w:p w14:paraId="47F9C525">
      <w:pPr>
        <w:spacing w:line="360" w:lineRule="auto"/>
        <w:ind w:firstLine="472" w:firstLineChars="196"/>
        <w:rPr>
          <w:rFonts w:asciiTheme="majorEastAsia" w:hAnsiTheme="majorEastAsia" w:eastAsiaTheme="majorEastAsia" w:cstheme="majorEastAsia"/>
          <w:sz w:val="24"/>
        </w:rPr>
      </w:pPr>
      <w:r>
        <w:rPr>
          <w:rFonts w:hint="eastAsia" w:asciiTheme="majorEastAsia" w:hAnsiTheme="majorEastAsia" w:eastAsiaTheme="majorEastAsia" w:cstheme="majorEastAsia"/>
          <w:b/>
          <w:bCs/>
          <w:sz w:val="24"/>
        </w:rPr>
        <w:t>2．合格的投标人、合格的服务</w:t>
      </w:r>
    </w:p>
    <w:p w14:paraId="4B8D269B">
      <w:pPr>
        <w:spacing w:line="360" w:lineRule="auto"/>
        <w:ind w:firstLine="482" w:firstLineChars="200"/>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2.1 合格的投标人</w:t>
      </w:r>
    </w:p>
    <w:p w14:paraId="2E36EB11">
      <w:pPr>
        <w:spacing w:line="360" w:lineRule="auto"/>
        <w:ind w:firstLine="470" w:firstLineChars="196"/>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2.1.1 资质要求：</w:t>
      </w:r>
    </w:p>
    <w:p w14:paraId="0A96A319">
      <w:pPr>
        <w:spacing w:line="360" w:lineRule="auto"/>
        <w:ind w:firstLine="42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1、符合《中华人民共和国政府采购法》第二十二条的规定；</w:t>
      </w:r>
    </w:p>
    <w:p w14:paraId="597F5389">
      <w:pPr>
        <w:pStyle w:val="22"/>
        <w:spacing w:line="360" w:lineRule="auto"/>
        <w:ind w:firstLine="420"/>
        <w:rPr>
          <w:rFonts w:asciiTheme="majorEastAsia" w:hAnsiTheme="majorEastAsia" w:eastAsiaTheme="majorEastAsia" w:cstheme="majorEastAsia"/>
          <w:bCs/>
        </w:rPr>
      </w:pPr>
      <w:r>
        <w:rPr>
          <w:rFonts w:hint="eastAsia" w:asciiTheme="majorEastAsia" w:hAnsiTheme="majorEastAsia" w:eastAsiaTheme="majorEastAsia" w:cstheme="majorEastAsia"/>
          <w:bCs/>
        </w:rPr>
        <w:t>2、落实政府采购政策需满足的资格要求：详见招标公告</w:t>
      </w:r>
    </w:p>
    <w:p w14:paraId="036BA856">
      <w:pPr>
        <w:pStyle w:val="22"/>
        <w:spacing w:line="360" w:lineRule="auto"/>
        <w:ind w:firstLine="420"/>
        <w:rPr>
          <w:rFonts w:asciiTheme="majorEastAsia" w:hAnsiTheme="majorEastAsia" w:eastAsiaTheme="majorEastAsia" w:cstheme="majorEastAsia"/>
          <w:bCs/>
        </w:rPr>
      </w:pPr>
      <w:r>
        <w:rPr>
          <w:rFonts w:hint="eastAsia" w:asciiTheme="majorEastAsia" w:hAnsiTheme="majorEastAsia" w:eastAsiaTheme="majorEastAsia" w:cstheme="majorEastAsia"/>
          <w:bCs/>
        </w:rPr>
        <w:t>3、本项目的特定资格要求：详见招标公告</w:t>
      </w:r>
    </w:p>
    <w:p w14:paraId="19EDC41D">
      <w:pPr>
        <w:pStyle w:val="10"/>
        <w:spacing w:after="0" w:line="360" w:lineRule="auto"/>
        <w:ind w:firstLine="482" w:firstLineChars="200"/>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 xml:space="preserve"> 2.1.1.2 根据《陕西省财政厅关于政府采购供应商注册登记有关事项的通知》的要求，参加本项目投标且符合《政府采购法》第二十二条规定的合格供应商须通过陕西省政府采购网（http://www.ccgp-shaanxi.gov.cn/）注册登记加入陕西省政府采购供应商库，以便中标后能顺利录入中标单位信息，若未办理入库手续，造成不能发布中标公告，责任自负；</w:t>
      </w:r>
    </w:p>
    <w:p w14:paraId="7F23410C">
      <w:pPr>
        <w:pStyle w:val="10"/>
        <w:spacing w:after="0"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2.1.2 本项目不接受联合体投标。</w:t>
      </w:r>
    </w:p>
    <w:p w14:paraId="7B76944F">
      <w:pPr>
        <w:spacing w:line="360" w:lineRule="auto"/>
        <w:ind w:firstLine="472" w:firstLineChars="196"/>
        <w:rPr>
          <w:rFonts w:asciiTheme="majorEastAsia" w:hAnsiTheme="majorEastAsia" w:eastAsiaTheme="majorEastAsia" w:cstheme="majorEastAsia"/>
          <w:b/>
          <w:sz w:val="24"/>
        </w:rPr>
      </w:pPr>
      <w:bookmarkStart w:id="28" w:name="_Toc208337151"/>
      <w:bookmarkStart w:id="29" w:name="_Toc167590762"/>
      <w:bookmarkStart w:id="30" w:name="_Toc154482466"/>
      <w:bookmarkStart w:id="31" w:name="_Toc167849347"/>
      <w:bookmarkStart w:id="32" w:name="_Toc245657540"/>
      <w:bookmarkStart w:id="33" w:name="_Toc169846860"/>
      <w:bookmarkStart w:id="34" w:name="_Toc244623578"/>
      <w:bookmarkStart w:id="35" w:name="_Toc167591030"/>
      <w:bookmarkStart w:id="36" w:name="_Toc207897903"/>
      <w:bookmarkStart w:id="37" w:name="_Toc170980441"/>
      <w:bookmarkStart w:id="38" w:name="_Toc167591131"/>
      <w:bookmarkStart w:id="39" w:name="_Toc170980539"/>
      <w:bookmarkStart w:id="40" w:name="_Toc173549965"/>
      <w:bookmarkStart w:id="41" w:name="_Toc245658521"/>
      <w:bookmarkStart w:id="42" w:name="_Toc167591479"/>
      <w:bookmarkStart w:id="43" w:name="_Toc175033579"/>
      <w:bookmarkStart w:id="44" w:name="_Toc169846763"/>
      <w:bookmarkStart w:id="45" w:name="_Toc245176652"/>
      <w:bookmarkStart w:id="46" w:name="_Toc175032424"/>
      <w:bookmarkStart w:id="47" w:name="_Toc167591317"/>
      <w:bookmarkStart w:id="48" w:name="_Toc169838519"/>
      <w:r>
        <w:rPr>
          <w:rFonts w:hint="eastAsia" w:asciiTheme="majorEastAsia" w:hAnsiTheme="majorEastAsia" w:eastAsiaTheme="majorEastAsia" w:cstheme="majorEastAsia"/>
          <w:b/>
          <w:sz w:val="24"/>
        </w:rPr>
        <w:t>2.2 合格的货物（产品）和服务</w:t>
      </w:r>
    </w:p>
    <w:p w14:paraId="6B96AC54">
      <w:pPr>
        <w:spacing w:line="360" w:lineRule="auto"/>
        <w:ind w:firstLine="470" w:firstLineChars="196"/>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2.2.1投标人提供的所有货物和服务，必须是合法生产、合法来源，符合国家有关标准要求，并满足招标文件规定的规格、参数、质量、价格、有效期、售后服务及投标人须承担的运输和招标文件规定的其它伴随服务等要求。</w:t>
      </w:r>
    </w:p>
    <w:p w14:paraId="7138BC12">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2.2.2 采购人有权拒绝接受任何不合格的货物和服务，由此产生的费用及相关后果均由投标人自行承担。</w:t>
      </w:r>
    </w:p>
    <w:p w14:paraId="3EA1849F">
      <w:pPr>
        <w:spacing w:line="360" w:lineRule="auto"/>
        <w:ind w:firstLine="482"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b/>
          <w:sz w:val="24"/>
        </w:rPr>
        <w:t>3．投标费用</w:t>
      </w:r>
    </w:p>
    <w:p w14:paraId="6222A1C8">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投标人应承担所有与准备和参加投标有关的费用。</w:t>
      </w:r>
    </w:p>
    <w:p w14:paraId="55686BA4">
      <w:pPr>
        <w:spacing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二、招标文件</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3C206CDE">
      <w:pPr>
        <w:spacing w:line="360" w:lineRule="auto"/>
        <w:ind w:firstLine="482"/>
        <w:rPr>
          <w:rFonts w:asciiTheme="majorEastAsia" w:hAnsiTheme="majorEastAsia" w:eastAsiaTheme="majorEastAsia" w:cstheme="majorEastAsia"/>
          <w:b/>
          <w:kern w:val="1"/>
          <w:sz w:val="24"/>
        </w:rPr>
      </w:pPr>
      <w:bookmarkStart w:id="49" w:name="_Toc170980540"/>
      <w:bookmarkStart w:id="50" w:name="_Toc175033580"/>
      <w:bookmarkStart w:id="51" w:name="_Toc167591132"/>
      <w:bookmarkStart w:id="52" w:name="_Toc167591480"/>
      <w:bookmarkStart w:id="53" w:name="_Toc169846764"/>
      <w:bookmarkStart w:id="54" w:name="_Toc154482467"/>
      <w:bookmarkStart w:id="55" w:name="_Toc167590763"/>
      <w:bookmarkStart w:id="56" w:name="_Toc244623579"/>
      <w:bookmarkStart w:id="57" w:name="_Toc208337152"/>
      <w:bookmarkStart w:id="58" w:name="_Toc167849348"/>
      <w:bookmarkStart w:id="59" w:name="_Toc169838520"/>
      <w:bookmarkStart w:id="60" w:name="_Toc170980442"/>
      <w:bookmarkStart w:id="61" w:name="_Toc167591318"/>
      <w:bookmarkStart w:id="62" w:name="_Toc169846861"/>
      <w:bookmarkStart w:id="63" w:name="_Toc245657541"/>
      <w:bookmarkStart w:id="64" w:name="_Toc245176653"/>
      <w:bookmarkStart w:id="65" w:name="_Toc175032425"/>
      <w:bookmarkStart w:id="66" w:name="_Toc167591031"/>
      <w:bookmarkStart w:id="67" w:name="_Toc173549966"/>
      <w:bookmarkStart w:id="68" w:name="_Toc207897904"/>
      <w:bookmarkStart w:id="69" w:name="_Toc245658522"/>
      <w:r>
        <w:rPr>
          <w:rFonts w:hint="eastAsia" w:asciiTheme="majorEastAsia" w:hAnsiTheme="majorEastAsia" w:eastAsiaTheme="majorEastAsia" w:cstheme="majorEastAsia"/>
          <w:b/>
          <w:kern w:val="1"/>
          <w:sz w:val="24"/>
        </w:rPr>
        <w:t>4．招标文件构成</w:t>
      </w:r>
    </w:p>
    <w:p w14:paraId="39FCF95B">
      <w:pPr>
        <w:spacing w:line="360" w:lineRule="auto"/>
        <w:ind w:firstLine="470"/>
        <w:rPr>
          <w:rFonts w:asciiTheme="majorEastAsia" w:hAnsiTheme="majorEastAsia" w:eastAsiaTheme="majorEastAsia" w:cstheme="majorEastAsia"/>
          <w:kern w:val="1"/>
          <w:sz w:val="24"/>
        </w:rPr>
      </w:pPr>
      <w:r>
        <w:rPr>
          <w:rFonts w:hint="eastAsia" w:asciiTheme="majorEastAsia" w:hAnsiTheme="majorEastAsia" w:eastAsiaTheme="majorEastAsia" w:cstheme="majorEastAsia"/>
          <w:kern w:val="1"/>
          <w:sz w:val="24"/>
        </w:rPr>
        <w:t>招标文件包括下列内容：</w:t>
      </w:r>
    </w:p>
    <w:p w14:paraId="7B857CE1">
      <w:pPr>
        <w:spacing w:line="360" w:lineRule="auto"/>
        <w:ind w:firstLine="480" w:firstLineChars="200"/>
        <w:rPr>
          <w:rFonts w:asciiTheme="majorEastAsia" w:hAnsiTheme="majorEastAsia" w:eastAsiaTheme="majorEastAsia" w:cstheme="majorEastAsia"/>
          <w:kern w:val="1"/>
          <w:sz w:val="24"/>
        </w:rPr>
      </w:pPr>
      <w:r>
        <w:rPr>
          <w:rFonts w:hint="eastAsia" w:asciiTheme="majorEastAsia" w:hAnsiTheme="majorEastAsia" w:eastAsiaTheme="majorEastAsia" w:cstheme="majorEastAsia"/>
          <w:kern w:val="1"/>
          <w:sz w:val="24"/>
        </w:rPr>
        <w:t>第一章  招标公告</w:t>
      </w:r>
    </w:p>
    <w:p w14:paraId="4B08A212">
      <w:pPr>
        <w:spacing w:line="360" w:lineRule="auto"/>
        <w:ind w:firstLine="480" w:firstLineChars="200"/>
        <w:rPr>
          <w:rFonts w:asciiTheme="majorEastAsia" w:hAnsiTheme="majorEastAsia" w:eastAsiaTheme="majorEastAsia" w:cstheme="majorEastAsia"/>
          <w:kern w:val="1"/>
          <w:sz w:val="24"/>
        </w:rPr>
      </w:pPr>
      <w:r>
        <w:rPr>
          <w:rFonts w:hint="eastAsia" w:asciiTheme="majorEastAsia" w:hAnsiTheme="majorEastAsia" w:eastAsiaTheme="majorEastAsia" w:cstheme="majorEastAsia"/>
          <w:kern w:val="1"/>
          <w:sz w:val="24"/>
        </w:rPr>
        <w:t>第二章  投标须知前附表</w:t>
      </w:r>
    </w:p>
    <w:p w14:paraId="055F77FE">
      <w:pPr>
        <w:spacing w:line="360" w:lineRule="auto"/>
        <w:ind w:firstLine="480" w:firstLineChars="200"/>
        <w:rPr>
          <w:rFonts w:asciiTheme="majorEastAsia" w:hAnsiTheme="majorEastAsia" w:eastAsiaTheme="majorEastAsia" w:cstheme="majorEastAsia"/>
          <w:kern w:val="1"/>
          <w:sz w:val="24"/>
        </w:rPr>
      </w:pPr>
      <w:r>
        <w:rPr>
          <w:rFonts w:hint="eastAsia" w:asciiTheme="majorEastAsia" w:hAnsiTheme="majorEastAsia" w:eastAsiaTheme="majorEastAsia" w:cstheme="majorEastAsia"/>
          <w:kern w:val="1"/>
          <w:sz w:val="24"/>
        </w:rPr>
        <w:t>第三章  投标须知</w:t>
      </w:r>
    </w:p>
    <w:p w14:paraId="7F53D8A6">
      <w:pPr>
        <w:spacing w:line="360" w:lineRule="auto"/>
        <w:ind w:firstLine="480" w:firstLineChars="200"/>
        <w:rPr>
          <w:rFonts w:asciiTheme="majorEastAsia" w:hAnsiTheme="majorEastAsia" w:eastAsiaTheme="majorEastAsia" w:cstheme="majorEastAsia"/>
          <w:kern w:val="1"/>
          <w:sz w:val="24"/>
        </w:rPr>
      </w:pPr>
      <w:r>
        <w:rPr>
          <w:rFonts w:hint="eastAsia" w:asciiTheme="majorEastAsia" w:hAnsiTheme="majorEastAsia" w:eastAsiaTheme="majorEastAsia" w:cstheme="majorEastAsia"/>
          <w:kern w:val="1"/>
          <w:sz w:val="24"/>
        </w:rPr>
        <w:t>第四章  采购内容及技术要求</w:t>
      </w:r>
    </w:p>
    <w:p w14:paraId="239A1DA1">
      <w:pPr>
        <w:spacing w:line="360" w:lineRule="auto"/>
        <w:ind w:firstLine="480" w:firstLineChars="200"/>
        <w:rPr>
          <w:rFonts w:asciiTheme="majorEastAsia" w:hAnsiTheme="majorEastAsia" w:eastAsiaTheme="majorEastAsia" w:cstheme="majorEastAsia"/>
          <w:kern w:val="1"/>
          <w:sz w:val="24"/>
        </w:rPr>
      </w:pPr>
      <w:r>
        <w:rPr>
          <w:rFonts w:hint="eastAsia" w:asciiTheme="majorEastAsia" w:hAnsiTheme="majorEastAsia" w:eastAsiaTheme="majorEastAsia" w:cstheme="majorEastAsia"/>
          <w:kern w:val="1"/>
          <w:sz w:val="24"/>
        </w:rPr>
        <w:t>第五章  商务条款</w:t>
      </w:r>
    </w:p>
    <w:p w14:paraId="4919093A">
      <w:pPr>
        <w:spacing w:line="360" w:lineRule="auto"/>
        <w:ind w:firstLine="480" w:firstLineChars="200"/>
        <w:rPr>
          <w:rFonts w:asciiTheme="majorEastAsia" w:hAnsiTheme="majorEastAsia" w:eastAsiaTheme="majorEastAsia" w:cstheme="majorEastAsia"/>
          <w:kern w:val="1"/>
          <w:sz w:val="24"/>
        </w:rPr>
      </w:pPr>
      <w:r>
        <w:rPr>
          <w:rFonts w:hint="eastAsia" w:asciiTheme="majorEastAsia" w:hAnsiTheme="majorEastAsia" w:eastAsiaTheme="majorEastAsia" w:cstheme="majorEastAsia"/>
          <w:kern w:val="1"/>
          <w:sz w:val="24"/>
        </w:rPr>
        <w:t xml:space="preserve">第六章  合同条款  </w:t>
      </w:r>
    </w:p>
    <w:p w14:paraId="69938EFE">
      <w:pPr>
        <w:spacing w:line="360" w:lineRule="auto"/>
        <w:ind w:firstLine="480" w:firstLineChars="200"/>
        <w:rPr>
          <w:rFonts w:asciiTheme="majorEastAsia" w:hAnsiTheme="majorEastAsia" w:eastAsiaTheme="majorEastAsia" w:cstheme="majorEastAsia"/>
          <w:kern w:val="1"/>
          <w:sz w:val="24"/>
        </w:rPr>
      </w:pPr>
      <w:r>
        <w:rPr>
          <w:rFonts w:hint="eastAsia" w:asciiTheme="majorEastAsia" w:hAnsiTheme="majorEastAsia" w:eastAsiaTheme="majorEastAsia" w:cstheme="majorEastAsia"/>
          <w:kern w:val="1"/>
          <w:sz w:val="24"/>
        </w:rPr>
        <w:t>第七章  投标文件基本格式</w:t>
      </w:r>
    </w:p>
    <w:p w14:paraId="75FE326E">
      <w:pPr>
        <w:spacing w:line="360" w:lineRule="auto"/>
        <w:ind w:firstLine="480" w:firstLineChars="200"/>
        <w:rPr>
          <w:rFonts w:asciiTheme="majorEastAsia" w:hAnsiTheme="majorEastAsia" w:eastAsiaTheme="majorEastAsia" w:cstheme="majorEastAsia"/>
          <w:kern w:val="1"/>
          <w:sz w:val="24"/>
        </w:rPr>
      </w:pPr>
      <w:r>
        <w:rPr>
          <w:rFonts w:hint="eastAsia" w:asciiTheme="majorEastAsia" w:hAnsiTheme="majorEastAsia" w:eastAsiaTheme="majorEastAsia" w:cstheme="majorEastAsia"/>
          <w:kern w:val="1"/>
          <w:sz w:val="24"/>
        </w:rPr>
        <w:t>第八章  榆林市公共资源交易平台全流程电子化政府采购项目内容</w:t>
      </w:r>
    </w:p>
    <w:p w14:paraId="5E980CD8">
      <w:pPr>
        <w:spacing w:line="360" w:lineRule="auto"/>
        <w:ind w:firstLine="482"/>
        <w:rPr>
          <w:rFonts w:asciiTheme="majorEastAsia" w:hAnsiTheme="majorEastAsia" w:eastAsiaTheme="majorEastAsia" w:cstheme="majorEastAsia"/>
          <w:b/>
          <w:kern w:val="1"/>
          <w:sz w:val="24"/>
        </w:rPr>
      </w:pPr>
      <w:r>
        <w:rPr>
          <w:rFonts w:hint="eastAsia" w:asciiTheme="majorEastAsia" w:hAnsiTheme="majorEastAsia" w:eastAsiaTheme="majorEastAsia" w:cstheme="majorEastAsia"/>
          <w:b/>
          <w:kern w:val="1"/>
          <w:sz w:val="24"/>
        </w:rPr>
        <w:t>5．招标文件的澄清和修改</w:t>
      </w:r>
    </w:p>
    <w:p w14:paraId="0DE6814E">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kern w:val="1"/>
          <w:sz w:val="24"/>
        </w:rPr>
        <w:t xml:space="preserve">5.1 </w:t>
      </w:r>
      <w:r>
        <w:rPr>
          <w:rFonts w:hint="eastAsia" w:asciiTheme="majorEastAsia" w:hAnsiTheme="majorEastAsia" w:eastAsiaTheme="majorEastAsia" w:cstheme="majorEastAsia"/>
          <w:sz w:val="24"/>
        </w:rPr>
        <w:t>采购代理机构可以对已发出的招标文件进行必要的澄清或者修改，</w:t>
      </w:r>
      <w:r>
        <w:rPr>
          <w:rFonts w:hint="eastAsia" w:asciiTheme="majorEastAsia" w:hAnsiTheme="majorEastAsia" w:eastAsiaTheme="majorEastAsia" w:cstheme="majorEastAsia"/>
          <w:b/>
          <w:sz w:val="24"/>
        </w:rPr>
        <w:t>但不得改变采购标的和资格条件。</w:t>
      </w:r>
      <w:r>
        <w:rPr>
          <w:rFonts w:hint="eastAsia" w:asciiTheme="majorEastAsia" w:hAnsiTheme="majorEastAsia" w:eastAsiaTheme="majorEastAsia" w:cstheme="majorEastAsia"/>
          <w:sz w:val="24"/>
        </w:rPr>
        <w:t>澄清或者修改应将在原公告发布媒体上发布澄清公告，其内容为招标文件的组成部分。</w:t>
      </w:r>
    </w:p>
    <w:p w14:paraId="157DC41B">
      <w:pPr>
        <w:spacing w:line="360" w:lineRule="auto"/>
        <w:ind w:firstLine="480"/>
        <w:rPr>
          <w:rFonts w:asciiTheme="majorEastAsia" w:hAnsiTheme="majorEastAsia" w:eastAsiaTheme="majorEastAsia" w:cstheme="majorEastAsia"/>
          <w:kern w:val="1"/>
          <w:sz w:val="24"/>
        </w:rPr>
      </w:pPr>
      <w:r>
        <w:rPr>
          <w:rFonts w:hint="eastAsia" w:asciiTheme="majorEastAsia" w:hAnsiTheme="majorEastAsia" w:eastAsiaTheme="majorEastAsia" w:cstheme="majorEastAsia"/>
          <w:kern w:val="1"/>
          <w:sz w:val="24"/>
        </w:rPr>
        <w:t>5.2 澄清或者修改的内容可能影响投标文件编制的，采购代理机构将在投标截止时间至少15日前，在原公告发布媒体上发布更正公告；不足15日，采购代理机构将顺延提交投标文件的截止时间。</w:t>
      </w:r>
    </w:p>
    <w:p w14:paraId="3DB4C8AD">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kern w:val="1"/>
          <w:sz w:val="24"/>
        </w:rPr>
        <w:t xml:space="preserve">5.3 </w:t>
      </w:r>
      <w:r>
        <w:rPr>
          <w:rFonts w:hint="eastAsia" w:asciiTheme="majorEastAsia" w:hAnsiTheme="majorEastAsia" w:eastAsiaTheme="majorEastAsia" w:cstheme="majorEastAsia"/>
          <w:sz w:val="24"/>
        </w:rPr>
        <w:t>各投标人在提交投标文件截止时间之前，应随时关注下列地址发布的变更公告，也可登录全国公共资源交易平台（陕西省）政府采购交易系统查看左上角的信息提醒，采购代理机构</w:t>
      </w:r>
      <w:r>
        <w:rPr>
          <w:rFonts w:hint="eastAsia" w:asciiTheme="majorEastAsia" w:hAnsiTheme="majorEastAsia" w:eastAsiaTheme="majorEastAsia" w:cstheme="majorEastAsia"/>
          <w:b/>
          <w:sz w:val="24"/>
        </w:rPr>
        <w:t>不再单独通知，因投标人未及时关注所造成的一切后果由投标人自行承担：</w:t>
      </w:r>
    </w:p>
    <w:p w14:paraId="5B2E2034">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w:t>
      </w:r>
      <w:r>
        <w:fldChar w:fldCharType="begin"/>
      </w:r>
      <w:r>
        <w:instrText xml:space="preserve"> HYPERLINK "http://www.ccgp-shaanxi.gov.cn" </w:instrText>
      </w:r>
      <w:r>
        <w:fldChar w:fldCharType="separate"/>
      </w:r>
      <w:r>
        <w:rPr>
          <w:rStyle w:val="35"/>
          <w:rFonts w:hint="default" w:asciiTheme="majorEastAsia" w:hAnsiTheme="majorEastAsia" w:eastAsiaTheme="majorEastAsia" w:cstheme="majorEastAsia"/>
          <w:color w:val="auto"/>
          <w:sz w:val="24"/>
          <w:szCs w:val="24"/>
        </w:rPr>
        <w:t>陕西省政府采购网</w:t>
      </w:r>
      <w:r>
        <w:rPr>
          <w:rStyle w:val="35"/>
          <w:rFonts w:hint="default"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sz w:val="24"/>
        </w:rPr>
        <w:t>（www.ccgp-shaanxi.gov.cn）】中的〖首页·〉省级公告·〉更正公告〗；</w:t>
      </w:r>
    </w:p>
    <w:p w14:paraId="3251CD6B">
      <w:pPr>
        <w:spacing w:line="360" w:lineRule="auto"/>
        <w:ind w:firstLine="480"/>
        <w:rPr>
          <w:rFonts w:asciiTheme="majorEastAsia" w:hAnsiTheme="majorEastAsia" w:eastAsiaTheme="majorEastAsia" w:cstheme="majorEastAsia"/>
          <w:kern w:val="1"/>
          <w:sz w:val="24"/>
        </w:rPr>
      </w:pPr>
      <w:r>
        <w:rPr>
          <w:rFonts w:hint="eastAsia" w:asciiTheme="majorEastAsia" w:hAnsiTheme="majorEastAsia" w:eastAsiaTheme="majorEastAsia" w:cstheme="majorEastAsia"/>
          <w:sz w:val="24"/>
        </w:rPr>
        <w:t>（2）【全国公共资源交易平台（陕西省）（http://www.sxggzyjy.cn/）】中的〖首页·〉交易大厅·〉政府采购〗。</w:t>
      </w:r>
    </w:p>
    <w:p w14:paraId="420D6632">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kern w:val="1"/>
          <w:sz w:val="24"/>
        </w:rPr>
        <w:t>6招标文件的解释权归采购代理机构。</w:t>
      </w:r>
    </w:p>
    <w:p w14:paraId="0556C212">
      <w:pPr>
        <w:spacing w:beforeLines="50" w:afterLines="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三、投标文件的编制</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672D5D07">
      <w:pPr>
        <w:spacing w:line="360" w:lineRule="auto"/>
        <w:ind w:firstLine="482" w:firstLineChars="200"/>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7．编制要求</w:t>
      </w:r>
    </w:p>
    <w:p w14:paraId="3E846669">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7.1 投标人应认真阅读招标文件的所有内容，严格按照招标文件的要求编制和提供投标文件，并保证所提供的全部资料的真实性，使投标文件对招标文件作出实质性响应。如果投标人在投标文件中没有按照招标文件要求提交全部资料或者投标文件没有对招标文件在各方面都做出实质性响应，其投标将被拒绝。</w:t>
      </w:r>
    </w:p>
    <w:p w14:paraId="71EAEE61">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7.2 投标人提交的投标文件（包括项目的技术资料）以及投标人与采购代理机构就有关投标的所有来往函电均应以中文书写。</w:t>
      </w:r>
    </w:p>
    <w:p w14:paraId="1BE6BDE4">
      <w:pPr>
        <w:spacing w:line="360" w:lineRule="auto"/>
        <w:ind w:firstLine="482" w:firstLineChars="200"/>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8．投标文件构成和格式</w:t>
      </w:r>
    </w:p>
    <w:p w14:paraId="0D001769">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8.1 投标人编写的投标文件应按招标文件提供的相应格式按顺序编写。</w:t>
      </w:r>
    </w:p>
    <w:p w14:paraId="18F7E946">
      <w:pPr>
        <w:spacing w:line="360" w:lineRule="auto"/>
        <w:ind w:firstLine="480" w:firstLineChars="200"/>
        <w:rPr>
          <w:rFonts w:asciiTheme="majorEastAsia" w:hAnsiTheme="majorEastAsia" w:eastAsiaTheme="majorEastAsia" w:cstheme="majorEastAsia"/>
          <w:kern w:val="1"/>
          <w:sz w:val="24"/>
        </w:rPr>
      </w:pPr>
      <w:r>
        <w:rPr>
          <w:rFonts w:hint="eastAsia" w:asciiTheme="majorEastAsia" w:hAnsiTheme="majorEastAsia" w:eastAsiaTheme="majorEastAsia" w:cstheme="majorEastAsia"/>
          <w:kern w:val="1"/>
          <w:sz w:val="24"/>
        </w:rPr>
        <w:t>8.2 投标人应按照本须知第8.1条的内容及第六章提供的格式编写投标文件，不得缺少招标文件要求填写的表格或提交的资料。</w:t>
      </w:r>
    </w:p>
    <w:p w14:paraId="51278127">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kern w:val="1"/>
          <w:sz w:val="24"/>
        </w:rPr>
        <w:t>8.3 投标人应将投标文件按本须知第8.1条规定的顺序编排并应编制目录，</w:t>
      </w:r>
      <w:r>
        <w:rPr>
          <w:rFonts w:hint="eastAsia" w:asciiTheme="majorEastAsia" w:hAnsiTheme="majorEastAsia" w:eastAsiaTheme="majorEastAsia" w:cstheme="majorEastAsia"/>
          <w:b/>
          <w:kern w:val="1"/>
          <w:sz w:val="24"/>
        </w:rPr>
        <w:t>采用胶装方式装订成册。</w:t>
      </w:r>
    </w:p>
    <w:p w14:paraId="458F5436">
      <w:pPr>
        <w:spacing w:line="360" w:lineRule="auto"/>
        <w:ind w:firstLine="482" w:firstLineChars="200"/>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9．投标报价</w:t>
      </w:r>
    </w:p>
    <w:p w14:paraId="24D575EE">
      <w:pPr>
        <w:spacing w:line="360" w:lineRule="auto"/>
        <w:ind w:firstLine="480" w:firstLineChars="200"/>
        <w:rPr>
          <w:rFonts w:hint="eastAsia" w:ascii="宋体" w:hAnsi="宋体" w:eastAsia="宋体" w:cs="宋体"/>
          <w:sz w:val="24"/>
          <w:szCs w:val="24"/>
          <w:highlight w:val="none"/>
        </w:rPr>
      </w:pPr>
      <w:r>
        <w:rPr>
          <w:rFonts w:hint="eastAsia" w:asciiTheme="majorEastAsia" w:hAnsiTheme="majorEastAsia" w:eastAsiaTheme="majorEastAsia" w:cstheme="majorEastAsia"/>
          <w:sz w:val="24"/>
        </w:rPr>
        <w:t>9.1 投标报价为完成本项目所要求</w:t>
      </w:r>
      <w:r>
        <w:rPr>
          <w:rFonts w:hint="eastAsia" w:asciiTheme="majorEastAsia" w:hAnsiTheme="majorEastAsia" w:eastAsiaTheme="majorEastAsia" w:cstheme="majorEastAsia"/>
          <w:sz w:val="24"/>
          <w:lang w:val="en-US" w:eastAsia="zh-CN"/>
        </w:rPr>
        <w:t>的</w:t>
      </w:r>
      <w:r>
        <w:rPr>
          <w:rFonts w:hint="eastAsia" w:ascii="宋体" w:hAnsi="宋体" w:eastAsia="宋体" w:cs="宋体"/>
          <w:sz w:val="24"/>
          <w:szCs w:val="24"/>
          <w:highlight w:val="none"/>
        </w:rPr>
        <w:t>全部工作内容的价格体现，包括投标人完成本项目所需的一切费用（包括产品运输、安装调试、保险、后期技术支持、税费、招标文件规定的其它费用）。</w:t>
      </w:r>
    </w:p>
    <w:p w14:paraId="52460D82">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9.2 </w:t>
      </w:r>
      <w:r>
        <w:rPr>
          <w:rFonts w:hint="eastAsia" w:asciiTheme="majorEastAsia" w:hAnsiTheme="majorEastAsia" w:eastAsiaTheme="majorEastAsia" w:cstheme="majorEastAsia"/>
          <w:snapToGrid w:val="0"/>
          <w:sz w:val="24"/>
        </w:rPr>
        <w:t>投标人须对</w:t>
      </w:r>
      <w:r>
        <w:rPr>
          <w:rFonts w:hint="eastAsia" w:asciiTheme="majorEastAsia" w:hAnsiTheme="majorEastAsia" w:eastAsiaTheme="majorEastAsia" w:cstheme="majorEastAsia"/>
          <w:sz w:val="24"/>
        </w:rPr>
        <w:t>本项目所要求</w:t>
      </w:r>
      <w:r>
        <w:rPr>
          <w:rFonts w:hint="eastAsia" w:asciiTheme="majorEastAsia" w:hAnsiTheme="majorEastAsia" w:eastAsiaTheme="majorEastAsia" w:cstheme="majorEastAsia"/>
          <w:sz w:val="24"/>
          <w:lang w:val="en-US" w:eastAsia="zh-CN"/>
        </w:rPr>
        <w:t>的</w:t>
      </w:r>
      <w:r>
        <w:rPr>
          <w:rFonts w:hint="eastAsia" w:ascii="宋体" w:hAnsi="宋体" w:eastAsia="宋体" w:cs="宋体"/>
          <w:sz w:val="24"/>
          <w:szCs w:val="24"/>
          <w:highlight w:val="none"/>
        </w:rPr>
        <w:t>全部工作内容</w:t>
      </w:r>
      <w:r>
        <w:rPr>
          <w:rFonts w:hint="eastAsia" w:asciiTheme="majorEastAsia" w:hAnsiTheme="majorEastAsia" w:eastAsiaTheme="majorEastAsia" w:cstheme="majorEastAsia"/>
          <w:sz w:val="24"/>
        </w:rPr>
        <w:t>进行完整报价。采购人拒绝只对部分</w:t>
      </w:r>
      <w:r>
        <w:rPr>
          <w:rFonts w:hint="eastAsia" w:asciiTheme="majorEastAsia" w:hAnsiTheme="majorEastAsia" w:eastAsiaTheme="majorEastAsia" w:cstheme="majorEastAsia"/>
          <w:sz w:val="24"/>
          <w:lang w:val="en-US" w:eastAsia="zh-CN"/>
        </w:rPr>
        <w:t>内容</w:t>
      </w:r>
      <w:r>
        <w:rPr>
          <w:rFonts w:hint="eastAsia" w:asciiTheme="majorEastAsia" w:hAnsiTheme="majorEastAsia" w:eastAsiaTheme="majorEastAsia" w:cstheme="majorEastAsia"/>
          <w:sz w:val="24"/>
        </w:rPr>
        <w:t>进行报价的投标。投标人应在投标文件中的投标分项报价表上标明对本次招标拟提供</w:t>
      </w:r>
      <w:r>
        <w:rPr>
          <w:rFonts w:hint="eastAsia" w:asciiTheme="majorEastAsia" w:hAnsiTheme="majorEastAsia" w:eastAsiaTheme="majorEastAsia" w:cstheme="majorEastAsia"/>
          <w:sz w:val="24"/>
          <w:lang w:val="en-US" w:eastAsia="zh-CN"/>
        </w:rPr>
        <w:t>工作内容</w:t>
      </w:r>
      <w:r>
        <w:rPr>
          <w:rFonts w:hint="eastAsia" w:asciiTheme="majorEastAsia" w:hAnsiTheme="majorEastAsia" w:eastAsiaTheme="majorEastAsia" w:cstheme="majorEastAsia"/>
          <w:sz w:val="24"/>
        </w:rPr>
        <w:t>的单价和总价，任何有选择的报价将不予接受。</w:t>
      </w:r>
    </w:p>
    <w:p w14:paraId="21B538AE">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9.3. 所有根据合同或其它原因应由投标人支付的税款和其它应交纳的费用都要包括在投标人提交的投标报价中。</w:t>
      </w:r>
    </w:p>
    <w:p w14:paraId="025C5523">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9.4 投标人所报的投标价在合同执行过程中是固定不变的，不得以任何理由予以变更。任何包含价格调整要求的投标，将被认为是非响应性投标而予以拒绝。</w:t>
      </w:r>
    </w:p>
    <w:p w14:paraId="6B180C98">
      <w:pPr>
        <w:spacing w:line="360" w:lineRule="auto"/>
        <w:ind w:right="-199" w:rightChars="-95" w:firstLine="482" w:firstLineChars="200"/>
        <w:jc w:val="left"/>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9.5 投标报价大于采购预算按废标处理。</w:t>
      </w:r>
    </w:p>
    <w:p w14:paraId="6369B9F6">
      <w:pPr>
        <w:spacing w:line="360" w:lineRule="auto"/>
        <w:ind w:firstLine="480" w:firstLineChars="200"/>
        <w:rPr>
          <w:rFonts w:asciiTheme="majorEastAsia" w:hAnsiTheme="majorEastAsia" w:eastAsiaTheme="majorEastAsia" w:cstheme="majorEastAsia"/>
          <w:bCs/>
          <w:sz w:val="24"/>
        </w:rPr>
      </w:pPr>
      <w:r>
        <w:rPr>
          <w:rFonts w:hint="eastAsia" w:asciiTheme="majorEastAsia" w:hAnsiTheme="majorEastAsia" w:eastAsiaTheme="majorEastAsia" w:cstheme="majorEastAsia"/>
          <w:bCs/>
          <w:kern w:val="1"/>
          <w:sz w:val="24"/>
        </w:rPr>
        <w:t>9.6 投标人不得以低于成本的报价参加投标，投标人的投标报价明显低于其他投标人的报价，经评标委员会质询后不能在规定时间内说明理由，或说明理由经评标委员会认为不成立，则按无效标处理。</w:t>
      </w:r>
    </w:p>
    <w:p w14:paraId="18C682B9">
      <w:pPr>
        <w:spacing w:line="360" w:lineRule="auto"/>
        <w:ind w:firstLine="482" w:firstLineChars="200"/>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10．投标货币</w:t>
      </w:r>
    </w:p>
    <w:p w14:paraId="69B3744D">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10.1 投标人提供的服务一律以人民币报价。</w:t>
      </w:r>
    </w:p>
    <w:p w14:paraId="65551A70">
      <w:pPr>
        <w:spacing w:line="360" w:lineRule="auto"/>
        <w:ind w:firstLine="482" w:firstLineChars="200"/>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11．投标保证金</w:t>
      </w:r>
    </w:p>
    <w:p w14:paraId="476E2EAB">
      <w:pPr>
        <w:autoSpaceDE w:val="0"/>
        <w:autoSpaceDN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采用“投标信用承诺书”代替投标保证金。</w:t>
      </w:r>
    </w:p>
    <w:p w14:paraId="50151F75">
      <w:pPr>
        <w:autoSpaceDE w:val="0"/>
        <w:autoSpaceDN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注：需在网上提交《投标信用承诺》，并将《投标信用承诺》及网上已上报后的网页截图附在投标文件中。</w:t>
      </w:r>
    </w:p>
    <w:p w14:paraId="15B82BDD">
      <w:pPr>
        <w:autoSpaceDE w:val="0"/>
        <w:autoSpaceDN w:val="0"/>
        <w:spacing w:line="360" w:lineRule="auto"/>
        <w:ind w:firstLine="482" w:firstLineChars="200"/>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12．投标有效期</w:t>
      </w:r>
    </w:p>
    <w:p w14:paraId="73D86E82">
      <w:pPr>
        <w:autoSpaceDE w:val="0"/>
        <w:autoSpaceDN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12.1 投标有效期为开标之日起九十（90）个日历日。投标人的投标有效期比招标文件规定短的将被视为非响应性投标而予以拒绝。</w:t>
      </w:r>
    </w:p>
    <w:p w14:paraId="59EF647A">
      <w:pPr>
        <w:autoSpaceDE w:val="0"/>
        <w:autoSpaceDN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12.2 在特殊情况下，在原投标有效期期满之前，采购人可征得投标人同意延长投标有效期。这种要求与答复均应为书面形式提交。</w:t>
      </w:r>
    </w:p>
    <w:p w14:paraId="5C55A276">
      <w:pPr>
        <w:spacing w:line="360" w:lineRule="auto"/>
        <w:ind w:firstLine="482"/>
        <w:rPr>
          <w:rFonts w:asciiTheme="majorEastAsia" w:hAnsiTheme="majorEastAsia" w:eastAsiaTheme="majorEastAsia" w:cstheme="majorEastAsia"/>
          <w:b/>
          <w:kern w:val="1"/>
          <w:sz w:val="24"/>
        </w:rPr>
      </w:pPr>
      <w:r>
        <w:rPr>
          <w:rFonts w:hint="eastAsia" w:asciiTheme="majorEastAsia" w:hAnsiTheme="majorEastAsia" w:eastAsiaTheme="majorEastAsia" w:cstheme="majorEastAsia"/>
          <w:b/>
          <w:kern w:val="1"/>
          <w:sz w:val="24"/>
        </w:rPr>
        <w:t>13．投标文件的制作和签署</w:t>
      </w:r>
    </w:p>
    <w:p w14:paraId="4D09F2FA">
      <w:pPr>
        <w:spacing w:line="360" w:lineRule="auto"/>
        <w:ind w:firstLine="480"/>
        <w:rPr>
          <w:rFonts w:asciiTheme="majorEastAsia" w:hAnsiTheme="majorEastAsia" w:eastAsiaTheme="majorEastAsia" w:cstheme="majorEastAsia"/>
          <w:kern w:val="1"/>
          <w:sz w:val="24"/>
        </w:rPr>
      </w:pPr>
      <w:bookmarkStart w:id="70" w:name="_Toc170980541"/>
      <w:bookmarkStart w:id="71" w:name="_Toc245657542"/>
      <w:bookmarkStart w:id="72" w:name="_Toc170980443"/>
      <w:bookmarkStart w:id="73" w:name="_Toc154482468"/>
      <w:bookmarkStart w:id="74" w:name="_Toc169846862"/>
      <w:bookmarkStart w:id="75" w:name="_Toc167591133"/>
      <w:bookmarkStart w:id="76" w:name="_Toc175032426"/>
      <w:bookmarkStart w:id="77" w:name="_Toc208337153"/>
      <w:bookmarkStart w:id="78" w:name="_Toc167591032"/>
      <w:bookmarkStart w:id="79" w:name="_Toc167849349"/>
      <w:bookmarkStart w:id="80" w:name="_Toc169838521"/>
      <w:bookmarkStart w:id="81" w:name="_Toc173549967"/>
      <w:bookmarkStart w:id="82" w:name="_Toc245176654"/>
      <w:bookmarkStart w:id="83" w:name="_Toc207897905"/>
      <w:bookmarkStart w:id="84" w:name="_Toc167590764"/>
      <w:bookmarkStart w:id="85" w:name="_Toc175033581"/>
      <w:bookmarkStart w:id="86" w:name="_Toc167591319"/>
      <w:bookmarkStart w:id="87" w:name="_Toc245658523"/>
      <w:bookmarkStart w:id="88" w:name="_Toc167591481"/>
      <w:bookmarkStart w:id="89" w:name="_Toc244623580"/>
      <w:bookmarkStart w:id="90" w:name="_Toc169846765"/>
      <w:r>
        <w:rPr>
          <w:rFonts w:hint="eastAsia" w:asciiTheme="majorEastAsia" w:hAnsiTheme="majorEastAsia" w:eastAsiaTheme="majorEastAsia" w:cstheme="majorEastAsia"/>
          <w:kern w:val="1"/>
          <w:sz w:val="24"/>
        </w:rPr>
        <w:t>13.1为确保采购项目顺利开展，本项目采用电子投标文件的方式。供应商在投标时须时提供电子投标文件。</w:t>
      </w:r>
    </w:p>
    <w:p w14:paraId="7E5035AF">
      <w:pPr>
        <w:spacing w:line="360" w:lineRule="auto"/>
        <w:ind w:firstLine="480"/>
        <w:rPr>
          <w:rFonts w:asciiTheme="majorEastAsia" w:hAnsiTheme="majorEastAsia" w:eastAsiaTheme="majorEastAsia" w:cstheme="majorEastAsia"/>
          <w:kern w:val="1"/>
          <w:sz w:val="24"/>
        </w:rPr>
      </w:pPr>
      <w:r>
        <w:rPr>
          <w:rFonts w:hint="eastAsia" w:asciiTheme="majorEastAsia" w:hAnsiTheme="majorEastAsia" w:eastAsiaTheme="majorEastAsia" w:cstheme="majorEastAsia"/>
          <w:kern w:val="1"/>
          <w:sz w:val="24"/>
        </w:rPr>
        <w:t>13.2 编制电子投标文件时，应使用最新发布的电子招标文件及专用制作工具进行编制。并使用数字认证证书（CA）对电子投标文件进行签署、加密、递交及开标时解密等相关操作。</w:t>
      </w:r>
    </w:p>
    <w:p w14:paraId="6995C0FD">
      <w:pPr>
        <w:spacing w:line="360" w:lineRule="auto"/>
        <w:ind w:firstLine="480"/>
        <w:rPr>
          <w:rFonts w:asciiTheme="majorEastAsia" w:hAnsiTheme="majorEastAsia" w:eastAsiaTheme="majorEastAsia" w:cstheme="majorEastAsia"/>
          <w:kern w:val="1"/>
          <w:sz w:val="24"/>
        </w:rPr>
      </w:pPr>
      <w:r>
        <w:rPr>
          <w:rFonts w:hint="eastAsia" w:asciiTheme="majorEastAsia" w:hAnsiTheme="majorEastAsia" w:eastAsiaTheme="majorEastAsia" w:cstheme="majorEastAsia"/>
          <w:kern w:val="1"/>
          <w:sz w:val="24"/>
        </w:rPr>
        <w:t>（1）电子招标文件下载</w:t>
      </w:r>
    </w:p>
    <w:p w14:paraId="569B6B7A">
      <w:pPr>
        <w:spacing w:line="360" w:lineRule="auto"/>
        <w:ind w:firstLine="480"/>
        <w:rPr>
          <w:rFonts w:asciiTheme="majorEastAsia" w:hAnsiTheme="majorEastAsia" w:eastAsiaTheme="majorEastAsia" w:cstheme="majorEastAsia"/>
          <w:kern w:val="1"/>
          <w:sz w:val="24"/>
        </w:rPr>
      </w:pPr>
      <w:r>
        <w:rPr>
          <w:rFonts w:hint="eastAsia" w:asciiTheme="majorEastAsia" w:hAnsiTheme="majorEastAsia" w:eastAsiaTheme="majorEastAsia" w:cstheme="majorEastAsia"/>
          <w:kern w:val="1"/>
          <w:sz w:val="24"/>
        </w:rPr>
        <w:t>供应商登录全国公共资源交易平台（陕西省）网站[电子交易平台-企业端]后，在[我的项目]中点击“项目流程-交易文件下载”下载电子招标文件（*.SXSZF）;</w:t>
      </w:r>
    </w:p>
    <w:p w14:paraId="1BA42E7A">
      <w:pPr>
        <w:spacing w:line="360" w:lineRule="auto"/>
        <w:ind w:firstLine="480"/>
        <w:rPr>
          <w:rFonts w:asciiTheme="majorEastAsia" w:hAnsiTheme="majorEastAsia" w:eastAsiaTheme="majorEastAsia" w:cstheme="majorEastAsia"/>
          <w:kern w:val="1"/>
          <w:sz w:val="24"/>
        </w:rPr>
      </w:pPr>
      <w:r>
        <w:rPr>
          <w:rFonts w:hint="eastAsia" w:asciiTheme="majorEastAsia" w:hAnsiTheme="majorEastAsia" w:eastAsiaTheme="majorEastAsia" w:cstheme="majorEastAsia"/>
          <w:kern w:val="1"/>
          <w:sz w:val="24"/>
        </w:rPr>
        <w:t>注意：该项目如有变更文件，则应点击“项目流程&gt;答疑文件下载”下载更新后的电子招标文件（*.SXSCF），使用旧版电子招标文件制作的电子投标文件，系统将拒绝接收。</w:t>
      </w:r>
    </w:p>
    <w:p w14:paraId="1AE76D56">
      <w:pPr>
        <w:spacing w:line="360" w:lineRule="auto"/>
        <w:ind w:firstLine="480"/>
        <w:rPr>
          <w:rFonts w:asciiTheme="majorEastAsia" w:hAnsiTheme="majorEastAsia" w:eastAsiaTheme="majorEastAsia" w:cstheme="majorEastAsia"/>
          <w:kern w:val="1"/>
          <w:sz w:val="24"/>
        </w:rPr>
      </w:pPr>
      <w:r>
        <w:rPr>
          <w:rFonts w:hint="eastAsia" w:asciiTheme="majorEastAsia" w:hAnsiTheme="majorEastAsia" w:eastAsiaTheme="majorEastAsia" w:cstheme="majorEastAsia"/>
          <w:kern w:val="1"/>
          <w:sz w:val="24"/>
        </w:rPr>
        <w:t>（2）电子招标文件需要使用专用软件打开、浏览</w:t>
      </w:r>
    </w:p>
    <w:p w14:paraId="7C34F7C1">
      <w:pPr>
        <w:spacing w:line="360" w:lineRule="auto"/>
        <w:ind w:firstLine="480" w:firstLineChars="200"/>
        <w:rPr>
          <w:rFonts w:asciiTheme="majorEastAsia" w:hAnsiTheme="majorEastAsia" w:eastAsiaTheme="majorEastAsia" w:cstheme="majorEastAsia"/>
          <w:kern w:val="1"/>
          <w:sz w:val="24"/>
        </w:rPr>
      </w:pPr>
      <w:bookmarkStart w:id="91" w:name="_Toc22321"/>
      <w:bookmarkStart w:id="92" w:name="_Toc5554"/>
      <w:bookmarkStart w:id="93" w:name="_Toc8108"/>
      <w:r>
        <w:rPr>
          <w:rFonts w:hint="eastAsia" w:asciiTheme="majorEastAsia" w:hAnsiTheme="majorEastAsia" w:eastAsiaTheme="majorEastAsia" w:cstheme="majorEastAsia"/>
          <w:bCs/>
          <w:sz w:val="24"/>
        </w:rPr>
        <w:t>投标供应商须在“全国公共资源交易中心平台（陕西省）（http://www.sxggzyjy.cn/）”的“服务指南”栏目“下载专区”中，免费下载“陕西省公共资源交易平台政府采购电子标书制作工具(V8.0.0.44)”，并升级至最新版本，使用该客户端制作电子投标文件，制作扩展名为“.SXSTF”的电子投标文件。”</w:t>
      </w:r>
      <w:bookmarkEnd w:id="91"/>
      <w:bookmarkEnd w:id="92"/>
      <w:bookmarkEnd w:id="93"/>
    </w:p>
    <w:p w14:paraId="04CF6075">
      <w:pPr>
        <w:spacing w:line="360" w:lineRule="auto"/>
        <w:ind w:firstLine="480"/>
        <w:rPr>
          <w:rFonts w:asciiTheme="majorEastAsia" w:hAnsiTheme="majorEastAsia" w:eastAsiaTheme="majorEastAsia" w:cstheme="majorEastAsia"/>
          <w:kern w:val="1"/>
          <w:sz w:val="24"/>
        </w:rPr>
      </w:pPr>
      <w:r>
        <w:rPr>
          <w:rFonts w:hint="eastAsia" w:asciiTheme="majorEastAsia" w:hAnsiTheme="majorEastAsia" w:eastAsiaTheme="majorEastAsia" w:cstheme="majorEastAsia"/>
          <w:kern w:val="1"/>
          <w:sz w:val="24"/>
        </w:rPr>
        <w:t>（3）制作电子投标文件</w:t>
      </w:r>
    </w:p>
    <w:p w14:paraId="0DA3617E">
      <w:pPr>
        <w:spacing w:line="360" w:lineRule="auto"/>
        <w:ind w:firstLine="480"/>
        <w:rPr>
          <w:rFonts w:asciiTheme="majorEastAsia" w:hAnsiTheme="majorEastAsia" w:eastAsiaTheme="majorEastAsia" w:cstheme="majorEastAsia"/>
          <w:kern w:val="1"/>
          <w:sz w:val="24"/>
        </w:rPr>
      </w:pPr>
      <w:r>
        <w:rPr>
          <w:rFonts w:hint="eastAsia" w:asciiTheme="majorEastAsia" w:hAnsiTheme="majorEastAsia" w:eastAsiaTheme="majorEastAsia" w:cstheme="majorEastAsia"/>
          <w:kern w:val="1"/>
          <w:sz w:val="24"/>
        </w:rPr>
        <w:t>电子投标文件同样需要使用上述软件进行编制。在编制过程中，如有技术性问题，请先翻阅操作手册或致电软件开发商，技术支持热线：4009280095、4009980000；</w:t>
      </w:r>
    </w:p>
    <w:p w14:paraId="378E019A">
      <w:pPr>
        <w:spacing w:line="360" w:lineRule="auto"/>
        <w:ind w:firstLine="480"/>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13.3纸质版文件的编制：</w:t>
      </w:r>
    </w:p>
    <w:p w14:paraId="2C8DA8B1">
      <w:pPr>
        <w:spacing w:line="360" w:lineRule="auto"/>
        <w:ind w:firstLine="480"/>
        <w:rPr>
          <w:rFonts w:asciiTheme="majorEastAsia" w:hAnsiTheme="majorEastAsia" w:eastAsiaTheme="majorEastAsia" w:cstheme="majorEastAsia"/>
          <w:kern w:val="1"/>
          <w:sz w:val="24"/>
        </w:rPr>
      </w:pPr>
      <w:r>
        <w:rPr>
          <w:rFonts w:hint="eastAsia" w:asciiTheme="majorEastAsia" w:hAnsiTheme="majorEastAsia" w:eastAsiaTheme="majorEastAsia" w:cstheme="majorEastAsia"/>
          <w:kern w:val="1"/>
          <w:sz w:val="24"/>
        </w:rPr>
        <w:t>13.3.1投标供应商无需提交纸质投标文件，待采购结果公告后，由中标单位补交一正三副纸质投标文件及电子版（光盘或 U 盘，包含可编辑 word 版，签字盖章后的扫描件 1 份）投标文件一份（备案用）</w:t>
      </w:r>
    </w:p>
    <w:p w14:paraId="3DC221CE">
      <w:pPr>
        <w:spacing w:line="360" w:lineRule="auto"/>
        <w:ind w:firstLine="480"/>
        <w:rPr>
          <w:rFonts w:asciiTheme="majorEastAsia" w:hAnsiTheme="majorEastAsia" w:eastAsiaTheme="majorEastAsia" w:cstheme="majorEastAsia"/>
          <w:kern w:val="1"/>
          <w:sz w:val="24"/>
        </w:rPr>
      </w:pPr>
      <w:r>
        <w:rPr>
          <w:rFonts w:hint="eastAsia" w:asciiTheme="majorEastAsia" w:hAnsiTheme="majorEastAsia" w:eastAsiaTheme="majorEastAsia" w:cstheme="majorEastAsia"/>
          <w:kern w:val="1"/>
          <w:sz w:val="24"/>
        </w:rPr>
        <w:t>13.3.2投标文件封面及内容、投标函及其它有要求处均应加盖投标人印章并经法定代表人或其委托代理人签字，由委托代理人签字的在投标文件中须同时提交投标文件签署授权委托书，</w:t>
      </w:r>
      <w:r>
        <w:rPr>
          <w:rFonts w:hint="eastAsia" w:asciiTheme="majorEastAsia" w:hAnsiTheme="majorEastAsia" w:eastAsiaTheme="majorEastAsia" w:cstheme="majorEastAsia"/>
          <w:b/>
          <w:bCs/>
          <w:kern w:val="1"/>
          <w:sz w:val="24"/>
        </w:rPr>
        <w:t>纸质版文件与电子版文件签字盖章必须一致。</w:t>
      </w:r>
    </w:p>
    <w:p w14:paraId="08DFF260">
      <w:pPr>
        <w:spacing w:line="360" w:lineRule="auto"/>
        <w:ind w:firstLine="480"/>
        <w:rPr>
          <w:rFonts w:asciiTheme="majorEastAsia" w:hAnsiTheme="majorEastAsia" w:eastAsiaTheme="majorEastAsia" w:cstheme="majorEastAsia"/>
          <w:kern w:val="1"/>
          <w:sz w:val="24"/>
        </w:rPr>
      </w:pPr>
      <w:r>
        <w:rPr>
          <w:rFonts w:hint="eastAsia" w:asciiTheme="majorEastAsia" w:hAnsiTheme="majorEastAsia" w:eastAsiaTheme="majorEastAsia" w:cstheme="majorEastAsia"/>
          <w:kern w:val="1"/>
          <w:sz w:val="24"/>
        </w:rPr>
        <w:t>13.3.3投标文件的正本和副本应分别单独采用A4纸胶粘装订成册，装订应牢固、不易拆散、夹页、换页，不得采用活页装订，应编制目录，字迹应清晰易于辨认，文件编制应符合8.1至8.3项要求。</w:t>
      </w:r>
    </w:p>
    <w:p w14:paraId="335CB576">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kern w:val="1"/>
          <w:sz w:val="24"/>
        </w:rPr>
        <w:t>13.4 除投标人对投标文件错处做必要修改外，投标文件不得行间插字、涂改和增删，如有修改错漏处，必须由投标人的法人或其授权代表在修改处签字或加盖公章后才有效。</w:t>
      </w:r>
    </w:p>
    <w:p w14:paraId="06EF118E">
      <w:pPr>
        <w:snapToGrid w:val="0"/>
        <w:spacing w:beforeLines="50" w:afterLines="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四、投标文件的递交</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61E9BC58">
      <w:pPr>
        <w:spacing w:line="360" w:lineRule="auto"/>
        <w:ind w:firstLine="482" w:firstLineChars="200"/>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14．投标文件的提交</w:t>
      </w:r>
    </w:p>
    <w:p w14:paraId="080DC9A0">
      <w:pPr>
        <w:spacing w:line="360" w:lineRule="auto"/>
        <w:ind w:firstLine="482" w:firstLineChars="200"/>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14:paraId="78538EC2">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15.投标人应在不迟于招标文件中规定的投标截止时间上传投标文件。</w:t>
      </w:r>
    </w:p>
    <w:p w14:paraId="448A04A1">
      <w:pPr>
        <w:spacing w:line="360" w:lineRule="auto"/>
        <w:ind w:firstLine="482" w:firstLineChars="200"/>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16．迟交的投标文件</w:t>
      </w:r>
    </w:p>
    <w:p w14:paraId="1052EBB7">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16.1采购代理机构将拒绝接收投标截止期后送达的任何投标文件。</w:t>
      </w:r>
    </w:p>
    <w:p w14:paraId="09E931E2">
      <w:pPr>
        <w:spacing w:line="360" w:lineRule="auto"/>
        <w:ind w:firstLine="482"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b/>
          <w:sz w:val="24"/>
        </w:rPr>
        <w:t>17．投标文件的修改和撤回</w:t>
      </w:r>
    </w:p>
    <w:p w14:paraId="50B59493">
      <w:pPr>
        <w:spacing w:line="360" w:lineRule="auto"/>
        <w:ind w:firstLine="480"/>
        <w:rPr>
          <w:rFonts w:asciiTheme="majorEastAsia" w:hAnsiTheme="majorEastAsia" w:eastAsiaTheme="majorEastAsia" w:cstheme="majorEastAsia"/>
          <w:sz w:val="24"/>
        </w:rPr>
      </w:pPr>
      <w:bookmarkStart w:id="94" w:name="_Toc173549968"/>
      <w:bookmarkStart w:id="95" w:name="_Toc175033582"/>
      <w:bookmarkStart w:id="96" w:name="_Toc167591134"/>
      <w:bookmarkStart w:id="97" w:name="_Toc175032427"/>
      <w:bookmarkStart w:id="98" w:name="_Toc169846863"/>
      <w:bookmarkStart w:id="99" w:name="_Toc169846766"/>
      <w:bookmarkStart w:id="100" w:name="_Toc154482469"/>
      <w:bookmarkStart w:id="101" w:name="_Toc244623581"/>
      <w:bookmarkStart w:id="102" w:name="_Toc245176655"/>
      <w:bookmarkStart w:id="103" w:name="_Toc170980542"/>
      <w:bookmarkStart w:id="104" w:name="_Toc245657543"/>
      <w:bookmarkStart w:id="105" w:name="_Toc207897906"/>
      <w:bookmarkStart w:id="106" w:name="_Toc245658524"/>
      <w:bookmarkStart w:id="107" w:name="_Toc169838522"/>
      <w:bookmarkStart w:id="108" w:name="_Toc167590765"/>
      <w:bookmarkStart w:id="109" w:name="_Toc170980444"/>
      <w:bookmarkStart w:id="110" w:name="_Toc167591320"/>
      <w:bookmarkStart w:id="111" w:name="_Toc167849350"/>
      <w:bookmarkStart w:id="112" w:name="_Toc167591033"/>
      <w:bookmarkStart w:id="113" w:name="_Toc208337154"/>
      <w:bookmarkStart w:id="114" w:name="_Toc167591482"/>
      <w:r>
        <w:rPr>
          <w:rFonts w:hint="eastAsia" w:asciiTheme="majorEastAsia" w:hAnsiTheme="majorEastAsia" w:eastAsiaTheme="majorEastAsia" w:cstheme="majorEastAsia"/>
          <w:sz w:val="24"/>
        </w:rPr>
        <w:t>17.1 在投标截止日期之后，投标人不得对其投标文件做任何修改。</w:t>
      </w:r>
    </w:p>
    <w:p w14:paraId="7B8AC883">
      <w:pPr>
        <w:snapToGrid w:val="0"/>
        <w:spacing w:line="360" w:lineRule="auto"/>
        <w:ind w:firstLine="482"/>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17.2 从投标截止期始至招标文件确定的投标有效期期满这段时间内，投标人不得撤回其投标，否则其投标保证金将被没收。</w:t>
      </w:r>
    </w:p>
    <w:p w14:paraId="47B70219">
      <w:pPr>
        <w:spacing w:line="360" w:lineRule="auto"/>
        <w:ind w:firstLine="480"/>
        <w:rPr>
          <w:rFonts w:asciiTheme="majorEastAsia" w:hAnsiTheme="majorEastAsia" w:eastAsiaTheme="majorEastAsia" w:cstheme="majorEastAsia"/>
          <w:kern w:val="1"/>
          <w:sz w:val="24"/>
        </w:rPr>
      </w:pPr>
      <w:r>
        <w:rPr>
          <w:rFonts w:hint="eastAsia" w:asciiTheme="majorEastAsia" w:hAnsiTheme="majorEastAsia" w:eastAsiaTheme="majorEastAsia" w:cstheme="majorEastAsia"/>
          <w:kern w:val="1"/>
          <w:sz w:val="24"/>
        </w:rPr>
        <w:t>为确保采购项目顺利开展，本项目采用电子投标文件的方式。供应商在投标时须时提供电子投标文件。</w:t>
      </w:r>
    </w:p>
    <w:p w14:paraId="5F323C92">
      <w:pPr>
        <w:snapToGrid w:val="0"/>
        <w:spacing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五、开标与评标</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48B70B24">
      <w:pPr>
        <w:snapToGrid w:val="0"/>
        <w:spacing w:line="360" w:lineRule="auto"/>
        <w:ind w:firstLine="482" w:firstLineChars="200"/>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18．开标</w:t>
      </w:r>
    </w:p>
    <w:p w14:paraId="290FDEB2">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18.1 采购代理机构将在招标公告规定的时间和地点组织公开开标。开标会议邀请所有供应商派代表参加，开标当日，请各供应商在开标截止时间前1小时登录“不见面”开标系统进行签到。</w:t>
      </w:r>
    </w:p>
    <w:p w14:paraId="26577896">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18.2</w:t>
      </w:r>
      <w:r>
        <w:rPr>
          <w:rFonts w:hint="eastAsia" w:asciiTheme="majorEastAsia" w:hAnsiTheme="majorEastAsia" w:eastAsiaTheme="majorEastAsia" w:cstheme="majorEastAsia"/>
          <w:bCs/>
          <w:sz w:val="24"/>
        </w:rPr>
        <w:t>开标过程中，供应商在收到工作人员“开始解密”指令后，请及时使用CA对电子投标文件进行解密。解密时所用CA应与加密投标文件时所用CA相同；注：解密时间为30分钟，在解密时间内供应商全部解密完成后，可提前进入开标下一阶段</w:t>
      </w:r>
      <w:r>
        <w:rPr>
          <w:rFonts w:hint="eastAsia" w:asciiTheme="majorEastAsia" w:hAnsiTheme="majorEastAsia" w:eastAsiaTheme="majorEastAsia" w:cstheme="majorEastAsia"/>
          <w:sz w:val="24"/>
        </w:rPr>
        <w:t>，由电子交易系统进行自动唱标。</w:t>
      </w:r>
    </w:p>
    <w:p w14:paraId="42FC3F97">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18.3 采购代理机构将在开标会议现场做开标记录。</w:t>
      </w:r>
    </w:p>
    <w:p w14:paraId="537834FA">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18.4 在开标环节出现下列情况之一的，其电子及纸质投标文件视为无效文件：</w:t>
      </w:r>
    </w:p>
    <w:p w14:paraId="0F10F1B3">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（1）供应商拒绝对电子投标文件进行解密的；</w:t>
      </w:r>
    </w:p>
    <w:p w14:paraId="65FA5708">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（2）因供应商自身原因（如CA锁与制作电子投标文件使用的CA锁不一致、或沿用旧版招标文件编制投标文件等情形），导致在规定时间内无法解密投标文件的；</w:t>
      </w:r>
    </w:p>
    <w:p w14:paraId="31CF2B42">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（3）上传的电子投标文件无法打开的；</w:t>
      </w:r>
    </w:p>
    <w:p w14:paraId="6DF52F16">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（4）政府采购法律法规规定的其他无效情形。</w:t>
      </w:r>
    </w:p>
    <w:p w14:paraId="24A5F0AE">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18.5 特殊情形下的应急处置</w:t>
      </w:r>
    </w:p>
    <w:p w14:paraId="276051AA">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在开标、评审过程中，如因停电、断网、电子化系统故障等特殊原因导致电子化开、评标无法正常进行时，视具体情况确定是否停止开评标活动。</w:t>
      </w:r>
    </w:p>
    <w:p w14:paraId="4512B543">
      <w:pPr>
        <w:spacing w:line="360" w:lineRule="auto"/>
        <w:ind w:firstLine="482" w:firstLineChars="200"/>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19．评标委员会</w:t>
      </w:r>
    </w:p>
    <w:p w14:paraId="3730DAC7">
      <w:pPr>
        <w:spacing w:line="360" w:lineRule="auto"/>
        <w:ind w:firstLine="480" w:firstLineChars="200"/>
        <w:rPr>
          <w:rFonts w:asciiTheme="majorEastAsia" w:hAnsiTheme="majorEastAsia" w:eastAsiaTheme="majorEastAsia" w:cstheme="majorEastAsia"/>
          <w:snapToGrid w:val="0"/>
          <w:sz w:val="24"/>
        </w:rPr>
      </w:pPr>
      <w:r>
        <w:rPr>
          <w:rFonts w:hint="eastAsia" w:asciiTheme="majorEastAsia" w:hAnsiTheme="majorEastAsia" w:eastAsiaTheme="majorEastAsia" w:cstheme="majorEastAsia"/>
          <w:sz w:val="24"/>
        </w:rPr>
        <w:t>19.1 采购人</w:t>
      </w:r>
      <w:r>
        <w:rPr>
          <w:rFonts w:hint="eastAsia" w:asciiTheme="majorEastAsia" w:hAnsiTheme="majorEastAsia" w:eastAsiaTheme="majorEastAsia" w:cstheme="majorEastAsia"/>
          <w:snapToGrid w:val="0"/>
          <w:sz w:val="24"/>
        </w:rPr>
        <w:t>将按照《</w:t>
      </w:r>
      <w:r>
        <w:rPr>
          <w:rFonts w:hint="eastAsia" w:asciiTheme="majorEastAsia" w:hAnsiTheme="majorEastAsia" w:eastAsiaTheme="majorEastAsia" w:cstheme="majorEastAsia"/>
          <w:sz w:val="24"/>
        </w:rPr>
        <w:t>中华人民共和国政府采购法</w:t>
      </w:r>
      <w:r>
        <w:rPr>
          <w:rFonts w:hint="eastAsia" w:asciiTheme="majorEastAsia" w:hAnsiTheme="majorEastAsia" w:eastAsiaTheme="majorEastAsia" w:cstheme="majorEastAsia"/>
          <w:snapToGrid w:val="0"/>
          <w:sz w:val="24"/>
        </w:rPr>
        <w:t>》、《政府采购货物和服务招标投标管理办法》及有关规定组建评标委员会。</w:t>
      </w:r>
    </w:p>
    <w:p w14:paraId="1E08EAE1">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19.2 评标委员会由采购人代表及评审专家组成，专家从陕西省政府采购专家库中随机抽取产生。</w:t>
      </w:r>
    </w:p>
    <w:p w14:paraId="361FE8D0">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19.3 评标委员会负责评标工作，对投标文件进行审查和评估，并向采购人提交书面评审意见。</w:t>
      </w:r>
    </w:p>
    <w:p w14:paraId="38A5DB58">
      <w:pPr>
        <w:spacing w:line="360" w:lineRule="auto"/>
        <w:ind w:firstLine="482" w:firstLineChars="200"/>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20．评标过程的保密性</w:t>
      </w:r>
    </w:p>
    <w:p w14:paraId="10823983">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20.1 公开开标后，直至发布中标公告时止，凡与审查、澄清、评价和比较投标的有关资料以及授标意见等，均属保密范围，评标委员会及招标工作人员不得向投标人及与评标无关的其他人透露。</w:t>
      </w:r>
    </w:p>
    <w:p w14:paraId="2DA04BD6">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20.2 在评标过程中，如果投标人试图在投标文件审查、澄清、比较及授予合同方面向评标委员会或采购人施加任何影响，其投标将被拒绝。</w:t>
      </w:r>
    </w:p>
    <w:p w14:paraId="7718563C">
      <w:pPr>
        <w:spacing w:line="360" w:lineRule="auto"/>
        <w:ind w:firstLine="482" w:firstLineChars="200"/>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21、投标文件的澄清</w:t>
      </w:r>
    </w:p>
    <w:p w14:paraId="32DAD941">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21.1 在评标期间，为有助于对投标文件的审查、评价和比较，评标委员会可分别要求投标人对其投标文件进行澄清或说明，有关澄清或说明的要求和答复应以书面形式提交。澄清和说明的内容不得超出投标文件的范围或改变投标文件实质性内容。</w:t>
      </w:r>
    </w:p>
    <w:p w14:paraId="7C1A7E9D">
      <w:pPr>
        <w:spacing w:line="360" w:lineRule="auto"/>
        <w:ind w:firstLine="482" w:firstLineChars="200"/>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22．投标文件的初审</w:t>
      </w:r>
    </w:p>
    <w:p w14:paraId="6F51C2D1">
      <w:pPr>
        <w:pStyle w:val="22"/>
        <w:spacing w:line="360" w:lineRule="auto"/>
        <w:ind w:firstLine="420"/>
        <w:rPr>
          <w:rFonts w:asciiTheme="majorEastAsia" w:hAnsiTheme="majorEastAsia" w:eastAsiaTheme="majorEastAsia" w:cstheme="majorEastAsia"/>
        </w:rPr>
      </w:pPr>
      <w:r>
        <w:rPr>
          <w:rFonts w:hint="eastAsia" w:asciiTheme="majorEastAsia" w:hAnsiTheme="majorEastAsia" w:eastAsiaTheme="majorEastAsia" w:cstheme="majorEastAsia"/>
        </w:rPr>
        <w:t>22.1 采购人将审查资格证明文件是否齐全有效。</w:t>
      </w:r>
    </w:p>
    <w:tbl>
      <w:tblPr>
        <w:tblStyle w:val="25"/>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779"/>
        <w:gridCol w:w="1686"/>
        <w:gridCol w:w="7112"/>
      </w:tblGrid>
      <w:tr w14:paraId="3D4A7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2" w:hRule="atLeast"/>
          <w:jc w:val="center"/>
        </w:trPr>
        <w:tc>
          <w:tcPr>
            <w:tcW w:w="779" w:type="dxa"/>
            <w:tcBorders>
              <w:top w:val="single" w:color="auto" w:sz="4" w:space="0"/>
              <w:left w:val="single" w:color="auto" w:sz="4" w:space="0"/>
              <w:bottom w:val="single" w:color="auto" w:sz="4" w:space="0"/>
              <w:right w:val="single" w:color="auto" w:sz="4" w:space="0"/>
            </w:tcBorders>
            <w:noWrap/>
            <w:vAlign w:val="center"/>
          </w:tcPr>
          <w:p w14:paraId="5CD2C969">
            <w:pPr>
              <w:spacing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序号</w:t>
            </w:r>
          </w:p>
        </w:tc>
        <w:tc>
          <w:tcPr>
            <w:tcW w:w="1686" w:type="dxa"/>
            <w:tcBorders>
              <w:top w:val="single" w:color="auto" w:sz="4" w:space="0"/>
              <w:left w:val="single" w:color="auto" w:sz="4" w:space="0"/>
              <w:bottom w:val="single" w:color="auto" w:sz="4" w:space="0"/>
              <w:right w:val="single" w:color="auto" w:sz="4" w:space="0"/>
            </w:tcBorders>
            <w:noWrap/>
            <w:vAlign w:val="center"/>
          </w:tcPr>
          <w:p w14:paraId="041997ED">
            <w:pPr>
              <w:spacing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审查因素</w:t>
            </w:r>
          </w:p>
        </w:tc>
        <w:tc>
          <w:tcPr>
            <w:tcW w:w="7112" w:type="dxa"/>
            <w:tcBorders>
              <w:top w:val="single" w:color="auto" w:sz="4" w:space="0"/>
              <w:left w:val="single" w:color="auto" w:sz="4" w:space="0"/>
              <w:bottom w:val="single" w:color="auto" w:sz="4" w:space="0"/>
              <w:right w:val="single" w:color="auto" w:sz="4" w:space="0"/>
            </w:tcBorders>
            <w:noWrap/>
            <w:vAlign w:val="center"/>
          </w:tcPr>
          <w:p w14:paraId="72B8AE8C">
            <w:pPr>
              <w:spacing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审查标准</w:t>
            </w:r>
          </w:p>
        </w:tc>
      </w:tr>
      <w:tr w14:paraId="528A2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6" w:hRule="atLeast"/>
          <w:jc w:val="center"/>
        </w:trPr>
        <w:tc>
          <w:tcPr>
            <w:tcW w:w="779" w:type="dxa"/>
            <w:tcBorders>
              <w:left w:val="single" w:color="auto" w:sz="4" w:space="0"/>
              <w:right w:val="single" w:color="auto" w:sz="4" w:space="0"/>
            </w:tcBorders>
            <w:noWrap/>
            <w:vAlign w:val="center"/>
          </w:tcPr>
          <w:p w14:paraId="2B72A8C1">
            <w:pPr>
              <w:spacing w:line="360" w:lineRule="auto"/>
              <w:ind w:firstLine="240" w:firstLineChars="1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w:t>
            </w:r>
          </w:p>
        </w:tc>
        <w:tc>
          <w:tcPr>
            <w:tcW w:w="1686" w:type="dxa"/>
            <w:tcBorders>
              <w:top w:val="single" w:color="auto" w:sz="4" w:space="0"/>
              <w:left w:val="single" w:color="auto" w:sz="4" w:space="0"/>
              <w:bottom w:val="single" w:color="auto" w:sz="4" w:space="0"/>
              <w:right w:val="single" w:color="auto" w:sz="4" w:space="0"/>
            </w:tcBorders>
            <w:noWrap/>
            <w:vAlign w:val="center"/>
          </w:tcPr>
          <w:p w14:paraId="63C2CB4D">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有效的主体资格证明</w:t>
            </w:r>
          </w:p>
        </w:tc>
        <w:tc>
          <w:tcPr>
            <w:tcW w:w="7112" w:type="dxa"/>
            <w:tcBorders>
              <w:top w:val="single" w:color="auto" w:sz="4" w:space="0"/>
              <w:left w:val="single" w:color="auto" w:sz="4" w:space="0"/>
              <w:bottom w:val="single" w:color="auto" w:sz="4" w:space="0"/>
              <w:right w:val="single" w:color="auto" w:sz="4" w:space="0"/>
            </w:tcBorders>
            <w:noWrap/>
            <w:vAlign w:val="center"/>
          </w:tcPr>
          <w:p w14:paraId="42A26B16">
            <w:pPr>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tc>
      </w:tr>
      <w:tr w14:paraId="6ABD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79" w:type="dxa"/>
            <w:tcBorders>
              <w:left w:val="single" w:color="auto" w:sz="4" w:space="0"/>
              <w:right w:val="single" w:color="auto" w:sz="4" w:space="0"/>
            </w:tcBorders>
            <w:noWrap/>
            <w:vAlign w:val="center"/>
          </w:tcPr>
          <w:p w14:paraId="7113AF4B">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p>
        </w:tc>
        <w:tc>
          <w:tcPr>
            <w:tcW w:w="1686" w:type="dxa"/>
            <w:tcBorders>
              <w:top w:val="single" w:color="auto" w:sz="4" w:space="0"/>
              <w:left w:val="single" w:color="auto" w:sz="4" w:space="0"/>
              <w:bottom w:val="single" w:color="auto" w:sz="4" w:space="0"/>
              <w:right w:val="single" w:color="auto" w:sz="4" w:space="0"/>
            </w:tcBorders>
            <w:noWrap/>
            <w:vAlign w:val="center"/>
          </w:tcPr>
          <w:p w14:paraId="505FC46B">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shd w:val="clear" w:color="auto" w:fill="FFFFFF"/>
              </w:rPr>
              <w:t>税收缴纳证明</w:t>
            </w:r>
          </w:p>
        </w:tc>
        <w:tc>
          <w:tcPr>
            <w:tcW w:w="7112" w:type="dxa"/>
            <w:tcBorders>
              <w:top w:val="single" w:color="auto" w:sz="4" w:space="0"/>
              <w:left w:val="single" w:color="auto" w:sz="4" w:space="0"/>
              <w:bottom w:val="single" w:color="auto" w:sz="4" w:space="0"/>
              <w:right w:val="single" w:color="auto" w:sz="4" w:space="0"/>
            </w:tcBorders>
            <w:noWrap/>
            <w:vAlign w:val="center"/>
          </w:tcPr>
          <w:p w14:paraId="7E54D230">
            <w:pPr>
              <w:spacing w:line="360" w:lineRule="auto"/>
              <w:jc w:val="left"/>
              <w:rPr>
                <w:rFonts w:asciiTheme="majorEastAsia" w:hAnsiTheme="majorEastAsia" w:eastAsiaTheme="majorEastAsia" w:cstheme="majorEastAsia"/>
                <w:sz w:val="24"/>
                <w:shd w:val="clear" w:color="auto" w:fill="FFFFFF"/>
              </w:rPr>
            </w:pPr>
            <w:r>
              <w:rPr>
                <w:rFonts w:hint="eastAsia" w:asciiTheme="majorEastAsia" w:hAnsiTheme="majorEastAsia" w:eastAsiaTheme="majorEastAsia" w:cstheme="majorEastAsia"/>
                <w:sz w:val="24"/>
                <w:shd w:val="clear" w:color="auto" w:fill="FFFFFF"/>
              </w:rPr>
              <w:t>提供</w:t>
            </w:r>
            <w:r>
              <w:rPr>
                <w:rFonts w:hint="eastAsia" w:asciiTheme="majorEastAsia" w:hAnsiTheme="majorEastAsia" w:eastAsiaTheme="majorEastAsia" w:cstheme="majorEastAsia"/>
                <w:sz w:val="24"/>
                <w:shd w:val="clear" w:color="auto" w:fill="FFFFFF"/>
                <w:lang w:eastAsia="zh-CN"/>
              </w:rPr>
              <w:t>2024年1月至今至少1个月</w:t>
            </w:r>
            <w:r>
              <w:rPr>
                <w:rFonts w:hint="eastAsia" w:asciiTheme="majorEastAsia" w:hAnsiTheme="majorEastAsia" w:eastAsiaTheme="majorEastAsia" w:cstheme="majorEastAsia"/>
                <w:sz w:val="24"/>
                <w:shd w:val="clear" w:color="auto" w:fill="FFFFFF"/>
              </w:rPr>
              <w:t>的纳税证明（银行缴费凭证）或完税证明，依法免税的单位应提供相关证明材料；</w:t>
            </w:r>
          </w:p>
        </w:tc>
      </w:tr>
      <w:tr w14:paraId="3F490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79" w:type="dxa"/>
            <w:tcBorders>
              <w:left w:val="single" w:color="auto" w:sz="4" w:space="0"/>
              <w:right w:val="single" w:color="auto" w:sz="4" w:space="0"/>
            </w:tcBorders>
            <w:noWrap/>
            <w:vAlign w:val="center"/>
          </w:tcPr>
          <w:p w14:paraId="5DFF8614">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p>
        </w:tc>
        <w:tc>
          <w:tcPr>
            <w:tcW w:w="1686" w:type="dxa"/>
            <w:tcBorders>
              <w:top w:val="single" w:color="auto" w:sz="4" w:space="0"/>
              <w:left w:val="single" w:color="auto" w:sz="4" w:space="0"/>
              <w:bottom w:val="single" w:color="auto" w:sz="4" w:space="0"/>
              <w:right w:val="single" w:color="auto" w:sz="4" w:space="0"/>
            </w:tcBorders>
            <w:noWrap/>
            <w:vAlign w:val="center"/>
          </w:tcPr>
          <w:p w14:paraId="4A214DDC">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社会保障资金缴纳证明</w:t>
            </w:r>
          </w:p>
        </w:tc>
        <w:tc>
          <w:tcPr>
            <w:tcW w:w="7112" w:type="dxa"/>
            <w:tcBorders>
              <w:top w:val="single" w:color="auto" w:sz="4" w:space="0"/>
              <w:left w:val="single" w:color="auto" w:sz="4" w:space="0"/>
              <w:bottom w:val="single" w:color="auto" w:sz="4" w:space="0"/>
              <w:right w:val="single" w:color="auto" w:sz="4" w:space="0"/>
            </w:tcBorders>
            <w:noWrap/>
            <w:vAlign w:val="center"/>
          </w:tcPr>
          <w:p w14:paraId="7061A036">
            <w:pPr>
              <w:spacing w:line="360" w:lineRule="auto"/>
              <w:jc w:val="left"/>
              <w:rPr>
                <w:rFonts w:asciiTheme="majorEastAsia" w:hAnsiTheme="majorEastAsia" w:eastAsiaTheme="majorEastAsia" w:cstheme="majorEastAsia"/>
                <w:sz w:val="24"/>
                <w:shd w:val="clear" w:color="auto" w:fill="FFFFFF"/>
              </w:rPr>
            </w:pPr>
            <w:r>
              <w:rPr>
                <w:rFonts w:hint="eastAsia" w:asciiTheme="majorEastAsia" w:hAnsiTheme="majorEastAsia" w:eastAsiaTheme="majorEastAsia" w:cstheme="majorEastAsia"/>
                <w:sz w:val="24"/>
                <w:shd w:val="clear" w:color="auto" w:fill="FFFFFF"/>
              </w:rPr>
              <w:t>提供</w:t>
            </w:r>
            <w:r>
              <w:rPr>
                <w:rFonts w:hint="eastAsia" w:asciiTheme="majorEastAsia" w:hAnsiTheme="majorEastAsia" w:eastAsiaTheme="majorEastAsia" w:cstheme="majorEastAsia"/>
                <w:sz w:val="24"/>
                <w:shd w:val="clear" w:color="auto" w:fill="FFFFFF"/>
                <w:lang w:eastAsia="zh-CN"/>
              </w:rPr>
              <w:t>2024年1月至今至少1个月</w:t>
            </w:r>
            <w:r>
              <w:rPr>
                <w:rFonts w:hint="eastAsia" w:asciiTheme="majorEastAsia" w:hAnsiTheme="majorEastAsia" w:eastAsiaTheme="majorEastAsia" w:cstheme="majorEastAsia"/>
                <w:sz w:val="24"/>
                <w:shd w:val="clear" w:color="auto" w:fill="FFFFFF"/>
              </w:rPr>
              <w:t>的社会保障资金缴存单据或社保机构开具的社会保险参保缴费情况证明，依法不需要缴纳社会保障资金的单位应提供相关证明材料；</w:t>
            </w:r>
          </w:p>
        </w:tc>
      </w:tr>
      <w:tr w14:paraId="6694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79" w:type="dxa"/>
            <w:tcBorders>
              <w:left w:val="single" w:color="auto" w:sz="4" w:space="0"/>
              <w:right w:val="single" w:color="auto" w:sz="4" w:space="0"/>
            </w:tcBorders>
            <w:noWrap/>
            <w:vAlign w:val="center"/>
          </w:tcPr>
          <w:p w14:paraId="75C04B87">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w:t>
            </w:r>
          </w:p>
        </w:tc>
        <w:tc>
          <w:tcPr>
            <w:tcW w:w="1686" w:type="dxa"/>
            <w:tcBorders>
              <w:top w:val="single" w:color="auto" w:sz="4" w:space="0"/>
              <w:left w:val="single" w:color="auto" w:sz="4" w:space="0"/>
              <w:bottom w:val="single" w:color="auto" w:sz="4" w:space="0"/>
              <w:right w:val="single" w:color="auto" w:sz="4" w:space="0"/>
            </w:tcBorders>
            <w:noWrap/>
            <w:vAlign w:val="center"/>
          </w:tcPr>
          <w:p w14:paraId="64CC33DA">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财务要求</w:t>
            </w:r>
          </w:p>
        </w:tc>
        <w:tc>
          <w:tcPr>
            <w:tcW w:w="7112" w:type="dxa"/>
            <w:tcBorders>
              <w:top w:val="single" w:color="auto" w:sz="4" w:space="0"/>
              <w:left w:val="single" w:color="auto" w:sz="4" w:space="0"/>
              <w:bottom w:val="single" w:color="auto" w:sz="4" w:space="0"/>
              <w:right w:val="single" w:color="auto" w:sz="4" w:space="0"/>
            </w:tcBorders>
            <w:noWrap/>
            <w:vAlign w:val="center"/>
          </w:tcPr>
          <w:p w14:paraId="3E325E01">
            <w:pPr>
              <w:spacing w:line="360" w:lineRule="auto"/>
              <w:jc w:val="left"/>
              <w:rPr>
                <w:rFonts w:asciiTheme="majorEastAsia" w:hAnsiTheme="majorEastAsia" w:eastAsiaTheme="majorEastAsia" w:cstheme="majorEastAsia"/>
                <w:sz w:val="24"/>
                <w:shd w:val="clear" w:color="auto" w:fill="FFFFFF"/>
              </w:rPr>
            </w:pPr>
            <w:r>
              <w:rPr>
                <w:rFonts w:hint="eastAsia" w:asciiTheme="majorEastAsia" w:hAnsiTheme="majorEastAsia" w:eastAsiaTheme="majorEastAsia" w:cstheme="majorEastAsia"/>
                <w:sz w:val="24"/>
                <w:shd w:val="clear" w:color="auto" w:fill="FFFFFF"/>
              </w:rPr>
              <w:t>提供2023年度财务审计报告；公司成立至开标日期不足一年的提供自成立以来的财务报表（至少包含资产负债表、利润表、现金流量表）或公司基本账户开户行出具自成立以来的资信证明及基本账户开户证明；  </w:t>
            </w:r>
          </w:p>
        </w:tc>
      </w:tr>
      <w:tr w14:paraId="6A1D3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3" w:hRule="atLeast"/>
          <w:jc w:val="center"/>
        </w:trPr>
        <w:tc>
          <w:tcPr>
            <w:tcW w:w="779" w:type="dxa"/>
            <w:tcBorders>
              <w:left w:val="single" w:color="auto" w:sz="4" w:space="0"/>
              <w:right w:val="single" w:color="auto" w:sz="4" w:space="0"/>
            </w:tcBorders>
            <w:noWrap/>
            <w:vAlign w:val="center"/>
          </w:tcPr>
          <w:p w14:paraId="6B8E996C">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w:t>
            </w:r>
          </w:p>
        </w:tc>
        <w:tc>
          <w:tcPr>
            <w:tcW w:w="1686" w:type="dxa"/>
            <w:tcBorders>
              <w:top w:val="single" w:color="auto" w:sz="4" w:space="0"/>
              <w:left w:val="single" w:color="auto" w:sz="4" w:space="0"/>
              <w:bottom w:val="single" w:color="auto" w:sz="4" w:space="0"/>
              <w:right w:val="single" w:color="auto" w:sz="4" w:space="0"/>
            </w:tcBorders>
            <w:noWrap/>
            <w:vAlign w:val="center"/>
          </w:tcPr>
          <w:p w14:paraId="3978AE68">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主体信用查询记录</w:t>
            </w:r>
          </w:p>
        </w:tc>
        <w:tc>
          <w:tcPr>
            <w:tcW w:w="7112" w:type="dxa"/>
            <w:tcBorders>
              <w:top w:val="single" w:color="auto" w:sz="4" w:space="0"/>
              <w:left w:val="single" w:color="auto" w:sz="4" w:space="0"/>
              <w:bottom w:val="single" w:color="auto" w:sz="4" w:space="0"/>
              <w:right w:val="single" w:color="auto" w:sz="4" w:space="0"/>
            </w:tcBorders>
            <w:noWrap/>
            <w:vAlign w:val="center"/>
          </w:tcPr>
          <w:p w14:paraId="3A54303C">
            <w:pPr>
              <w:spacing w:line="360" w:lineRule="auto"/>
              <w:jc w:val="left"/>
              <w:rPr>
                <w:rFonts w:asciiTheme="majorEastAsia" w:hAnsiTheme="majorEastAsia" w:eastAsiaTheme="majorEastAsia" w:cstheme="majorEastAsia"/>
                <w:sz w:val="24"/>
                <w:shd w:val="clear" w:color="auto" w:fill="FFFFFF"/>
              </w:rPr>
            </w:pPr>
            <w:r>
              <w:rPr>
                <w:rFonts w:hint="eastAsia" w:asciiTheme="majorEastAsia" w:hAnsiTheme="majorEastAsia" w:eastAsiaTheme="majorEastAsia" w:cstheme="majorEastAsia"/>
                <w:sz w:val="24"/>
                <w:shd w:val="clear" w:color="auto" w:fill="FFFFFF"/>
              </w:rPr>
              <w:t>对列入“信用中国”网站(www.creditchina.gov.cn)“失信被执行人、税收违法黑名单、异常经营名录”记录名单；“中国政府采购网”(www.ccgp.gov.cn)“政府采购严重违法失信行为信息记录”的单位，应当拒绝参与政府采购活动，提供查询截图（查询日期为从招标文件获取之日起至投标截止日前但最终以投标截止日当天查询结果为准）。</w:t>
            </w:r>
          </w:p>
        </w:tc>
      </w:tr>
      <w:tr w14:paraId="467C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79" w:type="dxa"/>
            <w:tcBorders>
              <w:left w:val="single" w:color="auto" w:sz="4" w:space="0"/>
              <w:right w:val="single" w:color="auto" w:sz="4" w:space="0"/>
            </w:tcBorders>
            <w:noWrap/>
            <w:vAlign w:val="center"/>
          </w:tcPr>
          <w:p w14:paraId="4D095DB2">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w:t>
            </w:r>
          </w:p>
        </w:tc>
        <w:tc>
          <w:tcPr>
            <w:tcW w:w="1686" w:type="dxa"/>
            <w:tcBorders>
              <w:top w:val="single" w:color="auto" w:sz="4" w:space="0"/>
              <w:left w:val="single" w:color="auto" w:sz="4" w:space="0"/>
              <w:bottom w:val="single" w:color="auto" w:sz="4" w:space="0"/>
              <w:right w:val="single" w:color="auto" w:sz="4" w:space="0"/>
            </w:tcBorders>
            <w:noWrap/>
            <w:vAlign w:val="center"/>
          </w:tcPr>
          <w:p w14:paraId="06C211C6">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无违纪声明</w:t>
            </w:r>
          </w:p>
        </w:tc>
        <w:tc>
          <w:tcPr>
            <w:tcW w:w="7112" w:type="dxa"/>
            <w:tcBorders>
              <w:top w:val="single" w:color="auto" w:sz="4" w:space="0"/>
              <w:left w:val="single" w:color="auto" w:sz="4" w:space="0"/>
              <w:bottom w:val="single" w:color="auto" w:sz="4" w:space="0"/>
              <w:right w:val="single" w:color="auto" w:sz="4" w:space="0"/>
            </w:tcBorders>
            <w:noWrap/>
            <w:vAlign w:val="center"/>
          </w:tcPr>
          <w:p w14:paraId="41467285">
            <w:pPr>
              <w:spacing w:line="360" w:lineRule="auto"/>
              <w:jc w:val="left"/>
              <w:rPr>
                <w:rFonts w:asciiTheme="majorEastAsia" w:hAnsiTheme="majorEastAsia" w:eastAsiaTheme="majorEastAsia" w:cstheme="majorEastAsia"/>
                <w:sz w:val="24"/>
                <w:shd w:val="clear" w:color="auto" w:fill="FFFFFF"/>
              </w:rPr>
            </w:pPr>
            <w:r>
              <w:rPr>
                <w:rFonts w:hint="eastAsia" w:asciiTheme="majorEastAsia" w:hAnsiTheme="majorEastAsia" w:eastAsiaTheme="majorEastAsia" w:cstheme="majorEastAsia"/>
                <w:sz w:val="24"/>
                <w:shd w:val="clear" w:color="auto" w:fill="FFFFFF"/>
              </w:rPr>
              <w:t>参加政府采购活动前三年内，在经营活动中没有重大违法记录的书面声明；</w:t>
            </w:r>
          </w:p>
        </w:tc>
      </w:tr>
      <w:tr w14:paraId="3810F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79" w:type="dxa"/>
            <w:tcBorders>
              <w:left w:val="single" w:color="auto" w:sz="4" w:space="0"/>
              <w:right w:val="single" w:color="auto" w:sz="4" w:space="0"/>
            </w:tcBorders>
            <w:noWrap/>
            <w:vAlign w:val="center"/>
          </w:tcPr>
          <w:p w14:paraId="246DCC1A">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7</w:t>
            </w:r>
          </w:p>
        </w:tc>
        <w:tc>
          <w:tcPr>
            <w:tcW w:w="1686" w:type="dxa"/>
            <w:tcBorders>
              <w:top w:val="single" w:color="auto" w:sz="4" w:space="0"/>
              <w:left w:val="single" w:color="auto" w:sz="4" w:space="0"/>
              <w:bottom w:val="single" w:color="auto" w:sz="4" w:space="0"/>
              <w:right w:val="single" w:color="auto" w:sz="4" w:space="0"/>
            </w:tcBorders>
            <w:noWrap/>
            <w:vAlign w:val="center"/>
          </w:tcPr>
          <w:p w14:paraId="73437314">
            <w:pPr>
              <w:spacing w:line="360" w:lineRule="auto"/>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sz w:val="24"/>
              </w:rPr>
              <w:t>设备和专业技术能力的证明</w:t>
            </w:r>
          </w:p>
        </w:tc>
        <w:tc>
          <w:tcPr>
            <w:tcW w:w="7112" w:type="dxa"/>
            <w:tcBorders>
              <w:top w:val="single" w:color="auto" w:sz="4" w:space="0"/>
              <w:left w:val="single" w:color="auto" w:sz="4" w:space="0"/>
              <w:bottom w:val="single" w:color="auto" w:sz="4" w:space="0"/>
              <w:right w:val="single" w:color="auto" w:sz="4" w:space="0"/>
            </w:tcBorders>
            <w:noWrap/>
            <w:vAlign w:val="center"/>
          </w:tcPr>
          <w:p w14:paraId="6D9F0FD0">
            <w:pPr>
              <w:spacing w:line="360" w:lineRule="auto"/>
              <w:jc w:val="left"/>
              <w:rPr>
                <w:rFonts w:asciiTheme="majorEastAsia" w:hAnsiTheme="majorEastAsia" w:eastAsiaTheme="majorEastAsia" w:cstheme="majorEastAsia"/>
                <w:sz w:val="24"/>
                <w:shd w:val="clear" w:color="auto" w:fill="FFFFFF"/>
              </w:rPr>
            </w:pPr>
            <w:r>
              <w:rPr>
                <w:rFonts w:hint="eastAsia" w:asciiTheme="majorEastAsia" w:hAnsiTheme="majorEastAsia" w:eastAsiaTheme="majorEastAsia" w:cstheme="majorEastAsia"/>
                <w:sz w:val="24"/>
                <w:shd w:val="clear" w:color="auto" w:fill="FFFFFF"/>
              </w:rPr>
              <w:t>提供具有履行合同所必需的设备和专业技术能力的证明资料或承诺书；</w:t>
            </w:r>
          </w:p>
        </w:tc>
      </w:tr>
      <w:tr w14:paraId="3732D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79" w:type="dxa"/>
            <w:tcBorders>
              <w:left w:val="single" w:color="auto" w:sz="4" w:space="0"/>
              <w:right w:val="single" w:color="auto" w:sz="4" w:space="0"/>
            </w:tcBorders>
            <w:noWrap/>
            <w:vAlign w:val="center"/>
          </w:tcPr>
          <w:p w14:paraId="2CEB22B3">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8</w:t>
            </w:r>
          </w:p>
        </w:tc>
        <w:tc>
          <w:tcPr>
            <w:tcW w:w="1686" w:type="dxa"/>
            <w:tcBorders>
              <w:top w:val="single" w:color="auto" w:sz="4" w:space="0"/>
              <w:left w:val="single" w:color="auto" w:sz="4" w:space="0"/>
              <w:bottom w:val="single" w:color="auto" w:sz="4" w:space="0"/>
              <w:right w:val="single" w:color="auto" w:sz="4" w:space="0"/>
            </w:tcBorders>
            <w:noWrap/>
            <w:vAlign w:val="center"/>
          </w:tcPr>
          <w:p w14:paraId="111D4E4B">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bCs/>
                <w:sz w:val="24"/>
              </w:rPr>
              <w:t>自主上报信用承诺书</w:t>
            </w:r>
          </w:p>
        </w:tc>
        <w:tc>
          <w:tcPr>
            <w:tcW w:w="7112" w:type="dxa"/>
            <w:tcBorders>
              <w:top w:val="single" w:color="auto" w:sz="4" w:space="0"/>
              <w:left w:val="single" w:color="auto" w:sz="4" w:space="0"/>
              <w:bottom w:val="single" w:color="auto" w:sz="4" w:space="0"/>
              <w:right w:val="single" w:color="auto" w:sz="4" w:space="0"/>
            </w:tcBorders>
            <w:noWrap/>
            <w:vAlign w:val="center"/>
          </w:tcPr>
          <w:p w14:paraId="58CC94E1">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i w:val="0"/>
                <w:iCs w:val="0"/>
                <w:caps w:val="0"/>
                <w:color w:val="333333"/>
                <w:spacing w:val="0"/>
                <w:sz w:val="24"/>
                <w:szCs w:val="24"/>
                <w:shd w:val="clear" w:fill="FFFFFF"/>
              </w:rPr>
              <w:t>自主上报信用承诺书：投标人及其授权委托人应在“信用中国（陕西榆林）”网站(www.ylcredit.gov.cn)进行注册、登录、自主上报信用承诺书，包括：《榆林市政府采购货物类项目供应商信用承诺书》《投标人信用承诺》、《投标人委托代理人员信用承诺书》(如有)、《投标信用承诺书》。</w:t>
            </w:r>
          </w:p>
        </w:tc>
      </w:tr>
      <w:tr w14:paraId="10B77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08" w:hRule="atLeast"/>
          <w:jc w:val="center"/>
        </w:trPr>
        <w:tc>
          <w:tcPr>
            <w:tcW w:w="9577" w:type="dxa"/>
            <w:gridSpan w:val="3"/>
            <w:tcBorders>
              <w:left w:val="single" w:color="auto" w:sz="4" w:space="0"/>
              <w:bottom w:val="single" w:color="auto" w:sz="4" w:space="0"/>
              <w:right w:val="single" w:color="auto" w:sz="4" w:space="0"/>
            </w:tcBorders>
            <w:noWrap/>
            <w:vAlign w:val="center"/>
          </w:tcPr>
          <w:p w14:paraId="18D8E4BD">
            <w:pPr>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b/>
                <w:sz w:val="24"/>
              </w:rPr>
              <w:t>注：审查不合格的投标供应商将视为非响应投标，不再进入后续评标阶段。</w:t>
            </w:r>
          </w:p>
        </w:tc>
      </w:tr>
    </w:tbl>
    <w:p w14:paraId="2C1E49DA">
      <w:pPr>
        <w:spacing w:beforeLines="50"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22.2 评标委员会将审查每份投标文件是否实质上响应了招标文件的要求。实质上响应的投标应该是与招标文件要求的全部条款、条件和规格相符，没有重大偏离或保留的投标。对关键条文的偏离、保留或反对将被认为是实质上的偏离。重大偏离或保留是指实质上影响服务内容；或者实质上与招标文件不一致，而且限制了采购人的权利或投标人的义务。纠正这些偏离或保留将会对其他实质上响应要求的投标人的竞争地位产生不公正的影响。对于投标文件中不构成实质性偏差的不正规、不一致或不规则，采购人可以接受，但这种接受将影响投标人的综合得分。评标委员会只根据投标文件本身的内容确定投标文件的响应性，而不寻求外部的证据。</w:t>
      </w:r>
    </w:p>
    <w:p w14:paraId="1C224B47">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22.3 符合性评审：主要对各供应商投标文件进行商务性的审定。不符合下列情况之一的，其投标将按无效处理：</w:t>
      </w:r>
    </w:p>
    <w:tbl>
      <w:tblPr>
        <w:tblStyle w:val="25"/>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746"/>
        <w:gridCol w:w="7762"/>
        <w:gridCol w:w="659"/>
      </w:tblGrid>
      <w:tr w14:paraId="0CD90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1" w:hRule="atLeast"/>
          <w:jc w:val="center"/>
        </w:trPr>
        <w:tc>
          <w:tcPr>
            <w:tcW w:w="746" w:type="dxa"/>
            <w:tcBorders>
              <w:top w:val="single" w:color="auto" w:sz="4" w:space="0"/>
              <w:left w:val="single" w:color="auto" w:sz="4" w:space="0"/>
              <w:bottom w:val="single" w:color="auto" w:sz="4" w:space="0"/>
              <w:right w:val="single" w:color="auto" w:sz="4" w:space="0"/>
            </w:tcBorders>
            <w:noWrap/>
            <w:vAlign w:val="center"/>
          </w:tcPr>
          <w:p w14:paraId="75EE6956">
            <w:pPr>
              <w:spacing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序号</w:t>
            </w:r>
          </w:p>
        </w:tc>
        <w:tc>
          <w:tcPr>
            <w:tcW w:w="7762" w:type="dxa"/>
            <w:tcBorders>
              <w:top w:val="single" w:color="auto" w:sz="4" w:space="0"/>
              <w:left w:val="single" w:color="auto" w:sz="4" w:space="0"/>
              <w:bottom w:val="single" w:color="auto" w:sz="4" w:space="0"/>
              <w:right w:val="single" w:color="auto" w:sz="4" w:space="0"/>
            </w:tcBorders>
            <w:noWrap/>
            <w:vAlign w:val="center"/>
          </w:tcPr>
          <w:p w14:paraId="0359C80D">
            <w:pPr>
              <w:spacing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审查因素</w:t>
            </w:r>
          </w:p>
        </w:tc>
        <w:tc>
          <w:tcPr>
            <w:tcW w:w="659" w:type="dxa"/>
            <w:tcBorders>
              <w:top w:val="single" w:color="auto" w:sz="4" w:space="0"/>
              <w:left w:val="single" w:color="auto" w:sz="4" w:space="0"/>
              <w:bottom w:val="single" w:color="auto" w:sz="4" w:space="0"/>
              <w:right w:val="single" w:color="auto" w:sz="4" w:space="0"/>
            </w:tcBorders>
            <w:noWrap/>
            <w:vAlign w:val="center"/>
          </w:tcPr>
          <w:p w14:paraId="3BBD12C2">
            <w:pPr>
              <w:spacing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备注</w:t>
            </w:r>
          </w:p>
        </w:tc>
      </w:tr>
      <w:tr w14:paraId="769CE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0" w:hRule="atLeast"/>
          <w:jc w:val="center"/>
        </w:trPr>
        <w:tc>
          <w:tcPr>
            <w:tcW w:w="746" w:type="dxa"/>
            <w:tcBorders>
              <w:left w:val="single" w:color="auto" w:sz="4" w:space="0"/>
              <w:right w:val="single" w:color="auto" w:sz="4" w:space="0"/>
            </w:tcBorders>
            <w:noWrap/>
            <w:vAlign w:val="center"/>
          </w:tcPr>
          <w:p w14:paraId="43B77818">
            <w:pPr>
              <w:spacing w:line="360" w:lineRule="auto"/>
              <w:jc w:val="center"/>
              <w:rPr>
                <w:rFonts w:asciiTheme="majorEastAsia" w:hAnsiTheme="majorEastAsia" w:eastAsiaTheme="majorEastAsia" w:cstheme="majorEastAsia"/>
                <w:b w:val="0"/>
                <w:bCs w:val="0"/>
                <w:sz w:val="24"/>
              </w:rPr>
            </w:pPr>
            <w:r>
              <w:rPr>
                <w:rFonts w:hint="eastAsia" w:asciiTheme="majorEastAsia" w:hAnsiTheme="majorEastAsia" w:eastAsiaTheme="majorEastAsia" w:cstheme="majorEastAsia"/>
                <w:b w:val="0"/>
                <w:bCs w:val="0"/>
                <w:sz w:val="24"/>
              </w:rPr>
              <w:t>1</w:t>
            </w:r>
          </w:p>
        </w:tc>
        <w:tc>
          <w:tcPr>
            <w:tcW w:w="7762" w:type="dxa"/>
            <w:tcBorders>
              <w:top w:val="single" w:color="auto" w:sz="4" w:space="0"/>
              <w:left w:val="single" w:color="auto" w:sz="4" w:space="0"/>
              <w:bottom w:val="single" w:color="auto" w:sz="4" w:space="0"/>
              <w:right w:val="single" w:color="auto" w:sz="4" w:space="0"/>
            </w:tcBorders>
            <w:noWrap/>
            <w:vAlign w:val="center"/>
          </w:tcPr>
          <w:p w14:paraId="583DB114">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投标报价同时满足以下条款：（1）投标报价符合唯一性要求；（2）开标一览表填写符合要求；（3）报价货币符合招标文件要求；（4）未超出采购预算或招标文件规定的最高限价；</w:t>
            </w:r>
          </w:p>
        </w:tc>
        <w:tc>
          <w:tcPr>
            <w:tcW w:w="659" w:type="dxa"/>
            <w:tcBorders>
              <w:top w:val="single" w:color="auto" w:sz="4" w:space="0"/>
              <w:left w:val="single" w:color="auto" w:sz="4" w:space="0"/>
              <w:bottom w:val="single" w:color="auto" w:sz="4" w:space="0"/>
              <w:right w:val="single" w:color="auto" w:sz="4" w:space="0"/>
            </w:tcBorders>
            <w:noWrap/>
            <w:vAlign w:val="center"/>
          </w:tcPr>
          <w:p w14:paraId="3BCCB099">
            <w:pPr>
              <w:spacing w:line="360" w:lineRule="auto"/>
              <w:jc w:val="center"/>
              <w:rPr>
                <w:rFonts w:asciiTheme="majorEastAsia" w:hAnsiTheme="majorEastAsia" w:eastAsiaTheme="majorEastAsia" w:cstheme="majorEastAsia"/>
                <w:b/>
                <w:bCs/>
                <w:sz w:val="24"/>
              </w:rPr>
            </w:pPr>
          </w:p>
        </w:tc>
      </w:tr>
      <w:tr w14:paraId="03973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2" w:hRule="atLeast"/>
          <w:jc w:val="center"/>
        </w:trPr>
        <w:tc>
          <w:tcPr>
            <w:tcW w:w="746" w:type="dxa"/>
            <w:tcBorders>
              <w:left w:val="single" w:color="auto" w:sz="4" w:space="0"/>
              <w:right w:val="single" w:color="auto" w:sz="4" w:space="0"/>
            </w:tcBorders>
            <w:noWrap/>
            <w:vAlign w:val="center"/>
          </w:tcPr>
          <w:p w14:paraId="20C56FD1">
            <w:pPr>
              <w:spacing w:line="360" w:lineRule="auto"/>
              <w:jc w:val="center"/>
              <w:rPr>
                <w:rFonts w:asciiTheme="majorEastAsia" w:hAnsiTheme="majorEastAsia" w:eastAsiaTheme="majorEastAsia" w:cstheme="majorEastAsia"/>
                <w:b w:val="0"/>
                <w:bCs w:val="0"/>
                <w:sz w:val="24"/>
              </w:rPr>
            </w:pPr>
            <w:r>
              <w:rPr>
                <w:rFonts w:hint="eastAsia" w:asciiTheme="majorEastAsia" w:hAnsiTheme="majorEastAsia" w:eastAsiaTheme="majorEastAsia" w:cstheme="majorEastAsia"/>
                <w:b w:val="0"/>
                <w:bCs w:val="0"/>
                <w:sz w:val="24"/>
              </w:rPr>
              <w:t>2</w:t>
            </w:r>
          </w:p>
        </w:tc>
        <w:tc>
          <w:tcPr>
            <w:tcW w:w="7762" w:type="dxa"/>
            <w:tcBorders>
              <w:top w:val="single" w:color="auto" w:sz="4" w:space="0"/>
              <w:left w:val="single" w:color="auto" w:sz="4" w:space="0"/>
              <w:bottom w:val="single" w:color="auto" w:sz="4" w:space="0"/>
              <w:right w:val="single" w:color="auto" w:sz="4" w:space="0"/>
            </w:tcBorders>
            <w:noWrap/>
            <w:vAlign w:val="center"/>
          </w:tcPr>
          <w:p w14:paraId="2043E09C">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投标有效期符合招标文件要求；</w:t>
            </w:r>
          </w:p>
        </w:tc>
        <w:tc>
          <w:tcPr>
            <w:tcW w:w="659" w:type="dxa"/>
            <w:tcBorders>
              <w:top w:val="single" w:color="auto" w:sz="4" w:space="0"/>
              <w:left w:val="single" w:color="auto" w:sz="4" w:space="0"/>
              <w:bottom w:val="single" w:color="auto" w:sz="4" w:space="0"/>
              <w:right w:val="single" w:color="auto" w:sz="4" w:space="0"/>
            </w:tcBorders>
            <w:noWrap/>
            <w:vAlign w:val="center"/>
          </w:tcPr>
          <w:p w14:paraId="12A248A6">
            <w:pPr>
              <w:spacing w:line="360" w:lineRule="auto"/>
              <w:jc w:val="center"/>
              <w:rPr>
                <w:rFonts w:asciiTheme="majorEastAsia" w:hAnsiTheme="majorEastAsia" w:eastAsiaTheme="majorEastAsia" w:cstheme="majorEastAsia"/>
                <w:b/>
                <w:sz w:val="24"/>
              </w:rPr>
            </w:pPr>
          </w:p>
        </w:tc>
      </w:tr>
      <w:tr w14:paraId="1F0B6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2" w:hRule="atLeast"/>
          <w:jc w:val="center"/>
        </w:trPr>
        <w:tc>
          <w:tcPr>
            <w:tcW w:w="746" w:type="dxa"/>
            <w:tcBorders>
              <w:left w:val="single" w:color="auto" w:sz="4" w:space="0"/>
              <w:right w:val="single" w:color="auto" w:sz="4" w:space="0"/>
            </w:tcBorders>
            <w:noWrap/>
            <w:vAlign w:val="center"/>
          </w:tcPr>
          <w:p w14:paraId="34D99CC6">
            <w:pPr>
              <w:spacing w:line="360" w:lineRule="auto"/>
              <w:jc w:val="center"/>
              <w:rPr>
                <w:rFonts w:asciiTheme="majorEastAsia" w:hAnsiTheme="majorEastAsia" w:eastAsiaTheme="majorEastAsia" w:cstheme="majorEastAsia"/>
                <w:b w:val="0"/>
                <w:bCs w:val="0"/>
                <w:sz w:val="24"/>
              </w:rPr>
            </w:pPr>
            <w:r>
              <w:rPr>
                <w:rFonts w:hint="eastAsia" w:asciiTheme="majorEastAsia" w:hAnsiTheme="majorEastAsia" w:eastAsiaTheme="majorEastAsia" w:cstheme="majorEastAsia"/>
                <w:b w:val="0"/>
                <w:bCs w:val="0"/>
                <w:sz w:val="24"/>
              </w:rPr>
              <w:t>3</w:t>
            </w:r>
          </w:p>
        </w:tc>
        <w:tc>
          <w:tcPr>
            <w:tcW w:w="7762" w:type="dxa"/>
            <w:tcBorders>
              <w:top w:val="single" w:color="auto" w:sz="4" w:space="0"/>
              <w:left w:val="single" w:color="auto" w:sz="4" w:space="0"/>
              <w:bottom w:val="single" w:color="auto" w:sz="4" w:space="0"/>
              <w:right w:val="single" w:color="auto" w:sz="4" w:space="0"/>
            </w:tcBorders>
            <w:noWrap/>
            <w:vAlign w:val="center"/>
          </w:tcPr>
          <w:p w14:paraId="42F5E304">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实质性条款完全响应招标文件要求的各项实质性条款；</w:t>
            </w:r>
          </w:p>
        </w:tc>
        <w:tc>
          <w:tcPr>
            <w:tcW w:w="659" w:type="dxa"/>
            <w:tcBorders>
              <w:top w:val="single" w:color="auto" w:sz="4" w:space="0"/>
              <w:left w:val="single" w:color="auto" w:sz="4" w:space="0"/>
              <w:bottom w:val="single" w:color="auto" w:sz="4" w:space="0"/>
              <w:right w:val="single" w:color="auto" w:sz="4" w:space="0"/>
            </w:tcBorders>
            <w:noWrap/>
            <w:vAlign w:val="center"/>
          </w:tcPr>
          <w:p w14:paraId="46280FD5">
            <w:pPr>
              <w:spacing w:line="360" w:lineRule="auto"/>
              <w:jc w:val="center"/>
              <w:rPr>
                <w:rFonts w:asciiTheme="majorEastAsia" w:hAnsiTheme="majorEastAsia" w:eastAsiaTheme="majorEastAsia" w:cstheme="majorEastAsia"/>
                <w:b/>
                <w:sz w:val="24"/>
              </w:rPr>
            </w:pPr>
          </w:p>
        </w:tc>
      </w:tr>
      <w:tr w14:paraId="10659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01" w:hRule="atLeast"/>
          <w:jc w:val="center"/>
        </w:trPr>
        <w:tc>
          <w:tcPr>
            <w:tcW w:w="746" w:type="dxa"/>
            <w:tcBorders>
              <w:left w:val="single" w:color="auto" w:sz="4" w:space="0"/>
              <w:bottom w:val="single" w:color="auto" w:sz="4" w:space="0"/>
              <w:right w:val="single" w:color="auto" w:sz="4" w:space="0"/>
            </w:tcBorders>
            <w:noWrap/>
            <w:vAlign w:val="center"/>
          </w:tcPr>
          <w:p w14:paraId="43C0B490">
            <w:pPr>
              <w:spacing w:line="360" w:lineRule="auto"/>
              <w:jc w:val="center"/>
              <w:rPr>
                <w:rFonts w:asciiTheme="majorEastAsia" w:hAnsiTheme="majorEastAsia" w:eastAsiaTheme="majorEastAsia" w:cstheme="majorEastAsia"/>
                <w:b w:val="0"/>
                <w:bCs w:val="0"/>
                <w:sz w:val="24"/>
              </w:rPr>
            </w:pPr>
            <w:r>
              <w:rPr>
                <w:rFonts w:hint="eastAsia" w:asciiTheme="majorEastAsia" w:hAnsiTheme="majorEastAsia" w:eastAsiaTheme="majorEastAsia" w:cstheme="majorEastAsia"/>
                <w:b w:val="0"/>
                <w:bCs w:val="0"/>
                <w:sz w:val="24"/>
              </w:rPr>
              <w:t>4</w:t>
            </w:r>
          </w:p>
        </w:tc>
        <w:tc>
          <w:tcPr>
            <w:tcW w:w="7762" w:type="dxa"/>
            <w:tcBorders>
              <w:top w:val="single" w:color="auto" w:sz="4" w:space="0"/>
              <w:left w:val="single" w:color="auto" w:sz="4" w:space="0"/>
              <w:bottom w:val="single" w:color="auto" w:sz="4" w:space="0"/>
              <w:right w:val="single" w:color="auto" w:sz="4" w:space="0"/>
            </w:tcBorders>
            <w:noWrap/>
            <w:vAlign w:val="center"/>
          </w:tcPr>
          <w:p w14:paraId="4421B438">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投标文件的语言及计量单位符合招标文件的要求；</w:t>
            </w:r>
          </w:p>
        </w:tc>
        <w:tc>
          <w:tcPr>
            <w:tcW w:w="659" w:type="dxa"/>
            <w:tcBorders>
              <w:top w:val="single" w:color="auto" w:sz="4" w:space="0"/>
              <w:left w:val="single" w:color="auto" w:sz="4" w:space="0"/>
              <w:bottom w:val="single" w:color="auto" w:sz="4" w:space="0"/>
              <w:right w:val="single" w:color="auto" w:sz="4" w:space="0"/>
            </w:tcBorders>
            <w:noWrap/>
            <w:vAlign w:val="center"/>
          </w:tcPr>
          <w:p w14:paraId="1D82BD3D">
            <w:pPr>
              <w:spacing w:line="360" w:lineRule="auto"/>
              <w:jc w:val="center"/>
              <w:rPr>
                <w:rFonts w:asciiTheme="majorEastAsia" w:hAnsiTheme="majorEastAsia" w:eastAsiaTheme="majorEastAsia" w:cstheme="majorEastAsia"/>
                <w:b/>
                <w:sz w:val="24"/>
              </w:rPr>
            </w:pPr>
          </w:p>
        </w:tc>
      </w:tr>
      <w:tr w14:paraId="6BD72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0" w:hRule="atLeast"/>
          <w:jc w:val="center"/>
        </w:trPr>
        <w:tc>
          <w:tcPr>
            <w:tcW w:w="746" w:type="dxa"/>
            <w:tcBorders>
              <w:left w:val="single" w:color="auto" w:sz="4" w:space="0"/>
              <w:right w:val="single" w:color="auto" w:sz="4" w:space="0"/>
            </w:tcBorders>
            <w:noWrap/>
            <w:vAlign w:val="center"/>
          </w:tcPr>
          <w:p w14:paraId="2C3B469B">
            <w:pPr>
              <w:spacing w:line="360" w:lineRule="auto"/>
              <w:jc w:val="center"/>
              <w:rPr>
                <w:rFonts w:asciiTheme="majorEastAsia" w:hAnsiTheme="majorEastAsia" w:eastAsiaTheme="majorEastAsia" w:cstheme="majorEastAsia"/>
                <w:b w:val="0"/>
                <w:bCs w:val="0"/>
                <w:sz w:val="24"/>
              </w:rPr>
            </w:pPr>
            <w:r>
              <w:rPr>
                <w:rFonts w:hint="eastAsia" w:asciiTheme="majorEastAsia" w:hAnsiTheme="majorEastAsia" w:eastAsiaTheme="majorEastAsia" w:cstheme="majorEastAsia"/>
                <w:b w:val="0"/>
                <w:bCs w:val="0"/>
                <w:sz w:val="24"/>
              </w:rPr>
              <w:t>5</w:t>
            </w:r>
          </w:p>
        </w:tc>
        <w:tc>
          <w:tcPr>
            <w:tcW w:w="7762" w:type="dxa"/>
            <w:tcBorders>
              <w:top w:val="single" w:color="auto" w:sz="4" w:space="0"/>
              <w:left w:val="single" w:color="auto" w:sz="4" w:space="0"/>
              <w:bottom w:val="single" w:color="auto" w:sz="4" w:space="0"/>
              <w:right w:val="single" w:color="auto" w:sz="4" w:space="0"/>
            </w:tcBorders>
            <w:noWrap/>
            <w:vAlign w:val="center"/>
          </w:tcPr>
          <w:p w14:paraId="169F4CD1">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其他情况：没有串通投标或弄虚作假或有其他违法行为；招标文件或法律法规规有关废标或否决投标规定的其他情形。</w:t>
            </w:r>
          </w:p>
        </w:tc>
        <w:tc>
          <w:tcPr>
            <w:tcW w:w="659" w:type="dxa"/>
            <w:tcBorders>
              <w:top w:val="single" w:color="auto" w:sz="4" w:space="0"/>
              <w:left w:val="single" w:color="auto" w:sz="4" w:space="0"/>
              <w:bottom w:val="single" w:color="auto" w:sz="4" w:space="0"/>
              <w:right w:val="single" w:color="auto" w:sz="4" w:space="0"/>
            </w:tcBorders>
            <w:noWrap/>
            <w:vAlign w:val="center"/>
          </w:tcPr>
          <w:p w14:paraId="6E35B0BA">
            <w:pPr>
              <w:spacing w:line="360" w:lineRule="auto"/>
              <w:jc w:val="center"/>
              <w:rPr>
                <w:rFonts w:asciiTheme="majorEastAsia" w:hAnsiTheme="majorEastAsia" w:eastAsiaTheme="majorEastAsia" w:cstheme="majorEastAsia"/>
                <w:b/>
                <w:sz w:val="24"/>
              </w:rPr>
            </w:pPr>
          </w:p>
        </w:tc>
      </w:tr>
      <w:tr w14:paraId="3195A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5" w:hRule="atLeast"/>
          <w:jc w:val="center"/>
        </w:trPr>
        <w:tc>
          <w:tcPr>
            <w:tcW w:w="8508" w:type="dxa"/>
            <w:gridSpan w:val="2"/>
            <w:tcBorders>
              <w:left w:val="single" w:color="auto" w:sz="4" w:space="0"/>
              <w:bottom w:val="single" w:color="auto" w:sz="4" w:space="0"/>
              <w:right w:val="single" w:color="auto" w:sz="4" w:space="0"/>
            </w:tcBorders>
            <w:noWrap/>
            <w:vAlign w:val="center"/>
          </w:tcPr>
          <w:p w14:paraId="276D395D">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备注：符合性审查不合格的投标单位不得进入下一评审环节。</w:t>
            </w:r>
          </w:p>
        </w:tc>
        <w:tc>
          <w:tcPr>
            <w:tcW w:w="659" w:type="dxa"/>
            <w:tcBorders>
              <w:top w:val="single" w:color="auto" w:sz="4" w:space="0"/>
              <w:left w:val="single" w:color="auto" w:sz="4" w:space="0"/>
              <w:bottom w:val="single" w:color="auto" w:sz="4" w:space="0"/>
              <w:right w:val="single" w:color="auto" w:sz="4" w:space="0"/>
            </w:tcBorders>
            <w:noWrap/>
            <w:vAlign w:val="center"/>
          </w:tcPr>
          <w:p w14:paraId="0842AAE8">
            <w:pPr>
              <w:spacing w:line="360" w:lineRule="auto"/>
              <w:jc w:val="center"/>
              <w:rPr>
                <w:rFonts w:asciiTheme="majorEastAsia" w:hAnsiTheme="majorEastAsia" w:eastAsiaTheme="majorEastAsia" w:cstheme="majorEastAsia"/>
                <w:b/>
                <w:sz w:val="24"/>
              </w:rPr>
            </w:pPr>
          </w:p>
        </w:tc>
      </w:tr>
    </w:tbl>
    <w:p w14:paraId="590B46A9">
      <w:pPr>
        <w:pStyle w:val="10"/>
        <w:spacing w:line="360" w:lineRule="auto"/>
        <w:rPr>
          <w:rFonts w:asciiTheme="majorEastAsia" w:hAnsiTheme="majorEastAsia" w:eastAsiaTheme="majorEastAsia" w:cstheme="majorEastAsia"/>
          <w:kern w:val="2"/>
          <w:sz w:val="24"/>
        </w:rPr>
      </w:pPr>
      <w:r>
        <w:rPr>
          <w:rFonts w:hint="eastAsia" w:asciiTheme="majorEastAsia" w:hAnsiTheme="majorEastAsia" w:eastAsiaTheme="majorEastAsia" w:cstheme="majorEastAsia"/>
          <w:kern w:val="2"/>
          <w:sz w:val="24"/>
        </w:rPr>
        <w:t>22.3.1有下列情形之一的，视为投标人相互恶意串通投标响应，其投标文件按无效处理：</w:t>
      </w:r>
    </w:p>
    <w:p w14:paraId="7FDBE4E9">
      <w:pPr>
        <w:pStyle w:val="10"/>
        <w:spacing w:line="360" w:lineRule="auto"/>
        <w:ind w:firstLine="240" w:firstLineChars="100"/>
        <w:rPr>
          <w:rFonts w:asciiTheme="majorEastAsia" w:hAnsiTheme="majorEastAsia" w:eastAsiaTheme="majorEastAsia" w:cstheme="majorEastAsia"/>
          <w:kern w:val="2"/>
          <w:sz w:val="24"/>
        </w:rPr>
      </w:pPr>
      <w:r>
        <w:rPr>
          <w:rFonts w:hint="eastAsia" w:asciiTheme="majorEastAsia" w:hAnsiTheme="majorEastAsia" w:eastAsiaTheme="majorEastAsia" w:cstheme="majorEastAsia"/>
          <w:kern w:val="2"/>
          <w:sz w:val="24"/>
        </w:rPr>
        <w:t>1）不同投标人的投标文件由同一单位或者个人编制；</w:t>
      </w:r>
    </w:p>
    <w:p w14:paraId="5983EA94">
      <w:pPr>
        <w:pStyle w:val="10"/>
        <w:spacing w:line="360" w:lineRule="auto"/>
        <w:ind w:firstLine="240" w:firstLineChars="100"/>
        <w:rPr>
          <w:rFonts w:asciiTheme="majorEastAsia" w:hAnsiTheme="majorEastAsia" w:eastAsiaTheme="majorEastAsia" w:cstheme="majorEastAsia"/>
          <w:kern w:val="2"/>
          <w:sz w:val="24"/>
        </w:rPr>
      </w:pPr>
      <w:r>
        <w:rPr>
          <w:rFonts w:hint="eastAsia" w:asciiTheme="majorEastAsia" w:hAnsiTheme="majorEastAsia" w:eastAsiaTheme="majorEastAsia" w:cstheme="majorEastAsia"/>
          <w:kern w:val="2"/>
          <w:sz w:val="24"/>
        </w:rPr>
        <w:t>2）不同投标人委托同一单位或者个人办理投标事宜；</w:t>
      </w:r>
    </w:p>
    <w:p w14:paraId="35ADCDEF">
      <w:pPr>
        <w:pStyle w:val="10"/>
        <w:spacing w:line="360" w:lineRule="auto"/>
        <w:ind w:firstLine="240" w:firstLineChars="100"/>
        <w:rPr>
          <w:rFonts w:asciiTheme="majorEastAsia" w:hAnsiTheme="majorEastAsia" w:eastAsiaTheme="majorEastAsia" w:cstheme="majorEastAsia"/>
          <w:kern w:val="2"/>
          <w:sz w:val="24"/>
        </w:rPr>
      </w:pPr>
      <w:r>
        <w:rPr>
          <w:rFonts w:hint="eastAsia" w:asciiTheme="majorEastAsia" w:hAnsiTheme="majorEastAsia" w:eastAsiaTheme="majorEastAsia" w:cstheme="majorEastAsia"/>
          <w:kern w:val="2"/>
          <w:sz w:val="24"/>
        </w:rPr>
        <w:t>3）不同投标人的响应文件载明的项目管理成员为同一人；</w:t>
      </w:r>
    </w:p>
    <w:p w14:paraId="6BF8E249">
      <w:pPr>
        <w:pStyle w:val="10"/>
        <w:spacing w:line="360" w:lineRule="auto"/>
        <w:ind w:firstLine="240" w:firstLineChars="100"/>
        <w:rPr>
          <w:rFonts w:asciiTheme="majorEastAsia" w:hAnsiTheme="majorEastAsia" w:eastAsiaTheme="majorEastAsia" w:cstheme="majorEastAsia"/>
          <w:kern w:val="2"/>
          <w:sz w:val="24"/>
        </w:rPr>
      </w:pPr>
      <w:r>
        <w:rPr>
          <w:rFonts w:hint="eastAsia" w:asciiTheme="majorEastAsia" w:hAnsiTheme="majorEastAsia" w:eastAsiaTheme="majorEastAsia" w:cstheme="majorEastAsia"/>
          <w:kern w:val="2"/>
          <w:sz w:val="24"/>
        </w:rPr>
        <w:t>4）不同投标人的响应文件异常一致或者投标报价呈规律性差异；</w:t>
      </w:r>
    </w:p>
    <w:p w14:paraId="2960E8F5">
      <w:pPr>
        <w:pStyle w:val="10"/>
        <w:spacing w:line="360" w:lineRule="auto"/>
        <w:ind w:firstLine="240" w:firstLineChars="100"/>
        <w:rPr>
          <w:rFonts w:asciiTheme="majorEastAsia" w:hAnsiTheme="majorEastAsia" w:eastAsiaTheme="majorEastAsia" w:cstheme="majorEastAsia"/>
          <w:kern w:val="2"/>
          <w:sz w:val="24"/>
        </w:rPr>
      </w:pPr>
      <w:r>
        <w:rPr>
          <w:rFonts w:hint="eastAsia" w:asciiTheme="majorEastAsia" w:hAnsiTheme="majorEastAsia" w:eastAsiaTheme="majorEastAsia" w:cstheme="majorEastAsia"/>
          <w:kern w:val="2"/>
          <w:sz w:val="24"/>
        </w:rPr>
        <w:t>5）不同投标人的响应文件相互混装；</w:t>
      </w:r>
    </w:p>
    <w:p w14:paraId="3B2CCF37">
      <w:pPr>
        <w:pStyle w:val="10"/>
        <w:spacing w:line="360" w:lineRule="auto"/>
        <w:ind w:firstLine="240" w:firstLineChars="100"/>
        <w:rPr>
          <w:rFonts w:asciiTheme="majorEastAsia" w:hAnsiTheme="majorEastAsia" w:eastAsiaTheme="majorEastAsia" w:cstheme="majorEastAsia"/>
          <w:kern w:val="2"/>
          <w:sz w:val="24"/>
        </w:rPr>
      </w:pPr>
      <w:r>
        <w:rPr>
          <w:rFonts w:hint="eastAsia" w:asciiTheme="majorEastAsia" w:hAnsiTheme="majorEastAsia" w:eastAsiaTheme="majorEastAsia" w:cstheme="majorEastAsia"/>
          <w:kern w:val="2"/>
          <w:sz w:val="24"/>
        </w:rPr>
        <w:t>6）不同投标人的投标保证金从同一单位或者个人的账户转出；</w:t>
      </w:r>
    </w:p>
    <w:p w14:paraId="0390115D">
      <w:pPr>
        <w:pStyle w:val="10"/>
        <w:spacing w:line="360" w:lineRule="auto"/>
        <w:ind w:firstLine="240" w:firstLineChars="100"/>
        <w:rPr>
          <w:rFonts w:asciiTheme="majorEastAsia" w:hAnsiTheme="majorEastAsia" w:eastAsiaTheme="majorEastAsia" w:cstheme="majorEastAsia"/>
          <w:kern w:val="2"/>
          <w:sz w:val="24"/>
        </w:rPr>
      </w:pPr>
      <w:r>
        <w:rPr>
          <w:rFonts w:hint="eastAsia" w:asciiTheme="majorEastAsia" w:hAnsiTheme="majorEastAsia" w:eastAsiaTheme="majorEastAsia" w:cstheme="majorEastAsia"/>
          <w:kern w:val="2"/>
          <w:sz w:val="24"/>
        </w:rPr>
        <w:t>7）不同投标人的响应文件由同一单位送达。</w:t>
      </w:r>
    </w:p>
    <w:p w14:paraId="46B74BA2">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22.4 如果投标文件实质上没有响应招标文件的要求，评标委员会将予以拒绝，投标人不得通过修正或撤销不合要求的偏离从而使其投标成为实质上响应的投标。</w:t>
      </w:r>
    </w:p>
    <w:p w14:paraId="68F96FD2">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22.5 评标委员会将只对确定为实质上响应的投标进行审核，看其是否有计算上和累加上的算术错误，修正错误的原则如下：</w:t>
      </w:r>
    </w:p>
    <w:p w14:paraId="3533C1F7">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1）投标报价表中内容与投标文件投标分项报价表内容不一致的，应以投标报价表为准；</w:t>
      </w:r>
    </w:p>
    <w:p w14:paraId="709F81FC">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2）投标文件的大写金额和小写金额不一致的，以大写金额为准；总价金额与按单价汇总金额不一致的，以单价金额计算结果为准；单价金额小数点有明显错位的，应以总价为准，并修改单价；</w:t>
      </w:r>
    </w:p>
    <w:p w14:paraId="5AE6A702">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22.6 评标委员会将按上述修正错误的原则调整投标文件中的投标报价，调整后的价格应对投标人具有约束力。如果投标人不接受修正后的价格，则其投标将被拒绝。</w:t>
      </w:r>
    </w:p>
    <w:p w14:paraId="7E58E1B8">
      <w:pPr>
        <w:spacing w:line="360" w:lineRule="auto"/>
        <w:ind w:firstLine="482" w:firstLineChars="200"/>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23．投标文件的详细评审</w:t>
      </w:r>
    </w:p>
    <w:p w14:paraId="478B8990">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23.1 评标委员会将按照第22条规定只对确定为实质上响应招标文件要求的投标进行详细的评价和比较。</w:t>
      </w:r>
    </w:p>
    <w:p w14:paraId="7C429807">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23.2 评标方法：综合评分法</w:t>
      </w:r>
    </w:p>
    <w:p w14:paraId="6A3AFBB5">
      <w:pPr>
        <w:spacing w:line="360" w:lineRule="auto"/>
        <w:ind w:firstLine="482" w:firstLineChars="200"/>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评审总分值为100分，具体分值如下：</w:t>
      </w:r>
    </w:p>
    <w:tbl>
      <w:tblPr>
        <w:tblStyle w:val="26"/>
        <w:tblpPr w:leftFromText="180" w:rightFromText="180" w:vertAnchor="text" w:horzAnchor="page" w:tblpX="1214" w:tblpY="426"/>
        <w:tblOverlap w:val="never"/>
        <w:tblW w:w="98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7656"/>
        <w:gridCol w:w="867"/>
      </w:tblGrid>
      <w:tr w14:paraId="7CD63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278" w:type="dxa"/>
            <w:noWrap/>
            <w:vAlign w:val="center"/>
          </w:tcPr>
          <w:p w14:paraId="3682090D">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分项名称</w:t>
            </w:r>
          </w:p>
        </w:tc>
        <w:tc>
          <w:tcPr>
            <w:tcW w:w="7656" w:type="dxa"/>
            <w:noWrap/>
            <w:vAlign w:val="center"/>
          </w:tcPr>
          <w:p w14:paraId="3544DEAB">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评分标准</w:t>
            </w:r>
          </w:p>
        </w:tc>
        <w:tc>
          <w:tcPr>
            <w:tcW w:w="867" w:type="dxa"/>
            <w:noWrap/>
            <w:vAlign w:val="center"/>
          </w:tcPr>
          <w:p w14:paraId="3164A04E">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满分</w:t>
            </w:r>
          </w:p>
        </w:tc>
      </w:tr>
      <w:tr w14:paraId="649B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278" w:type="dxa"/>
            <w:noWrap/>
            <w:vAlign w:val="center"/>
          </w:tcPr>
          <w:p w14:paraId="32C4E394">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投标报价</w:t>
            </w:r>
          </w:p>
          <w:p w14:paraId="62581D36">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（30 分）</w:t>
            </w:r>
          </w:p>
        </w:tc>
        <w:tc>
          <w:tcPr>
            <w:tcW w:w="7656" w:type="dxa"/>
            <w:noWrap/>
          </w:tcPr>
          <w:p w14:paraId="1169E5A6">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满足招标文件要求且投标价格最低的投标价为评标基准价，其价格分为满分。</w:t>
            </w:r>
          </w:p>
          <w:p w14:paraId="05106A58">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其他投标企业的价格分数按照下列公式计算：投标报价得分数=(评标基准价／投标报价)×30，计算分数时四舍五入取小数点后两位。</w:t>
            </w:r>
          </w:p>
        </w:tc>
        <w:tc>
          <w:tcPr>
            <w:tcW w:w="867" w:type="dxa"/>
            <w:noWrap/>
            <w:vAlign w:val="center"/>
          </w:tcPr>
          <w:p w14:paraId="4A4596F2">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30分</w:t>
            </w:r>
          </w:p>
        </w:tc>
      </w:tr>
      <w:tr w14:paraId="4FBE2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278" w:type="dxa"/>
            <w:noWrap/>
            <w:vAlign w:val="center"/>
          </w:tcPr>
          <w:p w14:paraId="63FE079B">
            <w:pPr>
              <w:spacing w:line="360" w:lineRule="auto"/>
              <w:rPr>
                <w:rFonts w:asciiTheme="majorEastAsia" w:hAnsiTheme="majorEastAsia" w:eastAsiaTheme="majorEastAsia" w:cstheme="majorEastAsia"/>
                <w:kern w:val="0"/>
                <w:sz w:val="24"/>
              </w:rPr>
            </w:pPr>
            <w:r>
              <w:rPr>
                <w:rFonts w:ascii="宋体" w:hAnsi="宋体" w:cs="宋体"/>
                <w:sz w:val="24"/>
              </w:rPr>
              <w:t>项目实施 方案</w:t>
            </w: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sz w:val="24"/>
                <w:lang w:val="en-US" w:eastAsia="zh-CN"/>
              </w:rPr>
              <w:t>21</w:t>
            </w:r>
            <w:r>
              <w:rPr>
                <w:rFonts w:hint="eastAsia" w:asciiTheme="majorEastAsia" w:hAnsiTheme="majorEastAsia" w:eastAsiaTheme="majorEastAsia" w:cstheme="majorEastAsia"/>
                <w:sz w:val="24"/>
              </w:rPr>
              <w:t>分）</w:t>
            </w:r>
          </w:p>
        </w:tc>
        <w:tc>
          <w:tcPr>
            <w:tcW w:w="7656" w:type="dxa"/>
            <w:noWrap/>
          </w:tcPr>
          <w:p w14:paraId="0F5E64A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投标人根据本项目特点，提供项目实施方案。具体包括：①</w:t>
            </w:r>
            <w:r>
              <w:rPr>
                <w:rFonts w:hint="eastAsia" w:asciiTheme="majorEastAsia" w:hAnsiTheme="majorEastAsia" w:eastAsiaTheme="majorEastAsia" w:cstheme="majorEastAsia"/>
                <w:kern w:val="2"/>
                <w:sz w:val="24"/>
                <w:szCs w:val="24"/>
                <w:lang w:val="zh-CN" w:eastAsia="zh-CN" w:bidi="ar-SA"/>
              </w:rPr>
              <w:t>人员安排有具体方案，分工合理、责任明确，拟定各岗位管理制度、各岗位工作职责及考核办法；</w:t>
            </w:r>
            <w:r>
              <w:rPr>
                <w:rFonts w:hint="eastAsia" w:asciiTheme="majorEastAsia" w:hAnsiTheme="majorEastAsia" w:eastAsiaTheme="majorEastAsia" w:cstheme="majorEastAsia"/>
                <w:kern w:val="2"/>
                <w:sz w:val="24"/>
                <w:szCs w:val="24"/>
                <w:lang w:val="en-US" w:eastAsia="zh-CN" w:bidi="ar-SA"/>
              </w:rPr>
              <w:t>②财务保障充足，财务分配计划科学合理；③货物运送时运输工具的选取、运输路线规划、运送方案完整安全、科学、高效；④供货计划有保障，在合同履行过程中编制网络进度图或供货进度计划表；⑤</w:t>
            </w:r>
            <w:r>
              <w:rPr>
                <w:rFonts w:ascii="宋体" w:hAnsi="宋体" w:eastAsia="宋体" w:cs="宋体"/>
                <w:sz w:val="24"/>
                <w:szCs w:val="24"/>
              </w:rPr>
              <w:t>安装调试</w:t>
            </w:r>
            <w:r>
              <w:rPr>
                <w:rFonts w:hint="eastAsia" w:asciiTheme="majorEastAsia" w:hAnsiTheme="majorEastAsia" w:eastAsiaTheme="majorEastAsia" w:cstheme="majorEastAsia"/>
                <w:kern w:val="2"/>
                <w:sz w:val="24"/>
                <w:szCs w:val="24"/>
                <w:lang w:val="en-US" w:eastAsia="zh-CN" w:bidi="ar-SA"/>
              </w:rPr>
              <w:t>流程清晰，方案详实</w:t>
            </w:r>
            <w:r>
              <w:rPr>
                <w:rFonts w:hint="eastAsia" w:ascii="宋体" w:hAnsi="宋体" w:eastAsia="宋体" w:cs="宋体"/>
                <w:sz w:val="24"/>
                <w:szCs w:val="24"/>
                <w:lang w:eastAsia="zh-CN"/>
              </w:rPr>
              <w:t>；</w:t>
            </w:r>
            <w:r>
              <w:rPr>
                <w:rFonts w:hint="eastAsia" w:asciiTheme="majorEastAsia" w:hAnsiTheme="majorEastAsia" w:eastAsiaTheme="majorEastAsia" w:cstheme="majorEastAsia"/>
                <w:kern w:val="2"/>
                <w:sz w:val="24"/>
                <w:szCs w:val="24"/>
                <w:lang w:val="en-US" w:eastAsia="zh-CN" w:bidi="ar-SA"/>
              </w:rPr>
              <w:t>⑥</w:t>
            </w:r>
            <w:r>
              <w:rPr>
                <w:rFonts w:hint="eastAsia" w:asciiTheme="majorEastAsia" w:hAnsiTheme="majorEastAsia" w:eastAsiaTheme="majorEastAsia" w:cstheme="majorEastAsia"/>
                <w:kern w:val="2"/>
                <w:sz w:val="24"/>
                <w:szCs w:val="24"/>
                <w:lang w:val="zh-CN" w:eastAsia="zh-CN" w:bidi="ar-SA"/>
              </w:rPr>
              <w:t>具有实际可操作性</w:t>
            </w:r>
            <w:r>
              <w:rPr>
                <w:rFonts w:hint="eastAsia" w:asciiTheme="majorEastAsia" w:hAnsiTheme="majorEastAsia" w:eastAsiaTheme="majorEastAsia" w:cstheme="majorEastAsia"/>
                <w:kern w:val="2"/>
                <w:sz w:val="24"/>
                <w:szCs w:val="24"/>
                <w:lang w:val="en-US" w:eastAsia="zh-CN" w:bidi="ar-SA"/>
              </w:rPr>
              <w:t>的突发事件应急预案；</w:t>
            </w:r>
            <w:r>
              <w:rPr>
                <w:rFonts w:hint="eastAsia" w:ascii="微软雅黑" w:hAnsi="微软雅黑" w:eastAsia="微软雅黑" w:cs="微软雅黑"/>
                <w:kern w:val="2"/>
                <w:sz w:val="24"/>
                <w:szCs w:val="24"/>
                <w:lang w:val="en-US" w:eastAsia="zh-CN" w:bidi="ar-SA"/>
              </w:rPr>
              <w:t>⑦</w:t>
            </w:r>
            <w:r>
              <w:rPr>
                <w:rFonts w:hint="eastAsia" w:asciiTheme="majorEastAsia" w:hAnsiTheme="majorEastAsia" w:eastAsiaTheme="majorEastAsia" w:cstheme="majorEastAsia"/>
                <w:kern w:val="2"/>
                <w:sz w:val="24"/>
                <w:szCs w:val="24"/>
                <w:lang w:val="en-US" w:eastAsia="zh-CN" w:bidi="ar-SA"/>
              </w:rPr>
              <w:t>验收工作流程清晰，方案详实。</w:t>
            </w:r>
          </w:p>
          <w:p w14:paraId="72DE50BF">
            <w:pPr>
              <w:spacing w:line="360" w:lineRule="auto"/>
              <w:rPr>
                <w:rFonts w:asciiTheme="majorEastAsia" w:hAnsiTheme="majorEastAsia" w:eastAsiaTheme="majorEastAsia" w:cstheme="majorEastAsia"/>
                <w:color w:val="auto"/>
              </w:rPr>
            </w:pPr>
            <w:r>
              <w:rPr>
                <w:rFonts w:hint="eastAsia" w:asciiTheme="majorEastAsia" w:hAnsiTheme="majorEastAsia" w:eastAsiaTheme="majorEastAsia" w:cstheme="majorEastAsia"/>
                <w:kern w:val="2"/>
                <w:sz w:val="24"/>
                <w:szCs w:val="24"/>
                <w:lang w:val="en-US" w:eastAsia="zh-CN" w:bidi="ar-SA"/>
              </w:rPr>
              <w:t>注：每具有一项得3分，最多得21分。在此基础上，方案中存在缺陷的，每1项中每有1处扣1分，每项最多扣3分，扣完为止。内容缺陷是指：非专门针对本项目或不适用项目特性的情形、内容不完整或缺少关键节点、套用其他项目方案、内容前后矛盾、涉及的规范或标准错误、不利于项目实施、不可能实现的情形等任意一种情形。</w:t>
            </w:r>
          </w:p>
        </w:tc>
        <w:tc>
          <w:tcPr>
            <w:tcW w:w="867" w:type="dxa"/>
            <w:noWrap/>
            <w:vAlign w:val="center"/>
          </w:tcPr>
          <w:p w14:paraId="5945D0EE">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lang w:val="en-US" w:eastAsia="zh-CN"/>
              </w:rPr>
              <w:t>21</w:t>
            </w:r>
            <w:r>
              <w:rPr>
                <w:rFonts w:hint="eastAsia" w:asciiTheme="majorEastAsia" w:hAnsiTheme="majorEastAsia" w:eastAsiaTheme="majorEastAsia" w:cstheme="majorEastAsia"/>
                <w:sz w:val="24"/>
              </w:rPr>
              <w:t>分</w:t>
            </w:r>
          </w:p>
        </w:tc>
      </w:tr>
      <w:tr w14:paraId="48E1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78" w:type="dxa"/>
            <w:noWrap/>
            <w:vAlign w:val="center"/>
          </w:tcPr>
          <w:p w14:paraId="17CA5671">
            <w:pPr>
              <w:keepNext w:val="0"/>
              <w:keepLines w:val="0"/>
              <w:pageBreakBefore w:val="0"/>
              <w:widowControl w:val="0"/>
              <w:kinsoku/>
              <w:wordWrap/>
              <w:overflowPunct/>
              <w:topLinePunct w:val="0"/>
              <w:autoSpaceDE/>
              <w:autoSpaceDN/>
              <w:bidi w:val="0"/>
              <w:adjustRightInd/>
              <w:spacing w:line="440" w:lineRule="exact"/>
              <w:ind w:left="0" w:leftChars="0"/>
              <w:jc w:val="center"/>
              <w:textAlignment w:val="auto"/>
              <w:rPr>
                <w:rFonts w:hint="eastAsia" w:asciiTheme="majorEastAsia" w:hAnsiTheme="majorEastAsia" w:eastAsiaTheme="majorEastAsia" w:cstheme="majorEastAsia"/>
                <w:sz w:val="24"/>
                <w:szCs w:val="24"/>
                <w:lang w:val="en-GB" w:eastAsia="zh-CN"/>
              </w:rPr>
            </w:pPr>
            <w:r>
              <w:rPr>
                <w:rFonts w:hint="eastAsia" w:asciiTheme="majorEastAsia" w:hAnsiTheme="majorEastAsia" w:eastAsiaTheme="majorEastAsia" w:cstheme="majorEastAsia"/>
                <w:sz w:val="24"/>
                <w:szCs w:val="24"/>
                <w:lang w:val="en-GB" w:eastAsia="zh-CN"/>
              </w:rPr>
              <w:t>质量保证</w:t>
            </w:r>
          </w:p>
          <w:p w14:paraId="7606E0F5">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sz w:val="24"/>
                <w:lang w:val="en-US" w:eastAsia="zh-CN"/>
              </w:rPr>
              <w:t>12</w:t>
            </w:r>
            <w:r>
              <w:rPr>
                <w:rFonts w:hint="eastAsia" w:asciiTheme="majorEastAsia" w:hAnsiTheme="majorEastAsia" w:eastAsiaTheme="majorEastAsia" w:cstheme="majorEastAsia"/>
                <w:sz w:val="24"/>
              </w:rPr>
              <w:t>分）</w:t>
            </w:r>
          </w:p>
        </w:tc>
        <w:tc>
          <w:tcPr>
            <w:tcW w:w="7656" w:type="dxa"/>
            <w:noWrap/>
            <w:vAlign w:val="center"/>
          </w:tcPr>
          <w:p w14:paraId="66AD68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投标人根据本项目特点，提供</w:t>
            </w:r>
            <w:r>
              <w:rPr>
                <w:rFonts w:hint="eastAsia" w:asciiTheme="majorEastAsia" w:hAnsiTheme="majorEastAsia" w:eastAsiaTheme="majorEastAsia" w:cstheme="majorEastAsia"/>
                <w:kern w:val="2"/>
                <w:sz w:val="24"/>
                <w:szCs w:val="24"/>
                <w:lang w:val="en-GB" w:eastAsia="zh-CN" w:bidi="ar-SA"/>
              </w:rPr>
              <w:t>质量保证方案</w:t>
            </w:r>
            <w:r>
              <w:rPr>
                <w:rFonts w:hint="eastAsia" w:asciiTheme="majorEastAsia" w:hAnsiTheme="majorEastAsia" w:eastAsiaTheme="majorEastAsia" w:cstheme="majorEastAsia"/>
                <w:kern w:val="2"/>
                <w:sz w:val="24"/>
                <w:szCs w:val="24"/>
                <w:lang w:val="en-US" w:eastAsia="zh-CN" w:bidi="ar-SA"/>
              </w:rPr>
              <w:t>。具体包括：①</w:t>
            </w:r>
            <w:r>
              <w:rPr>
                <w:rFonts w:hint="eastAsia" w:asciiTheme="majorEastAsia" w:hAnsiTheme="majorEastAsia" w:eastAsiaTheme="majorEastAsia" w:cstheme="majorEastAsia"/>
                <w:kern w:val="2"/>
                <w:sz w:val="24"/>
                <w:szCs w:val="24"/>
                <w:lang w:val="zh-CN" w:eastAsia="zh-CN" w:bidi="ar-SA"/>
              </w:rPr>
              <w:t>进货渠道正规，有质量保证，确保产品符合国家标准，提供相关证明材料；</w:t>
            </w:r>
            <w:r>
              <w:rPr>
                <w:rFonts w:hint="eastAsia" w:asciiTheme="majorEastAsia" w:hAnsiTheme="majorEastAsia" w:eastAsiaTheme="majorEastAsia" w:cstheme="majorEastAsia"/>
                <w:kern w:val="2"/>
                <w:sz w:val="24"/>
                <w:szCs w:val="24"/>
                <w:lang w:val="en-US" w:eastAsia="zh-CN" w:bidi="ar-SA"/>
              </w:rPr>
              <w:t>②罗列与本项目相关的备品、备件清单并保证货源充足。③功能稳定及使用寿命的保障措施；④</w:t>
            </w:r>
            <w:r>
              <w:rPr>
                <w:rFonts w:hint="eastAsia" w:asciiTheme="minorEastAsia" w:hAnsiTheme="minorEastAsia" w:eastAsiaTheme="minorEastAsia" w:cstheme="minorEastAsia"/>
                <w:color w:val="auto"/>
                <w:kern w:val="1"/>
                <w:sz w:val="24"/>
                <w:szCs w:val="24"/>
                <w:highlight w:val="none"/>
                <w:lang w:val="en-US" w:eastAsia="zh-CN" w:bidi="ar-SA"/>
              </w:rPr>
              <w:t>有详尽质量保证承诺及质量保证措施。</w:t>
            </w:r>
          </w:p>
          <w:p w14:paraId="78A58361">
            <w:pPr>
              <w:spacing w:line="360" w:lineRule="auto"/>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kern w:val="2"/>
                <w:sz w:val="24"/>
                <w:szCs w:val="24"/>
                <w:lang w:val="en-US" w:eastAsia="zh-CN" w:bidi="ar-SA"/>
              </w:rPr>
              <w:t>注：每具有一项得3分，最多得12分。在此基础上，方案中存在缺陷的，每1项中每有1处扣1分，每项最多扣3分，扣完为止。内容缺陷是指：非专门针对本项目或不适用项目特性的情形、内容不完整或缺少关键节点、套用其他项目方案、内容前后矛盾、涉及的规范或标准错误、不利于项目实施、不可能实现的情形等任意一种情形。</w:t>
            </w:r>
          </w:p>
        </w:tc>
        <w:tc>
          <w:tcPr>
            <w:tcW w:w="867" w:type="dxa"/>
            <w:noWrap/>
            <w:vAlign w:val="center"/>
          </w:tcPr>
          <w:p w14:paraId="2F83374A">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lang w:val="en-US" w:eastAsia="zh-CN"/>
              </w:rPr>
              <w:t>12</w:t>
            </w:r>
            <w:r>
              <w:rPr>
                <w:rFonts w:hint="eastAsia" w:asciiTheme="majorEastAsia" w:hAnsiTheme="majorEastAsia" w:eastAsiaTheme="majorEastAsia" w:cstheme="majorEastAsia"/>
                <w:sz w:val="24"/>
              </w:rPr>
              <w:t>分</w:t>
            </w:r>
          </w:p>
        </w:tc>
      </w:tr>
      <w:tr w14:paraId="37563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78" w:type="dxa"/>
            <w:noWrap/>
            <w:vAlign w:val="center"/>
          </w:tcPr>
          <w:p w14:paraId="393CBCBC">
            <w:pPr>
              <w:spacing w:line="360" w:lineRule="auto"/>
              <w:rPr>
                <w:rFonts w:asciiTheme="majorEastAsia" w:hAnsiTheme="majorEastAsia" w:cstheme="majorEastAsia"/>
                <w:kern w:val="0"/>
                <w:sz w:val="24"/>
              </w:rPr>
            </w:pPr>
            <w:r>
              <w:rPr>
                <w:rFonts w:hint="eastAsia" w:asciiTheme="majorEastAsia" w:hAnsiTheme="majorEastAsia" w:eastAsiaTheme="majorEastAsia" w:cstheme="majorEastAsia"/>
                <w:color w:val="auto"/>
                <w:kern w:val="0"/>
                <w:sz w:val="24"/>
                <w:szCs w:val="24"/>
                <w:highlight w:val="none"/>
                <w:lang w:eastAsia="zh-CN"/>
              </w:rPr>
              <w:t>售后服务</w:t>
            </w:r>
            <w:r>
              <w:rPr>
                <w:rFonts w:hint="eastAsia" w:ascii="宋体" w:hAnsi="宋体" w:cs="宋体"/>
                <w:sz w:val="24"/>
              </w:rPr>
              <w:t>（</w:t>
            </w:r>
            <w:r>
              <w:rPr>
                <w:rFonts w:hint="eastAsia" w:ascii="宋体" w:hAnsi="宋体" w:cs="宋体"/>
                <w:sz w:val="24"/>
                <w:lang w:val="en-US" w:eastAsia="zh-CN"/>
              </w:rPr>
              <w:t>15</w:t>
            </w:r>
            <w:r>
              <w:rPr>
                <w:rFonts w:hint="eastAsia" w:ascii="宋体" w:hAnsi="宋体" w:cs="宋体"/>
                <w:sz w:val="24"/>
              </w:rPr>
              <w:t>分）</w:t>
            </w:r>
          </w:p>
        </w:tc>
        <w:tc>
          <w:tcPr>
            <w:tcW w:w="7656" w:type="dxa"/>
            <w:noWrap/>
          </w:tcPr>
          <w:p w14:paraId="0B35C9E8">
            <w:pPr>
              <w:pStyle w:val="4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投标人根据本项目特点，提供售后服务方案。具体包括：①提供针对本项目详细完整的售后服务方案，根据项目特性，重点明确、针对性强、贴近项目需求；②有相应的技术支持及售后服务机构（提供有效的办公场所证明材料）；③售后服务机构组成</w:t>
            </w:r>
            <w:r>
              <w:rPr>
                <w:rFonts w:hint="eastAsia" w:asciiTheme="majorEastAsia" w:hAnsiTheme="majorEastAsia" w:eastAsiaTheme="majorEastAsia" w:cstheme="majorEastAsia"/>
                <w:kern w:val="2"/>
                <w:sz w:val="24"/>
                <w:szCs w:val="24"/>
                <w:lang w:val="zh-CN" w:eastAsia="zh-CN" w:bidi="ar-SA"/>
              </w:rPr>
              <w:t>，</w:t>
            </w:r>
            <w:r>
              <w:rPr>
                <w:rFonts w:hint="eastAsia" w:asciiTheme="majorEastAsia" w:hAnsiTheme="majorEastAsia" w:eastAsiaTheme="majorEastAsia" w:cstheme="majorEastAsia"/>
                <w:kern w:val="2"/>
                <w:sz w:val="24"/>
                <w:szCs w:val="24"/>
                <w:lang w:val="en-US" w:eastAsia="zh-CN" w:bidi="ar-SA"/>
              </w:rPr>
              <w:t>人员</w:t>
            </w:r>
            <w:r>
              <w:rPr>
                <w:rFonts w:hint="eastAsia" w:asciiTheme="majorEastAsia" w:hAnsiTheme="majorEastAsia" w:eastAsiaTheme="majorEastAsia" w:cstheme="majorEastAsia"/>
                <w:kern w:val="2"/>
                <w:sz w:val="24"/>
                <w:szCs w:val="24"/>
                <w:lang w:val="zh-CN" w:eastAsia="zh-CN" w:bidi="ar-SA"/>
              </w:rPr>
              <w:t>从业经历及相关人员资料证明（身份证明、学历证明、人员证书）</w:t>
            </w:r>
            <w:r>
              <w:rPr>
                <w:rFonts w:hint="eastAsia" w:asciiTheme="majorEastAsia" w:hAnsiTheme="majorEastAsia" w:eastAsiaTheme="majorEastAsia" w:cstheme="majorEastAsia"/>
                <w:kern w:val="2"/>
                <w:sz w:val="24"/>
                <w:szCs w:val="24"/>
                <w:lang w:val="en-US" w:eastAsia="zh-CN" w:bidi="ar-SA"/>
              </w:rPr>
              <w:t>；④售后服务响应（电话支持、线上操作、到场服务）</w:t>
            </w:r>
            <w:r>
              <w:rPr>
                <w:rFonts w:hint="eastAsia" w:asciiTheme="majorEastAsia" w:hAnsiTheme="majorEastAsia" w:eastAsiaTheme="majorEastAsia" w:cstheme="majorEastAsia"/>
                <w:kern w:val="2"/>
                <w:sz w:val="24"/>
                <w:szCs w:val="24"/>
                <w:lang w:val="zh-CN" w:eastAsia="zh-CN" w:bidi="ar-SA"/>
              </w:rPr>
              <w:t>；</w:t>
            </w:r>
            <w:r>
              <w:rPr>
                <w:rFonts w:hint="eastAsia" w:asciiTheme="majorEastAsia" w:hAnsiTheme="majorEastAsia" w:eastAsiaTheme="majorEastAsia" w:cstheme="majorEastAsia"/>
                <w:kern w:val="2"/>
                <w:sz w:val="24"/>
                <w:szCs w:val="24"/>
                <w:lang w:val="en-US" w:eastAsia="zh-CN" w:bidi="ar-SA"/>
              </w:rPr>
              <w:t>⑤</w:t>
            </w:r>
            <w:r>
              <w:rPr>
                <w:rFonts w:ascii="宋体" w:hAnsi="宋体" w:eastAsia="宋体" w:cs="宋体"/>
                <w:sz w:val="24"/>
                <w:szCs w:val="24"/>
              </w:rPr>
              <w:t>故障处理及补救措施。</w:t>
            </w:r>
          </w:p>
          <w:p w14:paraId="4154B424">
            <w:pPr>
              <w:spacing w:line="360" w:lineRule="auto"/>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kern w:val="2"/>
                <w:sz w:val="24"/>
                <w:szCs w:val="24"/>
                <w:lang w:val="en-US" w:eastAsia="zh-CN" w:bidi="ar-SA"/>
              </w:rPr>
              <w:t>注：每具有一项得3分，最多得15分。在此基础上，方案中存在缺陷的，每1项中每有1处扣1分，每项最多扣3分，扣完为止。内容缺陷是指：非专门针对本项目或不适用项目特性的情形、内容不完整或缺少关键节点、套用其他项目方案、内容前后矛盾、涉及的规范或标准错误、不利于项目实施、不可能实现的情形等任意一种情形。</w:t>
            </w:r>
          </w:p>
        </w:tc>
        <w:tc>
          <w:tcPr>
            <w:tcW w:w="867" w:type="dxa"/>
            <w:noWrap/>
            <w:vAlign w:val="center"/>
          </w:tcPr>
          <w:p w14:paraId="5676BB53">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lang w:val="en-US" w:eastAsia="zh-CN"/>
              </w:rPr>
              <w:t>15</w:t>
            </w:r>
            <w:r>
              <w:rPr>
                <w:rFonts w:hint="eastAsia" w:asciiTheme="majorEastAsia" w:hAnsiTheme="majorEastAsia" w:eastAsiaTheme="majorEastAsia" w:cstheme="majorEastAsia"/>
                <w:sz w:val="24"/>
              </w:rPr>
              <w:t>分</w:t>
            </w:r>
          </w:p>
        </w:tc>
      </w:tr>
      <w:tr w14:paraId="5722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78" w:type="dxa"/>
            <w:noWrap/>
            <w:vAlign w:val="center"/>
          </w:tcPr>
          <w:p w14:paraId="0D4AD2A0">
            <w:pPr>
              <w:spacing w:line="360" w:lineRule="auto"/>
              <w:rPr>
                <w:rFonts w:hint="default" w:asciiTheme="majorEastAsia" w:hAnsiTheme="majorEastAsia" w:eastAsiaTheme="majorEastAsia" w:cstheme="majorEastAsia"/>
                <w:color w:val="auto"/>
                <w:kern w:val="0"/>
                <w:sz w:val="24"/>
                <w:szCs w:val="24"/>
                <w:highlight w:val="none"/>
                <w:lang w:val="en-US" w:eastAsia="zh-CN"/>
              </w:rPr>
            </w:pPr>
            <w:r>
              <w:rPr>
                <w:rFonts w:hint="eastAsia" w:asciiTheme="majorEastAsia" w:hAnsiTheme="majorEastAsia" w:eastAsiaTheme="majorEastAsia" w:cstheme="majorEastAsia"/>
                <w:color w:val="auto"/>
                <w:kern w:val="0"/>
                <w:sz w:val="24"/>
                <w:szCs w:val="24"/>
                <w:highlight w:val="none"/>
                <w:lang w:val="en-US" w:eastAsia="zh-CN"/>
              </w:rPr>
              <w:t>培训方案（6分）</w:t>
            </w:r>
          </w:p>
        </w:tc>
        <w:tc>
          <w:tcPr>
            <w:tcW w:w="7656" w:type="dxa"/>
            <w:noWrap/>
          </w:tcPr>
          <w:p w14:paraId="5F71A363">
            <w:pPr>
              <w:spacing w:line="360" w:lineRule="auto"/>
              <w:rPr>
                <w:rFonts w:ascii="宋体" w:hAnsi="宋体" w:eastAsia="宋体" w:cs="宋体"/>
                <w:sz w:val="24"/>
                <w:szCs w:val="24"/>
              </w:rPr>
            </w:pPr>
            <w:r>
              <w:rPr>
                <w:rFonts w:ascii="宋体" w:hAnsi="宋体" w:eastAsia="宋体" w:cs="宋体"/>
                <w:sz w:val="24"/>
                <w:szCs w:val="24"/>
              </w:rPr>
              <w:t>根据项目实际需要，制定与本次采购产品相配套的培训方案，方案内容包括：①培训目标及计划</w:t>
            </w:r>
            <w:r>
              <w:rPr>
                <w:rFonts w:hint="eastAsia" w:asciiTheme="majorEastAsia" w:hAnsiTheme="majorEastAsia" w:eastAsiaTheme="majorEastAsia" w:cstheme="majorEastAsia"/>
                <w:kern w:val="2"/>
                <w:sz w:val="24"/>
                <w:szCs w:val="24"/>
                <w:lang w:val="zh-CN" w:eastAsia="zh-CN" w:bidi="ar-SA"/>
              </w:rPr>
              <w:t>；</w:t>
            </w:r>
            <w:r>
              <w:rPr>
                <w:rFonts w:ascii="宋体" w:hAnsi="宋体" w:eastAsia="宋体" w:cs="宋体"/>
                <w:sz w:val="24"/>
                <w:szCs w:val="24"/>
              </w:rPr>
              <w:t>②培训内容及方式。</w:t>
            </w:r>
          </w:p>
          <w:p w14:paraId="4E20F149">
            <w:pPr>
              <w:spacing w:line="360" w:lineRule="auto"/>
              <w:rPr>
                <w:rFonts w:hint="eastAsia" w:ascii="宋体" w:hAnsi="宋体" w:eastAsia="宋体" w:cs="宋体"/>
                <w:sz w:val="24"/>
                <w:szCs w:val="24"/>
                <w:lang w:val="en-US" w:eastAsia="zh-CN"/>
              </w:rPr>
            </w:pPr>
            <w:r>
              <w:rPr>
                <w:rFonts w:hint="eastAsia" w:asciiTheme="majorEastAsia" w:hAnsiTheme="majorEastAsia" w:eastAsiaTheme="majorEastAsia" w:cstheme="majorEastAsia"/>
                <w:kern w:val="2"/>
                <w:sz w:val="24"/>
                <w:szCs w:val="24"/>
                <w:lang w:val="en-US" w:eastAsia="zh-CN" w:bidi="ar-SA"/>
              </w:rPr>
              <w:t>注：每具有一项得3分，最多得6分。在此基础上，方案中存在缺陷的，培训每1项中每有1处扣1分，每项最多扣3分，扣完为止。内容缺陷是指：非专门针对本项目或不适用项目特性的情形、内容不完整或缺少关键节点、套用其他项目方案、内容前后矛盾、涉及的规范或标准错误、不利于项目实施、不可能实现的情形等任意一种情形。</w:t>
            </w:r>
          </w:p>
        </w:tc>
        <w:tc>
          <w:tcPr>
            <w:tcW w:w="867" w:type="dxa"/>
            <w:noWrap/>
            <w:vAlign w:val="center"/>
          </w:tcPr>
          <w:p w14:paraId="3E0F55D4">
            <w:pPr>
              <w:spacing w:line="360" w:lineRule="auto"/>
              <w:jc w:val="center"/>
              <w:rPr>
                <w:rFonts w:hint="default"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6分</w:t>
            </w:r>
          </w:p>
        </w:tc>
      </w:tr>
      <w:tr w14:paraId="4811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78" w:type="dxa"/>
            <w:noWrap/>
            <w:vAlign w:val="center"/>
          </w:tcPr>
          <w:p w14:paraId="6AEF9616">
            <w:pPr>
              <w:spacing w:line="360" w:lineRule="auto"/>
              <w:rPr>
                <w:rFonts w:hint="eastAsia" w:eastAsia="宋体" w:asciiTheme="majorEastAsia" w:hAnsiTheme="majorEastAsia" w:cstheme="majorEastAsia"/>
                <w:color w:val="auto"/>
                <w:kern w:val="0"/>
                <w:sz w:val="24"/>
                <w:szCs w:val="24"/>
                <w:highlight w:val="none"/>
                <w:lang w:eastAsia="zh-CN"/>
              </w:rPr>
            </w:pPr>
            <w:r>
              <w:rPr>
                <w:rFonts w:ascii="宋体" w:hAnsi="宋体" w:eastAsia="宋体" w:cs="宋体"/>
                <w:sz w:val="24"/>
                <w:szCs w:val="24"/>
              </w:rPr>
              <w:t>承诺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4分</w:t>
            </w:r>
            <w:r>
              <w:rPr>
                <w:rFonts w:hint="eastAsia" w:ascii="宋体" w:hAnsi="宋体" w:eastAsia="宋体" w:cs="宋体"/>
                <w:sz w:val="24"/>
                <w:szCs w:val="24"/>
                <w:lang w:eastAsia="zh-CN"/>
              </w:rPr>
              <w:t>）</w:t>
            </w:r>
          </w:p>
        </w:tc>
        <w:tc>
          <w:tcPr>
            <w:tcW w:w="7656" w:type="dxa"/>
            <w:noWrap/>
          </w:tcPr>
          <w:p w14:paraId="022EF913">
            <w:pPr>
              <w:numPr>
                <w:ilvl w:val="0"/>
                <w:numId w:val="0"/>
              </w:numPr>
              <w:spacing w:line="360" w:lineRule="auto"/>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投标人可根据自身情况提供其他利于本项目开展的承诺（例如：增值服务、优惠条件等），每提供一条得1分，满分4分。不承诺不得分。</w:t>
            </w:r>
          </w:p>
        </w:tc>
        <w:tc>
          <w:tcPr>
            <w:tcW w:w="867" w:type="dxa"/>
            <w:noWrap/>
            <w:vAlign w:val="center"/>
          </w:tcPr>
          <w:p w14:paraId="4512DFAC">
            <w:pPr>
              <w:spacing w:line="360" w:lineRule="auto"/>
              <w:jc w:val="center"/>
              <w:rPr>
                <w:rFonts w:hint="eastAsia" w:asciiTheme="majorEastAsia" w:hAnsiTheme="majorEastAsia" w:eastAsiaTheme="majorEastAsia" w:cstheme="majorEastAsia"/>
                <w:sz w:val="24"/>
              </w:rPr>
            </w:pPr>
          </w:p>
        </w:tc>
      </w:tr>
      <w:tr w14:paraId="52101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78" w:type="dxa"/>
            <w:noWrap/>
            <w:vAlign w:val="center"/>
          </w:tcPr>
          <w:p w14:paraId="33E50580">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类似业绩</w:t>
            </w:r>
          </w:p>
          <w:p w14:paraId="01EE764C">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sz w:val="24"/>
                <w:lang w:val="en-US" w:eastAsia="zh-CN"/>
              </w:rPr>
              <w:t>10</w:t>
            </w:r>
            <w:r>
              <w:rPr>
                <w:rFonts w:hint="eastAsia" w:asciiTheme="majorEastAsia" w:hAnsiTheme="majorEastAsia" w:eastAsiaTheme="majorEastAsia" w:cstheme="majorEastAsia"/>
                <w:sz w:val="24"/>
              </w:rPr>
              <w:t>分）</w:t>
            </w:r>
          </w:p>
        </w:tc>
        <w:tc>
          <w:tcPr>
            <w:tcW w:w="7656" w:type="dxa"/>
            <w:noWrap/>
          </w:tcPr>
          <w:p w14:paraId="4816AD51">
            <w:pPr>
              <w:widowControl/>
              <w:spacing w:line="360" w:lineRule="auto"/>
              <w:jc w:val="left"/>
              <w:rPr>
                <w:rFonts w:asciiTheme="majorEastAsia" w:hAnsiTheme="majorEastAsia" w:eastAsiaTheme="majorEastAsia" w:cstheme="majorEastAsia"/>
                <w:color w:val="auto"/>
                <w:sz w:val="24"/>
                <w:lang w:val="zh-CN"/>
              </w:rPr>
            </w:pPr>
            <w:r>
              <w:rPr>
                <w:rFonts w:hint="eastAsia" w:asciiTheme="majorEastAsia" w:hAnsiTheme="majorEastAsia" w:eastAsiaTheme="majorEastAsia" w:cstheme="majorEastAsia"/>
                <w:color w:val="auto"/>
                <w:sz w:val="24"/>
                <w:lang w:val="zh-CN"/>
              </w:rPr>
              <w:t>投标人提供 202</w:t>
            </w:r>
            <w:r>
              <w:rPr>
                <w:rFonts w:asciiTheme="majorEastAsia" w:hAnsiTheme="majorEastAsia" w:eastAsiaTheme="majorEastAsia" w:cstheme="majorEastAsia"/>
                <w:color w:val="auto"/>
                <w:sz w:val="24"/>
                <w:lang w:val="zh-CN"/>
              </w:rPr>
              <w:t>0</w:t>
            </w:r>
            <w:r>
              <w:rPr>
                <w:rFonts w:hint="eastAsia" w:asciiTheme="majorEastAsia" w:hAnsiTheme="majorEastAsia" w:eastAsiaTheme="majorEastAsia" w:cstheme="majorEastAsia"/>
                <w:color w:val="auto"/>
                <w:sz w:val="24"/>
                <w:lang w:val="zh-CN"/>
              </w:rPr>
              <w:t xml:space="preserve"> 年 </w:t>
            </w:r>
            <w:r>
              <w:rPr>
                <w:rFonts w:asciiTheme="majorEastAsia" w:hAnsiTheme="majorEastAsia" w:eastAsiaTheme="majorEastAsia" w:cstheme="majorEastAsia"/>
                <w:color w:val="auto"/>
                <w:sz w:val="24"/>
                <w:lang w:val="zh-CN"/>
              </w:rPr>
              <w:t>2</w:t>
            </w:r>
            <w:r>
              <w:rPr>
                <w:rFonts w:hint="eastAsia" w:asciiTheme="majorEastAsia" w:hAnsiTheme="majorEastAsia" w:eastAsiaTheme="majorEastAsia" w:cstheme="majorEastAsia"/>
                <w:color w:val="auto"/>
                <w:sz w:val="24"/>
                <w:lang w:val="zh-CN"/>
              </w:rPr>
              <w:t xml:space="preserve"> 月至今类似项目业绩（以合同签订日期为准，提供合同复印件及开具发票截图并加盖公章）进行评定，每提供一个计 </w:t>
            </w:r>
            <w:r>
              <w:rPr>
                <w:rFonts w:hint="eastAsia" w:asciiTheme="majorEastAsia" w:hAnsiTheme="majorEastAsia" w:eastAsiaTheme="majorEastAsia" w:cstheme="majorEastAsia"/>
                <w:color w:val="auto"/>
                <w:sz w:val="24"/>
                <w:lang w:val="en-US" w:eastAsia="zh-CN"/>
              </w:rPr>
              <w:t>2</w:t>
            </w:r>
            <w:r>
              <w:rPr>
                <w:rFonts w:hint="eastAsia" w:asciiTheme="majorEastAsia" w:hAnsiTheme="majorEastAsia" w:eastAsiaTheme="majorEastAsia" w:cstheme="majorEastAsia"/>
                <w:color w:val="auto"/>
                <w:sz w:val="24"/>
                <w:lang w:val="zh-CN"/>
              </w:rPr>
              <w:t xml:space="preserve"> 分，最高不超过</w:t>
            </w:r>
            <w:r>
              <w:rPr>
                <w:rFonts w:hint="eastAsia" w:asciiTheme="majorEastAsia" w:hAnsiTheme="majorEastAsia" w:eastAsiaTheme="majorEastAsia" w:cstheme="majorEastAsia"/>
                <w:color w:val="auto"/>
                <w:sz w:val="24"/>
                <w:lang w:val="en-US" w:eastAsia="zh-CN"/>
              </w:rPr>
              <w:t>10</w:t>
            </w:r>
            <w:r>
              <w:rPr>
                <w:rFonts w:hint="eastAsia" w:asciiTheme="majorEastAsia" w:hAnsiTheme="majorEastAsia" w:eastAsiaTheme="majorEastAsia" w:cstheme="majorEastAsia"/>
                <w:color w:val="auto"/>
                <w:sz w:val="24"/>
                <w:lang w:val="zh-CN"/>
              </w:rPr>
              <w:t>分。不提供不得分。</w:t>
            </w:r>
          </w:p>
        </w:tc>
        <w:tc>
          <w:tcPr>
            <w:tcW w:w="867" w:type="dxa"/>
            <w:noWrap/>
            <w:vAlign w:val="center"/>
          </w:tcPr>
          <w:p w14:paraId="48C0F8A4">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lang w:val="en-US" w:eastAsia="zh-CN"/>
              </w:rPr>
              <w:t>10</w:t>
            </w:r>
            <w:r>
              <w:rPr>
                <w:rFonts w:hint="eastAsia" w:asciiTheme="majorEastAsia" w:hAnsiTheme="majorEastAsia" w:eastAsiaTheme="majorEastAsia" w:cstheme="majorEastAsia"/>
                <w:sz w:val="24"/>
              </w:rPr>
              <w:t>分</w:t>
            </w:r>
          </w:p>
        </w:tc>
      </w:tr>
      <w:tr w14:paraId="66A8A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78" w:type="dxa"/>
            <w:noWrap/>
            <w:vAlign w:val="center"/>
          </w:tcPr>
          <w:p w14:paraId="2E90BD2D">
            <w:pPr>
              <w:spacing w:line="440" w:lineRule="exact"/>
              <w:jc w:val="center"/>
              <w:rPr>
                <w:rFonts w:asciiTheme="majorEastAsia" w:hAnsiTheme="majorEastAsia" w:eastAsiaTheme="majorEastAsia" w:cstheme="majorEastAsia"/>
                <w:sz w:val="24"/>
              </w:rPr>
            </w:pPr>
            <w:r>
              <w:rPr>
                <w:rFonts w:hint="eastAsia" w:ascii="宋体" w:hAnsi="宋体" w:cs="宋体"/>
                <w:sz w:val="24"/>
                <w:lang w:val="zh-CN"/>
              </w:rPr>
              <w:t>节能、环保</w:t>
            </w: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sz w:val="24"/>
                <w:lang w:val="en-US" w:eastAsia="zh-CN"/>
              </w:rPr>
              <w:t>2</w:t>
            </w:r>
            <w:r>
              <w:rPr>
                <w:rFonts w:hint="eastAsia" w:asciiTheme="majorEastAsia" w:hAnsiTheme="majorEastAsia" w:eastAsiaTheme="majorEastAsia" w:cstheme="majorEastAsia"/>
                <w:sz w:val="24"/>
              </w:rPr>
              <w:t>分）</w:t>
            </w:r>
          </w:p>
        </w:tc>
        <w:tc>
          <w:tcPr>
            <w:tcW w:w="7656" w:type="dxa"/>
            <w:noWrap/>
          </w:tcPr>
          <w:p w14:paraId="34B9082B">
            <w:pPr>
              <w:spacing w:line="360" w:lineRule="auto"/>
              <w:ind w:firstLine="480" w:firstLineChars="200"/>
              <w:rPr>
                <w:rFonts w:ascii="宋体" w:hAnsi="宋体" w:cs="宋体"/>
                <w:color w:val="auto"/>
                <w:sz w:val="24"/>
              </w:rPr>
            </w:pPr>
            <w:r>
              <w:rPr>
                <w:rFonts w:hint="eastAsia" w:ascii="宋体" w:hAnsi="宋体" w:cs="宋体"/>
                <w:color w:val="auto"/>
                <w:sz w:val="24"/>
              </w:rPr>
              <w:t>所投产品中属于政府采购优先采购范围的，则每有一项为节能产品或者环境标志产品的得</w:t>
            </w:r>
            <w:r>
              <w:rPr>
                <w:rFonts w:hint="eastAsia" w:ascii="宋体" w:hAnsi="宋体" w:cs="宋体"/>
                <w:color w:val="auto"/>
                <w:sz w:val="24"/>
                <w:lang w:val="en-US" w:eastAsia="zh-CN"/>
              </w:rPr>
              <w:t>1</w:t>
            </w:r>
            <w:r>
              <w:rPr>
                <w:rFonts w:hint="eastAsia" w:ascii="宋体" w:hAnsi="宋体" w:cs="宋体"/>
                <w:color w:val="auto"/>
                <w:sz w:val="24"/>
              </w:rPr>
              <w:t>分，非节能、环境标志产品的不得分。本项最多得</w:t>
            </w:r>
            <w:r>
              <w:rPr>
                <w:rFonts w:hint="eastAsia" w:ascii="宋体" w:hAnsi="宋体" w:cs="宋体"/>
                <w:color w:val="auto"/>
                <w:sz w:val="24"/>
                <w:lang w:val="en-US" w:eastAsia="zh-CN"/>
              </w:rPr>
              <w:t>2</w:t>
            </w:r>
            <w:r>
              <w:rPr>
                <w:rFonts w:hint="eastAsia" w:ascii="宋体" w:hAnsi="宋体" w:cs="宋体"/>
                <w:color w:val="auto"/>
                <w:sz w:val="24"/>
              </w:rPr>
              <w:t>分。</w:t>
            </w:r>
          </w:p>
          <w:p w14:paraId="0A61C89A">
            <w:pPr>
              <w:spacing w:line="360" w:lineRule="auto"/>
              <w:ind w:firstLine="480" w:firstLineChars="200"/>
              <w:rPr>
                <w:rFonts w:ascii="宋体" w:hAnsi="宋体" w:cs="宋体"/>
                <w:color w:val="auto"/>
                <w:sz w:val="24"/>
              </w:rPr>
            </w:pPr>
            <w:r>
              <w:rPr>
                <w:rFonts w:hint="eastAsia" w:ascii="宋体" w:hAnsi="宋体" w:cs="宋体"/>
                <w:color w:val="auto"/>
                <w:sz w:val="24"/>
              </w:rPr>
              <w:t>注：①节能产品、环境标志产品优先采购范围以品目清单为准。财政部、发展改革委、生态环境部等部门根据产品节能环保性能、技术水平和市场成熟程度等因素，确定实施政府优先采购和强制采购的产品类别及所依据的相关标准规范，以品目清单的形式发布并适时调整。</w:t>
            </w:r>
          </w:p>
          <w:p w14:paraId="0EE25427">
            <w:pPr>
              <w:widowControl/>
              <w:spacing w:line="360" w:lineRule="auto"/>
              <w:jc w:val="left"/>
              <w:rPr>
                <w:rFonts w:asciiTheme="majorEastAsia" w:hAnsiTheme="majorEastAsia" w:eastAsiaTheme="majorEastAsia" w:cstheme="majorEastAsia"/>
                <w:color w:val="auto"/>
                <w:sz w:val="24"/>
              </w:rPr>
            </w:pPr>
            <w:r>
              <w:rPr>
                <w:rFonts w:hint="eastAsia" w:ascii="宋体" w:hAnsi="宋体" w:cs="宋体"/>
                <w:color w:val="auto"/>
                <w:sz w:val="24"/>
              </w:rPr>
              <w:t>②所投产品属于优先采购范围内的节能产品或者环境标志产品的，提供国家确定的认证机构出具的、处于有效期之内的节能产品、环境标志产品认证证书复印件加盖公章。</w:t>
            </w:r>
          </w:p>
        </w:tc>
        <w:tc>
          <w:tcPr>
            <w:tcW w:w="867" w:type="dxa"/>
            <w:noWrap/>
            <w:vAlign w:val="center"/>
          </w:tcPr>
          <w:p w14:paraId="3F26762D">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lang w:val="en-US" w:eastAsia="zh-CN"/>
              </w:rPr>
              <w:t>2</w:t>
            </w:r>
            <w:r>
              <w:rPr>
                <w:rFonts w:hint="eastAsia" w:asciiTheme="majorEastAsia" w:hAnsiTheme="majorEastAsia" w:eastAsiaTheme="majorEastAsia" w:cstheme="majorEastAsia"/>
                <w:sz w:val="24"/>
              </w:rPr>
              <w:t>分</w:t>
            </w:r>
          </w:p>
        </w:tc>
      </w:tr>
    </w:tbl>
    <w:p w14:paraId="1142D35B">
      <w:pPr>
        <w:autoSpaceDE w:val="0"/>
        <w:autoSpaceDN w:val="0"/>
        <w:snapToGrid w:val="0"/>
        <w:spacing w:line="360" w:lineRule="auto"/>
        <w:ind w:firstLine="480" w:firstLineChars="200"/>
        <w:rPr>
          <w:rFonts w:asciiTheme="majorEastAsia" w:hAnsiTheme="majorEastAsia" w:eastAsiaTheme="majorEastAsia" w:cstheme="majorEastAsia"/>
          <w:sz w:val="24"/>
          <w:lang w:val="zh-CN"/>
        </w:rPr>
      </w:pPr>
      <w:r>
        <w:rPr>
          <w:rFonts w:hint="eastAsia" w:asciiTheme="majorEastAsia" w:hAnsiTheme="majorEastAsia" w:eastAsiaTheme="majorEastAsia" w:cstheme="majorEastAsia"/>
          <w:sz w:val="24"/>
          <w:lang w:val="zh-CN"/>
        </w:rPr>
        <w:t>23.</w:t>
      </w:r>
      <w:r>
        <w:rPr>
          <w:rFonts w:hint="eastAsia" w:asciiTheme="majorEastAsia" w:hAnsiTheme="majorEastAsia" w:eastAsiaTheme="majorEastAsia" w:cstheme="majorEastAsia"/>
          <w:sz w:val="24"/>
        </w:rPr>
        <w:t>3</w:t>
      </w:r>
      <w:r>
        <w:rPr>
          <w:rFonts w:hint="eastAsia" w:asciiTheme="majorEastAsia" w:hAnsiTheme="majorEastAsia" w:eastAsiaTheme="majorEastAsia" w:cstheme="majorEastAsia"/>
          <w:sz w:val="24"/>
          <w:lang w:val="zh-CN"/>
        </w:rPr>
        <w:t xml:space="preserve"> 本项目落实政府采购政策</w:t>
      </w:r>
    </w:p>
    <w:p w14:paraId="61248CE1">
      <w:pPr>
        <w:autoSpaceDE w:val="0"/>
        <w:autoSpaceDN w:val="0"/>
        <w:snapToGrid w:val="0"/>
        <w:spacing w:line="360" w:lineRule="auto"/>
        <w:ind w:firstLine="482" w:firstLineChars="200"/>
        <w:rPr>
          <w:rFonts w:asciiTheme="majorEastAsia" w:hAnsiTheme="majorEastAsia" w:eastAsiaTheme="majorEastAsia" w:cstheme="majorEastAsia"/>
          <w:b/>
          <w:sz w:val="24"/>
          <w:lang w:val="zh-CN"/>
        </w:rPr>
      </w:pPr>
      <w:r>
        <w:rPr>
          <w:rFonts w:hint="eastAsia" w:asciiTheme="majorEastAsia" w:hAnsiTheme="majorEastAsia" w:eastAsiaTheme="majorEastAsia" w:cstheme="majorEastAsia"/>
          <w:b/>
          <w:sz w:val="24"/>
          <w:lang w:val="zh-CN"/>
        </w:rPr>
        <w:t>23.</w:t>
      </w:r>
      <w:r>
        <w:rPr>
          <w:rFonts w:hint="eastAsia" w:asciiTheme="majorEastAsia" w:hAnsiTheme="majorEastAsia" w:eastAsiaTheme="majorEastAsia" w:cstheme="majorEastAsia"/>
          <w:b/>
          <w:sz w:val="24"/>
        </w:rPr>
        <w:t>3</w:t>
      </w:r>
      <w:r>
        <w:rPr>
          <w:rFonts w:hint="eastAsia" w:asciiTheme="majorEastAsia" w:hAnsiTheme="majorEastAsia" w:eastAsiaTheme="majorEastAsia" w:cstheme="majorEastAsia"/>
          <w:b/>
          <w:sz w:val="24"/>
          <w:lang w:val="zh-CN"/>
        </w:rPr>
        <w:t>.1 投标企业政府采购政策</w:t>
      </w:r>
    </w:p>
    <w:p w14:paraId="75D7E5F4">
      <w:pPr>
        <w:autoSpaceDE w:val="0"/>
        <w:autoSpaceDN w:val="0"/>
        <w:snapToGrid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（1）中小企业落实政府采购政策</w:t>
      </w:r>
    </w:p>
    <w:p w14:paraId="67256A0A">
      <w:pPr>
        <w:autoSpaceDE w:val="0"/>
        <w:autoSpaceDN w:val="0"/>
        <w:snapToGrid w:val="0"/>
        <w:spacing w:line="360" w:lineRule="auto"/>
        <w:ind w:firstLine="480" w:firstLineChars="200"/>
        <w:rPr>
          <w:rFonts w:asciiTheme="majorEastAsia" w:hAnsiTheme="majorEastAsia" w:eastAsiaTheme="majorEastAsia" w:cstheme="majorEastAsia"/>
          <w:sz w:val="24"/>
          <w:lang w:val="zh-CN"/>
        </w:rPr>
      </w:pPr>
      <w:r>
        <w:rPr>
          <w:rFonts w:hint="eastAsia" w:asciiTheme="majorEastAsia" w:hAnsiTheme="majorEastAsia" w:eastAsiaTheme="majorEastAsia" w:cstheme="majorEastAsia"/>
          <w:sz w:val="24"/>
        </w:rPr>
        <w:t>①中小企业应符合工信部联企业[2011]300号文件规定，采购活动执行《政府采购促进中小企业发展管理办法》（财库〔2020〕46号）的规定。提供本企业制造的货物、承担的工程或者服务，或者提供其他中小企业制造的货物。（本项所称货物不包括使用大型企业注册商标的货物）。</w:t>
      </w:r>
    </w:p>
    <w:p w14:paraId="2A5AAFB7">
      <w:pPr>
        <w:autoSpaceDE w:val="0"/>
        <w:autoSpaceDN w:val="0"/>
        <w:snapToGrid w:val="0"/>
        <w:spacing w:line="360" w:lineRule="auto"/>
        <w:ind w:firstLine="480" w:firstLineChars="200"/>
        <w:rPr>
          <w:rFonts w:asciiTheme="majorEastAsia" w:hAnsiTheme="majorEastAsia" w:eastAsiaTheme="majorEastAsia" w:cstheme="majorEastAsia"/>
          <w:sz w:val="24"/>
          <w:lang w:val="zh-CN"/>
        </w:rPr>
      </w:pPr>
      <w:r>
        <w:rPr>
          <w:rFonts w:hint="eastAsia" w:asciiTheme="majorEastAsia" w:hAnsiTheme="majorEastAsia" w:eastAsiaTheme="majorEastAsia" w:cstheme="majorEastAsia"/>
          <w:sz w:val="24"/>
        </w:rPr>
        <w:t>②投标人须提供中小企业声明函，以此为依据享受政府采购政策。</w:t>
      </w:r>
    </w:p>
    <w:p w14:paraId="1AE1CE57">
      <w:pPr>
        <w:autoSpaceDE w:val="0"/>
        <w:autoSpaceDN w:val="0"/>
        <w:snapToGrid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val="zh-CN"/>
        </w:rPr>
        <w:t>监狱和戒毒企业</w:t>
      </w:r>
      <w:r>
        <w:rPr>
          <w:rFonts w:hint="eastAsia" w:asciiTheme="majorEastAsia" w:hAnsiTheme="majorEastAsia" w:eastAsiaTheme="majorEastAsia" w:cstheme="majorEastAsia"/>
          <w:sz w:val="24"/>
        </w:rPr>
        <w:t>落实政府采购政策</w:t>
      </w:r>
    </w:p>
    <w:p w14:paraId="5F9A6021">
      <w:pPr>
        <w:autoSpaceDE w:val="0"/>
        <w:autoSpaceDN w:val="0"/>
        <w:snapToGrid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lang w:val="zh-CN"/>
        </w:rPr>
        <w:t>监狱和戒毒企业应符合《财政部</w:t>
      </w:r>
      <w:r>
        <w:rPr>
          <w:rFonts w:hint="eastAsia" w:asciiTheme="majorEastAsia" w:hAnsiTheme="majorEastAsia" w:eastAsiaTheme="majorEastAsia" w:cstheme="majorEastAsia"/>
          <w:sz w:val="24"/>
        </w:rPr>
        <w:t>、司法部关于政府采购支持监狱企业发展有关问题的通知》--财库[2014]68号</w:t>
      </w:r>
      <w:r>
        <w:rPr>
          <w:rFonts w:hint="eastAsia" w:asciiTheme="majorEastAsia" w:hAnsiTheme="majorEastAsia" w:eastAsiaTheme="majorEastAsia" w:cstheme="majorEastAsia"/>
          <w:sz w:val="24"/>
          <w:lang w:val="zh-CN"/>
        </w:rPr>
        <w:t>，并提供由省级以上监狱管理局、戒毒管理局(含新疆生产建设兵团)出具的属于监狱企业的证明</w:t>
      </w:r>
      <w:r>
        <w:rPr>
          <w:rFonts w:hint="eastAsia" w:asciiTheme="majorEastAsia" w:hAnsiTheme="majorEastAsia" w:eastAsiaTheme="majorEastAsia" w:cstheme="majorEastAsia"/>
          <w:sz w:val="24"/>
        </w:rPr>
        <w:t>。</w:t>
      </w:r>
    </w:p>
    <w:p w14:paraId="417D74AE">
      <w:pPr>
        <w:autoSpaceDE w:val="0"/>
        <w:autoSpaceDN w:val="0"/>
        <w:snapToGrid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（3）残疾人福利性单位落实政府采购政策</w:t>
      </w:r>
    </w:p>
    <w:p w14:paraId="271F253B">
      <w:pPr>
        <w:autoSpaceDE w:val="0"/>
        <w:autoSpaceDN w:val="0"/>
        <w:snapToGrid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①残疾人福利性单位应符合财库〔2018〕141号规定，提供本单位制造的货物、承担的工程或者服务（以下简称产品），或者提供其他残疾人福利性单位制造的货物（不包括使用非残疾人福利性单位注册商标的货物）。</w:t>
      </w:r>
    </w:p>
    <w:p w14:paraId="58FB3475">
      <w:pPr>
        <w:autoSpaceDE w:val="0"/>
        <w:autoSpaceDN w:val="0"/>
        <w:snapToGrid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②投标人须按照财库〔2018〕141号规定，提供《残疾人福利性单位声明函》，并对声明的真实性负责。以此为依据享受政府采购政策。</w:t>
      </w:r>
    </w:p>
    <w:p w14:paraId="35916226">
      <w:pPr>
        <w:autoSpaceDE w:val="0"/>
        <w:autoSpaceDN w:val="0"/>
        <w:snapToGrid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③中标、成交投标人为残疾人福利性单位的，采购人或者其委托的采购代理机构应当随中标、成交结果同时公告其《残疾人福利性单位声明函》，接受社会监督。</w:t>
      </w:r>
    </w:p>
    <w:p w14:paraId="06CA2860">
      <w:pPr>
        <w:autoSpaceDE w:val="0"/>
        <w:autoSpaceDN w:val="0"/>
        <w:snapToGrid w:val="0"/>
        <w:spacing w:line="360" w:lineRule="auto"/>
        <w:ind w:firstLine="480" w:firstLineChars="200"/>
        <w:rPr>
          <w:rFonts w:asciiTheme="majorEastAsia" w:hAnsiTheme="majorEastAsia" w:eastAsiaTheme="majorEastAsia" w:cstheme="majorEastAsia"/>
          <w:sz w:val="24"/>
          <w:lang w:val="zh-CN"/>
        </w:rPr>
      </w:pPr>
      <w:r>
        <w:rPr>
          <w:rFonts w:hint="eastAsia" w:asciiTheme="majorEastAsia" w:hAnsiTheme="majorEastAsia" w:eastAsiaTheme="majorEastAsia" w:cstheme="majorEastAsia"/>
          <w:sz w:val="24"/>
        </w:rPr>
        <w:t>（4）投标人</w:t>
      </w:r>
      <w:r>
        <w:rPr>
          <w:rFonts w:hint="eastAsia" w:asciiTheme="majorEastAsia" w:hAnsiTheme="majorEastAsia" w:eastAsiaTheme="majorEastAsia" w:cstheme="majorEastAsia"/>
          <w:bCs/>
          <w:sz w:val="24"/>
        </w:rPr>
        <w:t>应如实提供以上证明文件，如存在虚假应标，将取消其投标资格。</w:t>
      </w:r>
    </w:p>
    <w:p w14:paraId="10A0E804">
      <w:pPr>
        <w:autoSpaceDE w:val="0"/>
        <w:autoSpaceDN w:val="0"/>
        <w:snapToGrid w:val="0"/>
        <w:spacing w:line="360" w:lineRule="auto"/>
        <w:ind w:firstLine="472" w:firstLineChars="196"/>
        <w:rPr>
          <w:rFonts w:asciiTheme="majorEastAsia" w:hAnsiTheme="majorEastAsia" w:eastAsiaTheme="majorEastAsia" w:cstheme="majorEastAsia"/>
          <w:b/>
          <w:sz w:val="24"/>
          <w:lang w:val="zh-CN"/>
        </w:rPr>
      </w:pPr>
      <w:r>
        <w:rPr>
          <w:rFonts w:hint="eastAsia" w:asciiTheme="majorEastAsia" w:hAnsiTheme="majorEastAsia" w:eastAsiaTheme="majorEastAsia" w:cstheme="majorEastAsia"/>
          <w:b/>
          <w:sz w:val="24"/>
          <w:lang w:val="zh-CN"/>
        </w:rPr>
        <w:t>23.</w:t>
      </w:r>
      <w:r>
        <w:rPr>
          <w:rFonts w:hint="eastAsia" w:asciiTheme="majorEastAsia" w:hAnsiTheme="majorEastAsia" w:eastAsiaTheme="majorEastAsia" w:cstheme="majorEastAsia"/>
          <w:b/>
          <w:sz w:val="24"/>
        </w:rPr>
        <w:t>3</w:t>
      </w:r>
      <w:r>
        <w:rPr>
          <w:rFonts w:hint="eastAsia" w:asciiTheme="majorEastAsia" w:hAnsiTheme="majorEastAsia" w:eastAsiaTheme="majorEastAsia" w:cstheme="majorEastAsia"/>
          <w:b/>
          <w:sz w:val="24"/>
          <w:lang w:val="zh-CN"/>
        </w:rPr>
        <w:t>.2 投标产品政府采购政策</w:t>
      </w:r>
    </w:p>
    <w:p w14:paraId="09C9CB21">
      <w:pPr>
        <w:autoSpaceDE w:val="0"/>
        <w:autoSpaceDN w:val="0"/>
        <w:snapToGrid w:val="0"/>
        <w:spacing w:line="360" w:lineRule="auto"/>
        <w:ind w:firstLine="470" w:firstLineChars="196"/>
        <w:rPr>
          <w:rFonts w:asciiTheme="majorEastAsia" w:hAnsiTheme="majorEastAsia" w:eastAsiaTheme="majorEastAsia" w:cstheme="majorEastAsia"/>
          <w:sz w:val="24"/>
          <w:lang w:val="zh-CN"/>
        </w:rPr>
      </w:pPr>
      <w:r>
        <w:rPr>
          <w:rFonts w:hint="eastAsia" w:asciiTheme="majorEastAsia" w:hAnsiTheme="majorEastAsia" w:eastAsiaTheme="majorEastAsia" w:cstheme="majorEastAsia"/>
          <w:sz w:val="24"/>
        </w:rPr>
        <w:t>（1）节能产品</w:t>
      </w:r>
      <w:r>
        <w:rPr>
          <w:rFonts w:hint="eastAsia" w:asciiTheme="majorEastAsia" w:hAnsiTheme="majorEastAsia" w:eastAsiaTheme="majorEastAsia" w:cstheme="majorEastAsia"/>
          <w:sz w:val="24"/>
          <w:lang w:val="zh-CN"/>
        </w:rPr>
        <w:t>根据《国务院办公厅关于建立政府强制采购节能产品制度的通知》</w:t>
      </w: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sz w:val="24"/>
          <w:lang w:val="zh-CN"/>
        </w:rPr>
        <w:t>国办发[2007] 51号</w:t>
      </w: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sz w:val="24"/>
          <w:lang w:val="zh-CN"/>
        </w:rPr>
        <w:t>的规定</w:t>
      </w: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sz w:val="24"/>
          <w:lang w:val="zh-CN"/>
        </w:rPr>
        <w:t>以中国政府采购网</w:t>
      </w: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sz w:val="24"/>
          <w:lang w:val="zh-CN"/>
        </w:rPr>
        <w:t>http://www.ccgp.gov.cn/</w:t>
      </w: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sz w:val="24"/>
          <w:lang w:val="zh-CN"/>
        </w:rPr>
        <w:t>公布的最新一期节能产品政府采购清单为准。</w:t>
      </w:r>
    </w:p>
    <w:p w14:paraId="55C615E6">
      <w:pPr>
        <w:autoSpaceDE w:val="0"/>
        <w:autoSpaceDN w:val="0"/>
        <w:snapToGrid w:val="0"/>
        <w:spacing w:line="360" w:lineRule="auto"/>
        <w:ind w:firstLine="470" w:firstLineChars="196"/>
        <w:rPr>
          <w:rFonts w:asciiTheme="majorEastAsia" w:hAnsiTheme="majorEastAsia" w:eastAsiaTheme="majorEastAsia" w:cstheme="majorEastAsia"/>
          <w:sz w:val="24"/>
          <w:lang w:val="zh-CN"/>
        </w:rPr>
      </w:pPr>
      <w:r>
        <w:rPr>
          <w:rFonts w:hint="eastAsia" w:asciiTheme="majorEastAsia" w:hAnsiTheme="majorEastAsia" w:eastAsiaTheme="majorEastAsia" w:cstheme="majorEastAsia"/>
          <w:sz w:val="24"/>
        </w:rPr>
        <w:t>（2）环境标志产品</w:t>
      </w:r>
      <w:r>
        <w:rPr>
          <w:rFonts w:hint="eastAsia" w:asciiTheme="majorEastAsia" w:hAnsiTheme="majorEastAsia" w:eastAsiaTheme="majorEastAsia" w:cstheme="majorEastAsia"/>
          <w:sz w:val="24"/>
          <w:lang w:val="zh-CN"/>
        </w:rPr>
        <w:t>根据《环境标志产品政府采购实施的意见》</w:t>
      </w: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sz w:val="24"/>
          <w:lang w:val="zh-CN"/>
        </w:rPr>
        <w:t>财库</w:t>
      </w:r>
      <w:r>
        <w:rPr>
          <w:rFonts w:hint="eastAsia" w:asciiTheme="majorEastAsia" w:hAnsiTheme="majorEastAsia" w:eastAsiaTheme="majorEastAsia" w:cstheme="majorEastAsia"/>
          <w:sz w:val="24"/>
        </w:rPr>
        <w:t>[2006]90</w:t>
      </w:r>
      <w:r>
        <w:rPr>
          <w:rFonts w:hint="eastAsia" w:asciiTheme="majorEastAsia" w:hAnsiTheme="majorEastAsia" w:eastAsiaTheme="majorEastAsia" w:cstheme="majorEastAsia"/>
          <w:sz w:val="24"/>
          <w:lang w:val="zh-CN"/>
        </w:rPr>
        <w:t>号</w:t>
      </w: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sz w:val="24"/>
          <w:lang w:val="zh-CN"/>
        </w:rPr>
        <w:t>的规定</w:t>
      </w: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sz w:val="24"/>
          <w:lang w:val="zh-CN"/>
        </w:rPr>
        <w:t>以中国政府采购网</w:t>
      </w:r>
      <w:r>
        <w:rPr>
          <w:rFonts w:hint="eastAsia" w:asciiTheme="majorEastAsia" w:hAnsiTheme="majorEastAsia" w:eastAsiaTheme="majorEastAsia" w:cstheme="majorEastAsia"/>
          <w:sz w:val="24"/>
        </w:rPr>
        <w:t>（http://www.ccgp.gov.cn/）</w:t>
      </w:r>
      <w:r>
        <w:rPr>
          <w:rFonts w:hint="eastAsia" w:asciiTheme="majorEastAsia" w:hAnsiTheme="majorEastAsia" w:eastAsiaTheme="majorEastAsia" w:cstheme="majorEastAsia"/>
          <w:sz w:val="24"/>
          <w:lang w:val="zh-CN"/>
        </w:rPr>
        <w:t>公布的最新一期环境标志产品政府采购清单为准。</w:t>
      </w:r>
    </w:p>
    <w:p w14:paraId="031DD466">
      <w:pPr>
        <w:autoSpaceDE w:val="0"/>
        <w:autoSpaceDN w:val="0"/>
        <w:snapToGrid w:val="0"/>
        <w:spacing w:line="360" w:lineRule="auto"/>
        <w:ind w:firstLine="470" w:firstLineChars="196"/>
        <w:rPr>
          <w:rFonts w:asciiTheme="majorEastAsia" w:hAnsiTheme="majorEastAsia" w:eastAsiaTheme="majorEastAsia" w:cstheme="majorEastAsia"/>
          <w:sz w:val="24"/>
          <w:lang w:val="zh-CN"/>
        </w:rPr>
      </w:pPr>
      <w:r>
        <w:rPr>
          <w:rFonts w:hint="eastAsia" w:asciiTheme="majorEastAsia" w:hAnsiTheme="majorEastAsia" w:eastAsiaTheme="majorEastAsia" w:cstheme="majorEastAsia"/>
          <w:sz w:val="24"/>
        </w:rPr>
        <w:t>（3）</w:t>
      </w:r>
      <w:r>
        <w:rPr>
          <w:rFonts w:hint="eastAsia" w:asciiTheme="majorEastAsia" w:hAnsiTheme="majorEastAsia" w:eastAsiaTheme="majorEastAsia" w:cstheme="majorEastAsia"/>
          <w:sz w:val="24"/>
          <w:lang w:val="zh-CN"/>
        </w:rPr>
        <w:t>投标人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14:paraId="6784120C">
      <w:pPr>
        <w:autoSpaceDE w:val="0"/>
        <w:autoSpaceDN w:val="0"/>
        <w:snapToGrid w:val="0"/>
        <w:spacing w:line="360" w:lineRule="auto"/>
        <w:ind w:firstLine="470" w:firstLineChars="196"/>
        <w:rPr>
          <w:rFonts w:asciiTheme="majorEastAsia" w:hAnsiTheme="majorEastAsia" w:eastAsiaTheme="majorEastAsia" w:cstheme="majorEastAsia"/>
          <w:sz w:val="24"/>
          <w:lang w:val="zh-CN"/>
        </w:rPr>
      </w:pPr>
      <w:r>
        <w:rPr>
          <w:rFonts w:hint="eastAsia" w:asciiTheme="majorEastAsia" w:hAnsiTheme="majorEastAsia" w:eastAsiaTheme="majorEastAsia" w:cstheme="majorEastAsia"/>
          <w:sz w:val="24"/>
        </w:rPr>
        <w:t>（4）</w:t>
      </w:r>
      <w:r>
        <w:rPr>
          <w:rFonts w:hint="eastAsia" w:asciiTheme="majorEastAsia" w:hAnsiTheme="majorEastAsia" w:eastAsiaTheme="majorEastAsia" w:cstheme="majorEastAsia"/>
          <w:sz w:val="24"/>
          <w:lang w:val="zh-CN"/>
        </w:rPr>
        <w:t>若节能、环保、环境标志清单内的产品仅是构成投标产品的部件、组件或零件的，则该投标产品不享受鼓励优惠政策。</w:t>
      </w:r>
    </w:p>
    <w:p w14:paraId="37E68CD5">
      <w:pPr>
        <w:autoSpaceDE w:val="0"/>
        <w:autoSpaceDN w:val="0"/>
        <w:snapToGrid w:val="0"/>
        <w:spacing w:line="360" w:lineRule="auto"/>
        <w:ind w:firstLine="470" w:firstLineChars="196"/>
        <w:rPr>
          <w:rFonts w:asciiTheme="majorEastAsia" w:hAnsiTheme="majorEastAsia" w:eastAsiaTheme="majorEastAsia" w:cstheme="majorEastAsia"/>
          <w:sz w:val="24"/>
          <w:lang w:val="zh-CN"/>
        </w:rPr>
      </w:pPr>
      <w:r>
        <w:rPr>
          <w:rFonts w:hint="eastAsia" w:asciiTheme="majorEastAsia" w:hAnsiTheme="majorEastAsia" w:eastAsiaTheme="majorEastAsia" w:cstheme="majorEastAsia"/>
          <w:sz w:val="24"/>
        </w:rPr>
        <w:t>（5）</w:t>
      </w:r>
      <w:r>
        <w:rPr>
          <w:rFonts w:hint="eastAsia" w:asciiTheme="majorEastAsia" w:hAnsiTheme="majorEastAsia" w:eastAsiaTheme="majorEastAsia" w:cstheme="majorEastAsia"/>
          <w:sz w:val="24"/>
          <w:lang w:val="zh-CN"/>
        </w:rPr>
        <w:t>同一标段的节能、环保、环境标志产品部分优惠只对属于清单内的非强制类产品进行优惠，强制类产品不给予优惠。</w:t>
      </w:r>
    </w:p>
    <w:p w14:paraId="65016DC4">
      <w:pPr>
        <w:autoSpaceDE w:val="0"/>
        <w:autoSpaceDN w:val="0"/>
        <w:snapToGrid w:val="0"/>
        <w:spacing w:line="360" w:lineRule="auto"/>
        <w:ind w:firstLine="470" w:firstLineChars="196"/>
        <w:rPr>
          <w:rFonts w:asciiTheme="majorEastAsia" w:hAnsiTheme="majorEastAsia" w:eastAsiaTheme="majorEastAsia" w:cstheme="majorEastAsia"/>
          <w:sz w:val="24"/>
          <w:lang w:val="zh-CN"/>
        </w:rPr>
      </w:pPr>
      <w:r>
        <w:rPr>
          <w:rFonts w:hint="eastAsia" w:asciiTheme="majorEastAsia" w:hAnsiTheme="majorEastAsia" w:eastAsiaTheme="majorEastAsia" w:cstheme="majorEastAsia"/>
          <w:sz w:val="24"/>
        </w:rPr>
        <w:t>（6）</w:t>
      </w:r>
      <w:r>
        <w:rPr>
          <w:rFonts w:hint="eastAsia" w:asciiTheme="majorEastAsia" w:hAnsiTheme="majorEastAsia" w:eastAsiaTheme="majorEastAsia" w:cstheme="majorEastAsia"/>
          <w:sz w:val="24"/>
          <w:lang w:val="zh-CN"/>
        </w:rPr>
        <w:t>节能、环保、环境标志产品不重复优惠；同时列入国家级清单和省级清单的产品不重复优惠。</w:t>
      </w:r>
    </w:p>
    <w:p w14:paraId="74CBE8E4">
      <w:pPr>
        <w:autoSpaceDE w:val="0"/>
        <w:autoSpaceDN w:val="0"/>
        <w:snapToGrid w:val="0"/>
        <w:spacing w:line="360" w:lineRule="auto"/>
        <w:ind w:firstLine="470" w:firstLineChars="196"/>
        <w:rPr>
          <w:rFonts w:asciiTheme="majorEastAsia" w:hAnsiTheme="majorEastAsia" w:eastAsiaTheme="majorEastAsia" w:cstheme="majorEastAsia"/>
          <w:sz w:val="24"/>
          <w:lang w:val="zh-CN"/>
        </w:rPr>
      </w:pPr>
      <w:r>
        <w:rPr>
          <w:rFonts w:hint="eastAsia" w:asciiTheme="majorEastAsia" w:hAnsiTheme="majorEastAsia" w:eastAsiaTheme="majorEastAsia" w:cstheme="majorEastAsia"/>
          <w:sz w:val="24"/>
        </w:rPr>
        <w:t>（7）</w:t>
      </w:r>
      <w:r>
        <w:rPr>
          <w:rFonts w:hint="eastAsia" w:asciiTheme="majorEastAsia" w:hAnsiTheme="majorEastAsia" w:eastAsiaTheme="majorEastAsia" w:cstheme="majorEastAsia"/>
          <w:sz w:val="24"/>
          <w:lang w:val="zh-CN"/>
        </w:rPr>
        <w:t>获得上述认证的产品在投标时应提供有效证明材料。以上所有证明文件复印件须加盖投标人公章并注明“与原件一致”，否则不予优惠。</w:t>
      </w:r>
    </w:p>
    <w:p w14:paraId="6DEF38F4">
      <w:pPr>
        <w:pStyle w:val="6"/>
        <w:spacing w:line="360" w:lineRule="auto"/>
        <w:ind w:firstLine="482"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23.3.</w:t>
      </w: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充分、公平竞争保障措施</w:t>
      </w:r>
    </w:p>
    <w:p w14:paraId="2611B3C8">
      <w:pPr>
        <w:autoSpaceDE w:val="0"/>
        <w:autoSpaceDN w:val="0"/>
        <w:snapToGrid w:val="0"/>
        <w:spacing w:line="360" w:lineRule="auto"/>
        <w:ind w:firstLine="470" w:firstLineChars="196"/>
        <w:rPr>
          <w:rFonts w:hint="eastAsia" w:asciiTheme="majorEastAsia" w:hAnsiTheme="majorEastAsia" w:eastAsiaTheme="majorEastAsia" w:cstheme="majorEastAsia"/>
          <w:sz w:val="24"/>
          <w:lang w:val="zh-CN"/>
        </w:rPr>
      </w:pPr>
      <w:r>
        <w:rPr>
          <w:rFonts w:hint="eastAsia" w:asciiTheme="majorEastAsia" w:hAnsiTheme="majorEastAsia" w:eastAsiaTheme="majorEastAsia" w:cstheme="majorEastAsia"/>
          <w:sz w:val="24"/>
          <w:lang w:val="en-US" w:eastAsia="zh-CN"/>
        </w:rPr>
        <w:t>提供相同品牌产品且通过资格审查、符合性审查的不同投标人参加同一合同项下投标的，按一家投标人计算，评审后得分最高的同品牌投标人获得中标人推荐资格；评审得分相同的，由采购人委托评标委员会按照招标文件规定的方式确定一个投标人获得中标人推荐资格，其他同品牌投标人不作为中标候选人。</w:t>
      </w:r>
    </w:p>
    <w:p w14:paraId="48B0C9DA">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kern w:val="1"/>
          <w:sz w:val="24"/>
        </w:rPr>
        <w:t>24.评标委员会根据</w:t>
      </w:r>
      <w:r>
        <w:rPr>
          <w:rFonts w:hint="eastAsia" w:asciiTheme="majorEastAsia" w:hAnsiTheme="majorEastAsia" w:eastAsiaTheme="majorEastAsia" w:cstheme="majorEastAsia"/>
          <w:sz w:val="24"/>
        </w:rPr>
        <w:t>原始评标记录和评标结果编写</w:t>
      </w:r>
      <w:r>
        <w:rPr>
          <w:rFonts w:hint="eastAsia" w:asciiTheme="majorEastAsia" w:hAnsiTheme="majorEastAsia" w:eastAsiaTheme="majorEastAsia" w:cstheme="majorEastAsia"/>
          <w:kern w:val="1"/>
          <w:sz w:val="24"/>
        </w:rPr>
        <w:t>评标报告，报采购人。</w:t>
      </w:r>
    </w:p>
    <w:p w14:paraId="2D701877">
      <w:pPr>
        <w:spacing w:line="360" w:lineRule="auto"/>
        <w:ind w:firstLine="480"/>
        <w:rPr>
          <w:rFonts w:asciiTheme="majorEastAsia" w:hAnsiTheme="majorEastAsia" w:eastAsiaTheme="majorEastAsia" w:cstheme="majorEastAsia"/>
          <w:b/>
          <w:kern w:val="1"/>
          <w:sz w:val="24"/>
        </w:rPr>
      </w:pPr>
      <w:r>
        <w:rPr>
          <w:rFonts w:hint="eastAsia" w:asciiTheme="majorEastAsia" w:hAnsiTheme="majorEastAsia" w:eastAsiaTheme="majorEastAsia" w:cstheme="majorEastAsia"/>
          <w:kern w:val="1"/>
          <w:sz w:val="24"/>
        </w:rPr>
        <w:t>按照综合得分高到低，推荐出一个以上三个以下中标候选单位。如果综合评分出现两个投标人得分相同的情况，按下列顺序排列：</w:t>
      </w:r>
    </w:p>
    <w:p w14:paraId="72648C99">
      <w:pPr>
        <w:spacing w:line="360" w:lineRule="auto"/>
        <w:ind w:firstLine="480"/>
        <w:rPr>
          <w:rFonts w:asciiTheme="majorEastAsia" w:hAnsiTheme="majorEastAsia" w:eastAsiaTheme="majorEastAsia" w:cstheme="majorEastAsia"/>
          <w:kern w:val="1"/>
          <w:sz w:val="24"/>
        </w:rPr>
      </w:pPr>
      <w:r>
        <w:rPr>
          <w:rFonts w:hint="eastAsia" w:asciiTheme="majorEastAsia" w:hAnsiTheme="majorEastAsia" w:eastAsiaTheme="majorEastAsia" w:cstheme="majorEastAsia"/>
          <w:kern w:val="1"/>
          <w:sz w:val="24"/>
        </w:rPr>
        <w:t>(1) 投标价格低的；</w:t>
      </w:r>
    </w:p>
    <w:p w14:paraId="2B03BC75">
      <w:pPr>
        <w:spacing w:line="360" w:lineRule="auto"/>
        <w:ind w:firstLine="480"/>
        <w:rPr>
          <w:rFonts w:asciiTheme="majorEastAsia" w:hAnsiTheme="majorEastAsia" w:eastAsiaTheme="majorEastAsia" w:cstheme="majorEastAsia"/>
          <w:kern w:val="1"/>
          <w:sz w:val="24"/>
        </w:rPr>
      </w:pPr>
      <w:r>
        <w:rPr>
          <w:rFonts w:hint="eastAsia" w:asciiTheme="majorEastAsia" w:hAnsiTheme="majorEastAsia" w:eastAsiaTheme="majorEastAsia" w:cstheme="majorEastAsia"/>
          <w:kern w:val="1"/>
          <w:sz w:val="24"/>
        </w:rPr>
        <w:t>(2) 技术评估得分高的；</w:t>
      </w:r>
    </w:p>
    <w:p w14:paraId="167BA8A3">
      <w:pPr>
        <w:spacing w:line="360" w:lineRule="auto"/>
        <w:ind w:firstLine="480"/>
        <w:rPr>
          <w:rFonts w:asciiTheme="majorEastAsia" w:hAnsiTheme="majorEastAsia" w:eastAsiaTheme="majorEastAsia" w:cstheme="majorEastAsia"/>
          <w:kern w:val="1"/>
          <w:sz w:val="24"/>
        </w:rPr>
      </w:pPr>
      <w:r>
        <w:rPr>
          <w:rFonts w:hint="eastAsia" w:asciiTheme="majorEastAsia" w:hAnsiTheme="majorEastAsia" w:eastAsiaTheme="majorEastAsia" w:cstheme="majorEastAsia"/>
          <w:kern w:val="1"/>
          <w:sz w:val="24"/>
        </w:rPr>
        <w:t>(3) 服务承诺优的。</w:t>
      </w:r>
    </w:p>
    <w:p w14:paraId="0938D000">
      <w:pPr>
        <w:snapToGrid w:val="0"/>
        <w:spacing w:beforeLines="50" w:afterLines="50" w:line="360" w:lineRule="auto"/>
        <w:jc w:val="center"/>
        <w:rPr>
          <w:rFonts w:asciiTheme="majorEastAsia" w:hAnsiTheme="majorEastAsia" w:eastAsiaTheme="majorEastAsia" w:cstheme="majorEastAsia"/>
          <w:b/>
          <w:sz w:val="24"/>
        </w:rPr>
      </w:pPr>
      <w:bookmarkStart w:id="115" w:name="_Toc207897907"/>
      <w:bookmarkStart w:id="116" w:name="_Toc245657544"/>
      <w:bookmarkStart w:id="117" w:name="_Toc170980445"/>
      <w:bookmarkStart w:id="118" w:name="_Toc154482470"/>
      <w:bookmarkStart w:id="119" w:name="_Toc167590766"/>
      <w:bookmarkStart w:id="120" w:name="_Toc169846864"/>
      <w:bookmarkStart w:id="121" w:name="_Toc175032428"/>
      <w:bookmarkStart w:id="122" w:name="_Toc245176656"/>
      <w:bookmarkStart w:id="123" w:name="_Toc167849351"/>
      <w:bookmarkStart w:id="124" w:name="_Toc167591135"/>
      <w:bookmarkStart w:id="125" w:name="_Toc208337155"/>
      <w:bookmarkStart w:id="126" w:name="_Toc173549969"/>
      <w:bookmarkStart w:id="127" w:name="_Toc170980543"/>
      <w:bookmarkStart w:id="128" w:name="_Toc167591034"/>
      <w:bookmarkStart w:id="129" w:name="_Toc245658525"/>
      <w:bookmarkStart w:id="130" w:name="_Toc244623582"/>
      <w:bookmarkStart w:id="131" w:name="_Toc169838523"/>
      <w:bookmarkStart w:id="132" w:name="_Toc175033583"/>
      <w:bookmarkStart w:id="133" w:name="_Toc167591321"/>
      <w:bookmarkStart w:id="134" w:name="_Toc167591483"/>
      <w:bookmarkStart w:id="135" w:name="_Toc169846767"/>
      <w:r>
        <w:rPr>
          <w:rFonts w:hint="eastAsia" w:asciiTheme="majorEastAsia" w:hAnsiTheme="majorEastAsia" w:eastAsiaTheme="majorEastAsia" w:cstheme="majorEastAsia"/>
          <w:b/>
          <w:sz w:val="24"/>
        </w:rPr>
        <w:t>六、授予合同</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102A7B23">
      <w:pPr>
        <w:spacing w:line="360" w:lineRule="auto"/>
        <w:ind w:firstLine="482" w:firstLineChars="200"/>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25．中标通知书</w:t>
      </w:r>
    </w:p>
    <w:p w14:paraId="324EE17A">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25.1采购代理机构在收到采购人的中标复函后，将在陕西省政府采购网和陕西省公共资源交易网上发布中标公告，并在规定时间向中标人发出中标通知书。</w:t>
      </w:r>
    </w:p>
    <w:p w14:paraId="5CAEAA79">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25.2 中标通知书是合同的组成部分。</w:t>
      </w:r>
    </w:p>
    <w:p w14:paraId="6BE30917">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26．招标代理服务费</w:t>
      </w:r>
    </w:p>
    <w:p w14:paraId="09162D72">
      <w:pPr>
        <w:pStyle w:val="114"/>
        <w:spacing w:before="40" w:line="350" w:lineRule="auto"/>
        <w:ind w:right="108" w:firstLine="480" w:firstLineChars="200"/>
        <w:jc w:val="both"/>
        <w:rPr>
          <w:rFonts w:hint="eastAsia"/>
          <w:spacing w:val="-2"/>
          <w:lang w:val="en-US" w:eastAsia="zh-CN"/>
        </w:rPr>
      </w:pPr>
      <w:r>
        <w:rPr>
          <w:rFonts w:hint="eastAsia" w:asciiTheme="majorEastAsia" w:hAnsiTheme="majorEastAsia" w:eastAsiaTheme="majorEastAsia" w:cstheme="majorEastAsia"/>
          <w:sz w:val="24"/>
        </w:rPr>
        <w:t>26.1招标代理服务费：</w:t>
      </w:r>
      <w:r>
        <w:rPr>
          <w:spacing w:val="-2"/>
        </w:rPr>
        <w:t>参考国家计委</w:t>
      </w:r>
      <w:r>
        <w:rPr>
          <w:spacing w:val="-46"/>
        </w:rPr>
        <w:t xml:space="preserve"> </w:t>
      </w:r>
      <w:r>
        <w:rPr>
          <w:rFonts w:ascii="Times New Roman" w:hAnsi="Times New Roman" w:eastAsia="Times New Roman" w:cs="Times New Roman"/>
          <w:spacing w:val="-2"/>
        </w:rPr>
        <w:t xml:space="preserve">2002 </w:t>
      </w:r>
      <w:r>
        <w:rPr>
          <w:spacing w:val="-2"/>
        </w:rPr>
        <w:t>年颁发的《招标代理服务收费管理暂行办法》</w:t>
      </w:r>
      <w:r>
        <w:rPr>
          <w:rFonts w:ascii="Times New Roman" w:hAnsi="Times New Roman" w:eastAsia="Times New Roman" w:cs="Times New Roman"/>
          <w:spacing w:val="-2"/>
        </w:rPr>
        <w:t>(</w:t>
      </w:r>
      <w:r>
        <w:rPr>
          <w:spacing w:val="-2"/>
        </w:rPr>
        <w:t>计</w:t>
      </w:r>
      <w:r>
        <w:rPr>
          <w:spacing w:val="-3"/>
        </w:rPr>
        <w:t>价格〔</w:t>
      </w:r>
      <w:r>
        <w:rPr>
          <w:rFonts w:ascii="Times New Roman" w:hAnsi="Times New Roman" w:eastAsia="Times New Roman" w:cs="Times New Roman"/>
          <w:spacing w:val="-3"/>
        </w:rPr>
        <w:t>2002</w:t>
      </w:r>
      <w:r>
        <w:rPr>
          <w:spacing w:val="-3"/>
        </w:rPr>
        <w:t>〕</w:t>
      </w:r>
      <w:r>
        <w:rPr>
          <w:rFonts w:ascii="Times New Roman" w:hAnsi="Times New Roman" w:eastAsia="Times New Roman" w:cs="Times New Roman"/>
          <w:spacing w:val="-3"/>
        </w:rPr>
        <w:t>1980</w:t>
      </w:r>
      <w:r>
        <w:rPr>
          <w:spacing w:val="-3"/>
        </w:rPr>
        <w:t>号</w:t>
      </w:r>
      <w:r>
        <w:rPr>
          <w:rFonts w:ascii="Times New Roman" w:hAnsi="Times New Roman" w:eastAsia="Times New Roman" w:cs="Times New Roman"/>
          <w:spacing w:val="-3"/>
        </w:rPr>
        <w:t>)</w:t>
      </w:r>
      <w:r>
        <w:rPr>
          <w:rFonts w:ascii="Times New Roman" w:hAnsi="Times New Roman" w:eastAsia="Times New Roman" w:cs="Times New Roman"/>
          <w:spacing w:val="-32"/>
        </w:rPr>
        <w:t xml:space="preserve"> </w:t>
      </w:r>
      <w:r>
        <w:rPr>
          <w:spacing w:val="-3"/>
        </w:rPr>
        <w:t>、国家发展改革委员会办公厅颁发的《关于招标</w:t>
      </w:r>
      <w:r>
        <w:rPr>
          <w:spacing w:val="-10"/>
        </w:rPr>
        <w:t>代理服务费收费有关问题的通知》（发改办价格〔</w:t>
      </w:r>
      <w:r>
        <w:rPr>
          <w:rFonts w:ascii="Times New Roman" w:hAnsi="Times New Roman" w:eastAsia="Times New Roman" w:cs="Times New Roman"/>
          <w:spacing w:val="-10"/>
        </w:rPr>
        <w:t>2003</w:t>
      </w:r>
      <w:r>
        <w:rPr>
          <w:spacing w:val="-10"/>
        </w:rPr>
        <w:t>〕</w:t>
      </w:r>
      <w:r>
        <w:rPr>
          <w:rFonts w:ascii="Times New Roman" w:hAnsi="Times New Roman" w:eastAsia="Times New Roman" w:cs="Times New Roman"/>
          <w:spacing w:val="-10"/>
        </w:rPr>
        <w:t>857</w:t>
      </w:r>
      <w:r>
        <w:rPr>
          <w:spacing w:val="-10"/>
        </w:rPr>
        <w:t>号）及《调</w:t>
      </w:r>
      <w:r>
        <w:rPr>
          <w:spacing w:val="-4"/>
        </w:rPr>
        <w:t>整后的招标代理服务收费标准》</w:t>
      </w:r>
      <w:r>
        <w:rPr>
          <w:rFonts w:ascii="Times New Roman" w:hAnsi="Times New Roman" w:eastAsia="Times New Roman" w:cs="Times New Roman"/>
          <w:spacing w:val="-4"/>
        </w:rPr>
        <w:t>(</w:t>
      </w:r>
      <w:r>
        <w:rPr>
          <w:rFonts w:hint="eastAsia"/>
          <w:spacing w:val="-2"/>
          <w:lang w:val="en-US" w:eastAsia="zh-CN"/>
        </w:rPr>
        <w:t>发改价格〔2011〕534 号)规定收取。</w:t>
      </w:r>
    </w:p>
    <w:p w14:paraId="2EF76052">
      <w:pPr>
        <w:numPr>
          <w:ilvl w:val="0"/>
          <w:numId w:val="0"/>
        </w:num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26.2招标代理服务费由</w:t>
      </w:r>
      <w:r>
        <w:rPr>
          <w:rFonts w:hint="eastAsia" w:asciiTheme="majorEastAsia" w:hAnsiTheme="majorEastAsia" w:eastAsiaTheme="majorEastAsia" w:cstheme="majorEastAsia"/>
          <w:sz w:val="24"/>
          <w:u w:val="single"/>
          <w:lang w:val="en-US" w:eastAsia="zh-CN"/>
        </w:rPr>
        <w:t xml:space="preserve"> 中标单位 </w:t>
      </w:r>
      <w:r>
        <w:rPr>
          <w:rFonts w:hint="eastAsia" w:asciiTheme="majorEastAsia" w:hAnsiTheme="majorEastAsia" w:eastAsiaTheme="majorEastAsia" w:cstheme="majorEastAsia"/>
          <w:sz w:val="24"/>
        </w:rPr>
        <w:t>一次性支付给</w:t>
      </w:r>
      <w:r>
        <w:rPr>
          <w:rFonts w:hint="eastAsia" w:asciiTheme="majorEastAsia" w:hAnsiTheme="majorEastAsia" w:eastAsiaTheme="majorEastAsia" w:cstheme="majorEastAsia"/>
          <w:sz w:val="24"/>
          <w:u w:val="single"/>
        </w:rPr>
        <w:t>陕西华旭晟信项目管理有限责任公司</w:t>
      </w:r>
      <w:r>
        <w:rPr>
          <w:rFonts w:hint="eastAsia" w:asciiTheme="majorEastAsia" w:hAnsiTheme="majorEastAsia" w:eastAsiaTheme="majorEastAsia" w:cstheme="majorEastAsia"/>
          <w:sz w:val="24"/>
        </w:rPr>
        <w:t>。</w:t>
      </w:r>
    </w:p>
    <w:p w14:paraId="493DB384">
      <w:pPr>
        <w:spacing w:line="360" w:lineRule="auto"/>
        <w:ind w:firstLine="482" w:firstLineChars="200"/>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27．签订合同</w:t>
      </w:r>
    </w:p>
    <w:p w14:paraId="64CD3411">
      <w:pPr>
        <w:spacing w:line="360" w:lineRule="auto"/>
        <w:ind w:firstLine="482" w:firstLineChars="200"/>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27.1中标人在收到中标通知书后10日内与采购人签订合同。</w:t>
      </w:r>
    </w:p>
    <w:p w14:paraId="50CDC1B6">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27.2 如果中标人没有按照上述第26.1条或第27.1条规定执行，采购人将有充分理由取消该中标决定。在此情况下，采购人可将合同授予综合得分排序名列下一个的投标人，或重新招标。</w:t>
      </w:r>
    </w:p>
    <w:p w14:paraId="6C291AE6">
      <w:pPr>
        <w:spacing w:line="360" w:lineRule="auto"/>
        <w:ind w:firstLine="482" w:firstLineChars="200"/>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28．其他</w:t>
      </w:r>
    </w:p>
    <w:p w14:paraId="679BBF8A">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28.1 拒绝商业贿赂</w:t>
      </w:r>
    </w:p>
    <w:p w14:paraId="5D64AB6B">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28.1.1投标人须填写一份《拒绝政府采购领域商业贿赂承诺书》编制在投标文件中，同时保证投标文件正、副本中都有且一致。</w:t>
      </w:r>
    </w:p>
    <w:p w14:paraId="772FD98C">
      <w:pPr>
        <w:spacing w:line="360" w:lineRule="auto"/>
        <w:ind w:firstLine="482"/>
        <w:rPr>
          <w:rFonts w:asciiTheme="majorEastAsia" w:hAnsiTheme="majorEastAsia" w:eastAsiaTheme="majorEastAsia" w:cstheme="majorEastAsia"/>
          <w:b/>
          <w:kern w:val="1"/>
          <w:sz w:val="24"/>
        </w:rPr>
      </w:pPr>
      <w:r>
        <w:rPr>
          <w:rFonts w:hint="eastAsia" w:asciiTheme="majorEastAsia" w:hAnsiTheme="majorEastAsia" w:eastAsiaTheme="majorEastAsia" w:cstheme="majorEastAsia"/>
          <w:b/>
          <w:kern w:val="1"/>
          <w:sz w:val="24"/>
        </w:rPr>
        <w:t>29、公开招标拟转为竞争性谈判程序</w:t>
      </w:r>
    </w:p>
    <w:p w14:paraId="17C45714">
      <w:pPr>
        <w:spacing w:line="360" w:lineRule="auto"/>
        <w:ind w:firstLine="480"/>
        <w:rPr>
          <w:rFonts w:asciiTheme="majorEastAsia" w:hAnsiTheme="majorEastAsia" w:eastAsiaTheme="majorEastAsia" w:cstheme="majorEastAsia"/>
          <w:kern w:val="1"/>
          <w:sz w:val="24"/>
        </w:rPr>
      </w:pPr>
      <w:r>
        <w:rPr>
          <w:rFonts w:hint="eastAsia" w:asciiTheme="majorEastAsia" w:hAnsiTheme="majorEastAsia" w:eastAsiaTheme="majorEastAsia" w:cstheme="majorEastAsia"/>
          <w:kern w:val="1"/>
          <w:sz w:val="24"/>
        </w:rPr>
        <w:t>招标过程中提交投标文件或者经评审实质性响应招标文件要求的投标人只有两家时，采购人、采购代理机构依据《政府采购非招标采购方式管理办法》（财政部令第74号）第二十七条第二款规定并</w:t>
      </w:r>
      <w:r>
        <w:rPr>
          <w:rFonts w:hint="eastAsia" w:asciiTheme="majorEastAsia" w:hAnsiTheme="majorEastAsia" w:eastAsiaTheme="majorEastAsia" w:cstheme="majorEastAsia"/>
          <w:sz w:val="24"/>
        </w:rPr>
        <w:t>经本级财政部门批准后可以与该两家投标人进行竞争性谈判采购，具体程序如下：</w:t>
      </w:r>
    </w:p>
    <w:p w14:paraId="747D4349">
      <w:pPr>
        <w:spacing w:line="360" w:lineRule="auto"/>
        <w:ind w:firstLine="482"/>
        <w:rPr>
          <w:rFonts w:asciiTheme="majorEastAsia" w:hAnsiTheme="majorEastAsia" w:eastAsiaTheme="majorEastAsia" w:cstheme="majorEastAsia"/>
          <w:b/>
          <w:sz w:val="24"/>
        </w:rPr>
      </w:pPr>
      <w:r>
        <w:rPr>
          <w:rFonts w:hint="eastAsia" w:asciiTheme="majorEastAsia" w:hAnsiTheme="majorEastAsia" w:eastAsiaTheme="majorEastAsia" w:cstheme="majorEastAsia"/>
          <w:b/>
          <w:kern w:val="1"/>
          <w:sz w:val="24"/>
        </w:rPr>
        <w:t>29.1 谈判小组</w:t>
      </w:r>
    </w:p>
    <w:p w14:paraId="415C775A">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kern w:val="1"/>
          <w:sz w:val="24"/>
        </w:rPr>
        <w:t>（1）原公开招标组建的评标委员会现转为谈判小组</w:t>
      </w:r>
      <w:r>
        <w:rPr>
          <w:rFonts w:hint="eastAsia" w:asciiTheme="majorEastAsia" w:hAnsiTheme="majorEastAsia" w:eastAsiaTheme="majorEastAsia" w:cstheme="majorEastAsia"/>
          <w:sz w:val="24"/>
        </w:rPr>
        <w:t>。</w:t>
      </w:r>
    </w:p>
    <w:p w14:paraId="4A4025EE">
      <w:pPr>
        <w:spacing w:line="360" w:lineRule="auto"/>
        <w:ind w:firstLine="480"/>
        <w:rPr>
          <w:rFonts w:asciiTheme="majorEastAsia" w:hAnsiTheme="majorEastAsia" w:eastAsiaTheme="majorEastAsia" w:cstheme="majorEastAsia"/>
          <w:kern w:val="1"/>
          <w:sz w:val="24"/>
        </w:rPr>
      </w:pPr>
      <w:r>
        <w:rPr>
          <w:rFonts w:hint="eastAsia" w:asciiTheme="majorEastAsia" w:hAnsiTheme="majorEastAsia" w:eastAsiaTheme="majorEastAsia" w:cstheme="majorEastAsia"/>
          <w:kern w:val="1"/>
          <w:sz w:val="24"/>
        </w:rPr>
        <w:t>（2）谈判小组负责谈判工作，对谈判响应文件进行审查和评估，并向采购人提交书面提交评审报告，推荐成交候选人。</w:t>
      </w:r>
    </w:p>
    <w:p w14:paraId="4209A290">
      <w:pPr>
        <w:spacing w:line="360" w:lineRule="auto"/>
        <w:ind w:firstLine="482"/>
        <w:rPr>
          <w:rFonts w:asciiTheme="majorEastAsia" w:hAnsiTheme="majorEastAsia" w:eastAsiaTheme="majorEastAsia" w:cstheme="majorEastAsia"/>
          <w:kern w:val="1"/>
          <w:sz w:val="24"/>
        </w:rPr>
      </w:pPr>
      <w:r>
        <w:rPr>
          <w:rFonts w:hint="eastAsia" w:asciiTheme="majorEastAsia" w:hAnsiTheme="majorEastAsia" w:eastAsiaTheme="majorEastAsia" w:cstheme="majorEastAsia"/>
          <w:b/>
          <w:kern w:val="1"/>
          <w:sz w:val="24"/>
        </w:rPr>
        <w:t>29.</w:t>
      </w:r>
      <w:r>
        <w:rPr>
          <w:rFonts w:hint="eastAsia" w:asciiTheme="majorEastAsia" w:hAnsiTheme="majorEastAsia" w:eastAsiaTheme="majorEastAsia" w:cstheme="majorEastAsia"/>
          <w:b/>
          <w:bCs/>
          <w:kern w:val="1"/>
          <w:sz w:val="24"/>
        </w:rPr>
        <w:t xml:space="preserve">2 </w:t>
      </w:r>
      <w:r>
        <w:rPr>
          <w:rFonts w:hint="eastAsia" w:asciiTheme="majorEastAsia" w:hAnsiTheme="majorEastAsia" w:eastAsiaTheme="majorEastAsia" w:cstheme="majorEastAsia"/>
          <w:b/>
          <w:kern w:val="1"/>
          <w:sz w:val="24"/>
        </w:rPr>
        <w:t>谈判</w:t>
      </w:r>
      <w:r>
        <w:rPr>
          <w:rFonts w:hint="eastAsia" w:asciiTheme="majorEastAsia" w:hAnsiTheme="majorEastAsia" w:eastAsiaTheme="majorEastAsia" w:cstheme="majorEastAsia"/>
          <w:b/>
          <w:bCs/>
          <w:kern w:val="1"/>
          <w:sz w:val="24"/>
        </w:rPr>
        <w:t>程序</w:t>
      </w:r>
      <w:r>
        <w:rPr>
          <w:rFonts w:hint="eastAsia" w:asciiTheme="majorEastAsia" w:hAnsiTheme="majorEastAsia" w:eastAsiaTheme="majorEastAsia" w:cstheme="majorEastAsia"/>
          <w:bCs/>
          <w:kern w:val="1"/>
          <w:sz w:val="24"/>
        </w:rPr>
        <w:t>：</w:t>
      </w:r>
    </w:p>
    <w:p w14:paraId="2132BC97">
      <w:pPr>
        <w:spacing w:line="360" w:lineRule="auto"/>
        <w:ind w:firstLine="480"/>
        <w:rPr>
          <w:rFonts w:asciiTheme="majorEastAsia" w:hAnsiTheme="majorEastAsia" w:eastAsiaTheme="majorEastAsia" w:cstheme="majorEastAsia"/>
          <w:kern w:val="1"/>
          <w:sz w:val="24"/>
        </w:rPr>
      </w:pPr>
      <w:r>
        <w:rPr>
          <w:rFonts w:hint="eastAsia" w:asciiTheme="majorEastAsia" w:hAnsiTheme="majorEastAsia" w:eastAsiaTheme="majorEastAsia" w:cstheme="majorEastAsia"/>
          <w:kern w:val="1"/>
          <w:sz w:val="24"/>
        </w:rPr>
        <w:t>谈判的全过程分为第一次谈判报价（原参加公开招标的投标人的投标报价作为第一次谈判报价）、资质审查、谈判过程、第二次谈判报价、最终评审等阶段，最终报价采取集中报价形式。</w:t>
      </w:r>
    </w:p>
    <w:p w14:paraId="71072FB5">
      <w:pPr>
        <w:spacing w:line="360" w:lineRule="auto"/>
        <w:ind w:firstLine="480"/>
        <w:rPr>
          <w:rFonts w:asciiTheme="majorEastAsia" w:hAnsiTheme="majorEastAsia" w:eastAsiaTheme="majorEastAsia" w:cstheme="majorEastAsia"/>
          <w:kern w:val="1"/>
          <w:sz w:val="24"/>
        </w:rPr>
      </w:pPr>
      <w:r>
        <w:rPr>
          <w:rFonts w:hint="eastAsia" w:asciiTheme="majorEastAsia" w:hAnsiTheme="majorEastAsia" w:eastAsiaTheme="majorEastAsia" w:cstheme="majorEastAsia"/>
          <w:kern w:val="1"/>
          <w:sz w:val="24"/>
        </w:rPr>
        <w:t>通过资质审查合格的各投标人，只有在谈判响应文件（原参加公开招标的投标人的投标文件作为谈判响应文件）及谈判承诺符合谈判文件要求和满足技术、商务需要的才有最终报价和评审的机会。谈判小组按其最终承诺和报价内容，推荐成交候选单位排序。</w:t>
      </w:r>
    </w:p>
    <w:p w14:paraId="2CF727A6">
      <w:pPr>
        <w:spacing w:line="360" w:lineRule="auto"/>
        <w:ind w:firstLine="480"/>
        <w:rPr>
          <w:rFonts w:asciiTheme="majorEastAsia" w:hAnsiTheme="majorEastAsia" w:eastAsiaTheme="majorEastAsia" w:cstheme="majorEastAsia"/>
          <w:kern w:val="1"/>
          <w:sz w:val="24"/>
        </w:rPr>
      </w:pPr>
      <w:r>
        <w:rPr>
          <w:rFonts w:hint="eastAsia" w:asciiTheme="majorEastAsia" w:hAnsiTheme="majorEastAsia" w:eastAsiaTheme="majorEastAsia" w:cstheme="majorEastAsia"/>
          <w:kern w:val="1"/>
          <w:sz w:val="24"/>
        </w:rPr>
        <w:t>（1）第一次报价：原参加公开招标的投标人的投标报价作为第一次谈判报价。</w:t>
      </w:r>
    </w:p>
    <w:p w14:paraId="6C33740E">
      <w:pPr>
        <w:spacing w:line="360" w:lineRule="auto"/>
        <w:ind w:firstLine="480"/>
        <w:rPr>
          <w:rFonts w:asciiTheme="majorEastAsia" w:hAnsiTheme="majorEastAsia" w:eastAsiaTheme="majorEastAsia" w:cstheme="majorEastAsia"/>
          <w:kern w:val="1"/>
          <w:sz w:val="24"/>
        </w:rPr>
      </w:pPr>
      <w:r>
        <w:rPr>
          <w:rFonts w:hint="eastAsia" w:asciiTheme="majorEastAsia" w:hAnsiTheme="majorEastAsia" w:eastAsiaTheme="majorEastAsia" w:cstheme="majorEastAsia"/>
          <w:kern w:val="1"/>
          <w:sz w:val="24"/>
        </w:rPr>
        <w:t>（2）符合性评审：主要对各投标人资格以及谈判响应文件进行商务和技术符合性的审定。</w:t>
      </w:r>
    </w:p>
    <w:p w14:paraId="69761E14">
      <w:pPr>
        <w:spacing w:line="360" w:lineRule="auto"/>
        <w:ind w:firstLine="480"/>
        <w:rPr>
          <w:rFonts w:asciiTheme="majorEastAsia" w:hAnsiTheme="majorEastAsia" w:eastAsiaTheme="majorEastAsia" w:cstheme="majorEastAsia"/>
          <w:kern w:val="1"/>
          <w:sz w:val="24"/>
        </w:rPr>
      </w:pPr>
      <w:r>
        <w:rPr>
          <w:rFonts w:hint="eastAsia" w:asciiTheme="majorEastAsia" w:hAnsiTheme="majorEastAsia" w:eastAsiaTheme="majorEastAsia" w:cstheme="majorEastAsia"/>
          <w:kern w:val="1"/>
          <w:sz w:val="24"/>
        </w:rPr>
        <w:t>（3）</w:t>
      </w:r>
      <w:r>
        <w:rPr>
          <w:rFonts w:hint="eastAsia" w:asciiTheme="majorEastAsia" w:hAnsiTheme="majorEastAsia" w:eastAsiaTheme="majorEastAsia" w:cstheme="majorEastAsia"/>
          <w:bCs/>
          <w:kern w:val="1"/>
          <w:sz w:val="24"/>
        </w:rPr>
        <w:t>谈判过程</w:t>
      </w:r>
      <w:r>
        <w:rPr>
          <w:rFonts w:hint="eastAsia" w:asciiTheme="majorEastAsia" w:hAnsiTheme="majorEastAsia" w:eastAsiaTheme="majorEastAsia" w:cstheme="majorEastAsia"/>
          <w:kern w:val="1"/>
          <w:sz w:val="24"/>
        </w:rPr>
        <w:t>：谈判小组应在符合性评审的基础上对各投标人的谈判响应文件认真阅读，并对采购内容等有关要求进行谈判。</w:t>
      </w:r>
    </w:p>
    <w:p w14:paraId="7CA5C699">
      <w:pPr>
        <w:spacing w:line="360" w:lineRule="auto"/>
        <w:ind w:firstLine="480"/>
        <w:rPr>
          <w:rFonts w:asciiTheme="majorEastAsia" w:hAnsiTheme="majorEastAsia" w:eastAsiaTheme="majorEastAsia" w:cstheme="majorEastAsia"/>
          <w:kern w:val="1"/>
          <w:sz w:val="24"/>
        </w:rPr>
      </w:pPr>
      <w:r>
        <w:rPr>
          <w:rFonts w:hint="eastAsia" w:asciiTheme="majorEastAsia" w:hAnsiTheme="majorEastAsia" w:eastAsiaTheme="majorEastAsia" w:cstheme="majorEastAsia"/>
          <w:kern w:val="1"/>
          <w:sz w:val="24"/>
        </w:rPr>
        <w:t>① 谈判方案（原投标方案）</w:t>
      </w:r>
    </w:p>
    <w:p w14:paraId="1505716A">
      <w:pPr>
        <w:spacing w:line="360" w:lineRule="auto"/>
        <w:ind w:firstLine="480"/>
        <w:rPr>
          <w:rFonts w:asciiTheme="majorEastAsia" w:hAnsiTheme="majorEastAsia" w:eastAsiaTheme="majorEastAsia" w:cstheme="majorEastAsia"/>
          <w:kern w:val="1"/>
          <w:sz w:val="24"/>
        </w:rPr>
      </w:pPr>
      <w:r>
        <w:rPr>
          <w:rFonts w:hint="eastAsia" w:asciiTheme="majorEastAsia" w:hAnsiTheme="majorEastAsia" w:eastAsiaTheme="majorEastAsia" w:cstheme="majorEastAsia"/>
          <w:kern w:val="1"/>
          <w:sz w:val="24"/>
        </w:rPr>
        <w:t>② 售后服务措施</w:t>
      </w:r>
    </w:p>
    <w:p w14:paraId="376DB987">
      <w:pPr>
        <w:spacing w:line="360" w:lineRule="auto"/>
        <w:ind w:firstLine="480"/>
        <w:rPr>
          <w:rFonts w:asciiTheme="majorEastAsia" w:hAnsiTheme="majorEastAsia" w:eastAsiaTheme="majorEastAsia" w:cstheme="majorEastAsia"/>
          <w:kern w:val="1"/>
          <w:sz w:val="24"/>
        </w:rPr>
      </w:pPr>
      <w:r>
        <w:rPr>
          <w:rFonts w:hint="eastAsia" w:asciiTheme="majorEastAsia" w:hAnsiTheme="majorEastAsia" w:eastAsiaTheme="majorEastAsia" w:cstheme="majorEastAsia"/>
          <w:kern w:val="1"/>
          <w:sz w:val="24"/>
        </w:rPr>
        <w:t>③ 综合评定，推荐候选成交单位。</w:t>
      </w:r>
    </w:p>
    <w:p w14:paraId="6963979A">
      <w:pPr>
        <w:spacing w:line="360" w:lineRule="auto"/>
        <w:ind w:firstLine="480"/>
        <w:rPr>
          <w:rFonts w:asciiTheme="majorEastAsia" w:hAnsiTheme="majorEastAsia" w:eastAsiaTheme="majorEastAsia" w:cstheme="majorEastAsia"/>
          <w:kern w:val="1"/>
          <w:sz w:val="24"/>
        </w:rPr>
      </w:pPr>
      <w:r>
        <w:rPr>
          <w:rFonts w:hint="eastAsia" w:asciiTheme="majorEastAsia" w:hAnsiTheme="majorEastAsia" w:eastAsiaTheme="majorEastAsia" w:cstheme="majorEastAsia"/>
          <w:kern w:val="1"/>
          <w:sz w:val="24"/>
        </w:rPr>
        <w:t>④ 谈判澄清：采购代理机构有权就谈判响应文件中有疑义之处或前后表述不一致的问题，向投标人提出询问或澄清。投标人必须在谈判文件规定的时间内派技术和商务人员进行澄清，有关澄清的内容应以书面形式（包括电传、传真）提交，并由投标人法定代表人或被授权人签名确认。</w:t>
      </w:r>
    </w:p>
    <w:p w14:paraId="76BD5507">
      <w:pPr>
        <w:spacing w:line="360" w:lineRule="auto"/>
        <w:ind w:firstLine="480"/>
        <w:rPr>
          <w:rFonts w:asciiTheme="majorEastAsia" w:hAnsiTheme="majorEastAsia" w:eastAsiaTheme="majorEastAsia" w:cstheme="majorEastAsia"/>
          <w:kern w:val="1"/>
          <w:sz w:val="24"/>
        </w:rPr>
      </w:pPr>
      <w:r>
        <w:rPr>
          <w:rFonts w:hint="eastAsia" w:asciiTheme="majorEastAsia" w:hAnsiTheme="majorEastAsia" w:eastAsiaTheme="majorEastAsia" w:cstheme="majorEastAsia"/>
          <w:kern w:val="1"/>
          <w:sz w:val="24"/>
        </w:rPr>
        <w:t>（4）第二次谈判报价</w:t>
      </w:r>
    </w:p>
    <w:p w14:paraId="57F5238A">
      <w:pPr>
        <w:spacing w:line="360" w:lineRule="auto"/>
        <w:ind w:firstLine="480"/>
        <w:rPr>
          <w:rFonts w:asciiTheme="majorEastAsia" w:hAnsiTheme="majorEastAsia" w:eastAsiaTheme="majorEastAsia" w:cstheme="majorEastAsia"/>
          <w:kern w:val="1"/>
          <w:sz w:val="24"/>
        </w:rPr>
      </w:pPr>
      <w:r>
        <w:rPr>
          <w:rFonts w:hint="eastAsia" w:asciiTheme="majorEastAsia" w:hAnsiTheme="majorEastAsia" w:eastAsiaTheme="majorEastAsia" w:cstheme="majorEastAsia"/>
          <w:kern w:val="1"/>
          <w:sz w:val="24"/>
        </w:rPr>
        <w:t>通过资质审查合格，投标人的谈判响应文件及谈判承诺符合谈判文件要求和满足技术、商务需要的，在规定的时间内报出第二次谈判报价。</w:t>
      </w:r>
    </w:p>
    <w:p w14:paraId="57FDC565">
      <w:pPr>
        <w:spacing w:line="360" w:lineRule="auto"/>
        <w:ind w:firstLine="480"/>
        <w:rPr>
          <w:rFonts w:asciiTheme="majorEastAsia" w:hAnsiTheme="majorEastAsia" w:eastAsiaTheme="majorEastAsia" w:cstheme="majorEastAsia"/>
          <w:kern w:val="1"/>
          <w:sz w:val="24"/>
        </w:rPr>
      </w:pPr>
      <w:r>
        <w:rPr>
          <w:rFonts w:hint="eastAsia" w:asciiTheme="majorEastAsia" w:hAnsiTheme="majorEastAsia" w:eastAsiaTheme="majorEastAsia" w:cstheme="majorEastAsia"/>
          <w:kern w:val="1"/>
          <w:sz w:val="24"/>
        </w:rPr>
        <w:t>（5）最终评审</w:t>
      </w:r>
    </w:p>
    <w:p w14:paraId="5863B40C">
      <w:pPr>
        <w:spacing w:line="360" w:lineRule="auto"/>
        <w:ind w:firstLine="480"/>
        <w:rPr>
          <w:rFonts w:asciiTheme="majorEastAsia" w:hAnsiTheme="majorEastAsia" w:eastAsiaTheme="majorEastAsia" w:cstheme="majorEastAsia"/>
          <w:kern w:val="1"/>
          <w:sz w:val="24"/>
        </w:rPr>
      </w:pPr>
      <w:r>
        <w:rPr>
          <w:rFonts w:hint="eastAsia" w:asciiTheme="majorEastAsia" w:hAnsiTheme="majorEastAsia" w:eastAsiaTheme="majorEastAsia" w:cstheme="majorEastAsia"/>
          <w:kern w:val="1"/>
          <w:sz w:val="24"/>
        </w:rPr>
        <w:t>谈判小组根据符合采购需求、质量和服务，以综合评审有效报价（第二次谈判报价）最低者推荐为成交第一候选人，其次低价者第二候选人，以此类推。若成交候选人的报价相同时，谈判小组将分别依次序以：技术方案、商务响应的优劣的原则，确定成交候选人排序。</w:t>
      </w:r>
    </w:p>
    <w:p w14:paraId="5FA79E74">
      <w:pPr>
        <w:spacing w:line="360" w:lineRule="auto"/>
        <w:ind w:firstLine="480" w:firstLineChars="200"/>
        <w:rPr>
          <w:rFonts w:asciiTheme="majorEastAsia" w:hAnsiTheme="majorEastAsia" w:eastAsiaTheme="majorEastAsia" w:cstheme="majorEastAsia"/>
          <w:kern w:val="1"/>
          <w:sz w:val="24"/>
        </w:rPr>
      </w:pPr>
      <w:r>
        <w:rPr>
          <w:rFonts w:hint="eastAsia" w:asciiTheme="majorEastAsia" w:hAnsiTheme="majorEastAsia" w:eastAsiaTheme="majorEastAsia" w:cstheme="majorEastAsia"/>
          <w:kern w:val="1"/>
          <w:sz w:val="24"/>
        </w:rPr>
        <w:t>29.3 谈判小组根据</w:t>
      </w:r>
      <w:r>
        <w:rPr>
          <w:rFonts w:hint="eastAsia" w:asciiTheme="majorEastAsia" w:hAnsiTheme="majorEastAsia" w:eastAsiaTheme="majorEastAsia" w:cstheme="majorEastAsia"/>
          <w:sz w:val="24"/>
        </w:rPr>
        <w:t>原始谈判记录和谈判结果编写</w:t>
      </w:r>
      <w:r>
        <w:rPr>
          <w:rFonts w:hint="eastAsia" w:asciiTheme="majorEastAsia" w:hAnsiTheme="majorEastAsia" w:eastAsiaTheme="majorEastAsia" w:cstheme="majorEastAsia"/>
          <w:kern w:val="1"/>
          <w:sz w:val="24"/>
        </w:rPr>
        <w:t>谈判</w:t>
      </w:r>
      <w:r>
        <w:rPr>
          <w:rFonts w:hint="eastAsia" w:asciiTheme="majorEastAsia" w:hAnsiTheme="majorEastAsia" w:eastAsiaTheme="majorEastAsia" w:cstheme="majorEastAsia"/>
          <w:sz w:val="24"/>
        </w:rPr>
        <w:t>结果</w:t>
      </w:r>
      <w:r>
        <w:rPr>
          <w:rFonts w:hint="eastAsia" w:asciiTheme="majorEastAsia" w:hAnsiTheme="majorEastAsia" w:eastAsiaTheme="majorEastAsia" w:cstheme="majorEastAsia"/>
          <w:kern w:val="1"/>
          <w:sz w:val="24"/>
        </w:rPr>
        <w:t>报告，报采购人。</w:t>
      </w:r>
    </w:p>
    <w:p w14:paraId="74854498">
      <w:pPr>
        <w:spacing w:beforeLines="50" w:afterLines="50"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b/>
          <w:sz w:val="24"/>
        </w:rPr>
        <w:t>七、质疑与投诉</w:t>
      </w:r>
    </w:p>
    <w:p w14:paraId="66D146A3">
      <w:pPr>
        <w:spacing w:line="360" w:lineRule="auto"/>
        <w:ind w:firstLine="472" w:firstLineChars="196"/>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30、质疑及投诉</w:t>
      </w:r>
    </w:p>
    <w:p w14:paraId="719EF613">
      <w:pPr>
        <w:spacing w:line="360" w:lineRule="auto"/>
        <w:ind w:firstLine="472" w:firstLineChars="196"/>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30.1 质疑</w:t>
      </w:r>
    </w:p>
    <w:p w14:paraId="05A64ED9">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供应商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w:t>
      </w:r>
    </w:p>
    <w:p w14:paraId="3464522E">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（2）提出质疑的供应商应当是参与本项目采购活动的供应商。</w:t>
      </w:r>
    </w:p>
    <w:p w14:paraId="2ADDD046">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（3）潜在供应商已依法获取其可质疑的采购文件的，可以对该文件提出质疑。对采购文件提出质疑的，应当在获取采购文件或者采购文件公告期限届满之日起7个工作日内一次性提出。</w:t>
      </w:r>
    </w:p>
    <w:p w14:paraId="68B741DE">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（4）供应商提出质疑应当提交质疑函和必要的证明材料，质疑函应包括下列内容：</w:t>
      </w:r>
    </w:p>
    <w:p w14:paraId="2FBADCF9">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① 供应商的姓名或者名称、地址、邮编、联系人及联系电话；</w:t>
      </w:r>
    </w:p>
    <w:p w14:paraId="2BDB4015">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② 质疑项目的名称、编号；</w:t>
      </w:r>
    </w:p>
    <w:p w14:paraId="506E49AE">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③ 具体、明确的质疑事项和与质疑事项相关的请求；</w:t>
      </w:r>
    </w:p>
    <w:p w14:paraId="220524B1">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④ 事实依据；</w:t>
      </w:r>
    </w:p>
    <w:p w14:paraId="5D691116">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⑤ 必要的法律依据；</w:t>
      </w:r>
    </w:p>
    <w:p w14:paraId="318DFC75">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⑥ 提出质疑的日期。</w:t>
      </w:r>
    </w:p>
    <w:p w14:paraId="597E77EC">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（5）供应商为自然人的，应当由本人签字；供应商为法人或者其他组织的，应当由法定代表人、主要负责人，或者其授权代表签字或者盖章并加盖公章。</w:t>
      </w:r>
    </w:p>
    <w:p w14:paraId="23B5913B">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F9077CB">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（7）采购人负责投标人质疑答复。采购人委托采购代理机构采购的，采购代理机构在委托授权范围内作出答复。</w:t>
      </w:r>
    </w:p>
    <w:p w14:paraId="42ADD96A">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（8）接收质疑函的方式和联系方式：</w:t>
      </w:r>
    </w:p>
    <w:p w14:paraId="592CFECA">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① 接收质疑函的方式：书面递交质疑函纸质版（当面递交）或PDF格式扫描件（发至电子邮箱）</w:t>
      </w:r>
    </w:p>
    <w:p w14:paraId="1A20A8ED">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② 联系方式</w:t>
      </w:r>
    </w:p>
    <w:p w14:paraId="4F3C0EEF">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采购代理机构：陕西华旭晟信项目管理有限责任公司</w:t>
      </w:r>
    </w:p>
    <w:p w14:paraId="67007C4E">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地    址：</w:t>
      </w:r>
      <w:r>
        <w:rPr>
          <w:rFonts w:hint="eastAsia" w:asciiTheme="majorEastAsia" w:hAnsiTheme="majorEastAsia" w:eastAsiaTheme="majorEastAsia" w:cstheme="majorEastAsia"/>
          <w:sz w:val="24"/>
          <w:lang w:eastAsia="zh-CN"/>
        </w:rPr>
        <w:t>榆林市榆林大道南段富源大厦602室</w:t>
      </w:r>
    </w:p>
    <w:p w14:paraId="058126A8">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联 系 人：刘女士</w:t>
      </w:r>
    </w:p>
    <w:p w14:paraId="18703E29">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联系方式：17709127880</w:t>
      </w:r>
    </w:p>
    <w:p w14:paraId="633700AC">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邮    箱：1023891841@qq.com  </w:t>
      </w:r>
    </w:p>
    <w:p w14:paraId="7453F641">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30.2 投诉</w:t>
      </w:r>
    </w:p>
    <w:p w14:paraId="50075D0B">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（1）质疑供应商对采购人、采购代理机构的答复不满意，或者采购人、采购代理机构未在规定时间内作出答复的，可以在答复期满后15个工作日内向同级财政部门提起投诉。</w:t>
      </w:r>
    </w:p>
    <w:p w14:paraId="573E6139">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（2）投诉人投诉时,应当提交投诉书和必要的证明材料，并按照被投诉采购人、采购代理机构（以下简称被投诉人）和与投诉事项有关的投标人数量提供投诉书的副本。投诉书应当包括下列内容：</w:t>
      </w:r>
    </w:p>
    <w:p w14:paraId="450B31E3">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① 投诉人和被投诉人的姓名或者名称、通讯地址、邮编、联系人及联系电话；</w:t>
      </w:r>
    </w:p>
    <w:p w14:paraId="0E5E0FF5">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② 质疑和质疑答复情况说明及相关证明材料；</w:t>
      </w:r>
    </w:p>
    <w:p w14:paraId="401A4317">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③ 具体、明确的投诉事项和与投诉事项相关的投诉请求；</w:t>
      </w:r>
    </w:p>
    <w:p w14:paraId="4536BC31">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④ 事实依据；</w:t>
      </w:r>
    </w:p>
    <w:p w14:paraId="219BC668">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⑤ 法律依据；</w:t>
      </w:r>
    </w:p>
    <w:p w14:paraId="7DD0D367">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⑥ 提起投诉的日期。</w:t>
      </w:r>
    </w:p>
    <w:p w14:paraId="49BC665E">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（3）投诉人为自然人的，应当由本人签字；投诉人为法人或者其他组织的，应当由法定代表人、主要负责人，或者其授权代表签字或者盖章，并加盖公章。</w:t>
      </w:r>
    </w:p>
    <w:p w14:paraId="6A017C00">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（4）投诉人提起投诉应当符合下列条件：</w:t>
      </w:r>
    </w:p>
    <w:p w14:paraId="6E492810">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① 提起投诉前已依法进行质疑；</w:t>
      </w:r>
    </w:p>
    <w:p w14:paraId="588A25C2">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② 投诉书内容符合《政府采购质疑和投诉办法》（财政部令第94号令）的规定；</w:t>
      </w:r>
    </w:p>
    <w:p w14:paraId="6ED01443">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③ 在投诉有效期限内提起投诉；</w:t>
      </w:r>
    </w:p>
    <w:p w14:paraId="6D27C4CD">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④ 同一投诉事项未经财政部门投诉处理；</w:t>
      </w:r>
    </w:p>
    <w:p w14:paraId="69578D76">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⑤ 财政部规定的其他条件。</w:t>
      </w:r>
    </w:p>
    <w:p w14:paraId="3035B7FC">
      <w:pPr>
        <w:spacing w:line="360" w:lineRule="auto"/>
        <w:ind w:firstLine="480"/>
        <w:rPr>
          <w:rFonts w:asciiTheme="majorEastAsia" w:hAnsiTheme="majorEastAsia" w:eastAsiaTheme="majorEastAsia" w:cstheme="majorEastAsia"/>
          <w:b/>
          <w:bCs/>
          <w:sz w:val="24"/>
          <w:lang w:val="zh-CN"/>
        </w:rPr>
        <w:sectPr>
          <w:pgSz w:w="11900" w:h="16838"/>
          <w:pgMar w:top="1429" w:right="1417" w:bottom="1417" w:left="1417" w:header="850" w:footer="850" w:gutter="0"/>
          <w:cols w:space="720" w:num="1"/>
          <w:docGrid w:linePitch="326" w:charSpace="0"/>
        </w:sectPr>
      </w:pPr>
      <w:r>
        <w:rPr>
          <w:rFonts w:hint="eastAsia" w:asciiTheme="majorEastAsia" w:hAnsiTheme="majorEastAsia" w:eastAsiaTheme="majorEastAsia" w:cstheme="majorEastAsia"/>
          <w:sz w:val="24"/>
        </w:rPr>
        <w:t>（5）供应商投诉的事项不得超出已质疑事项的范围，但基于质疑答复内容提出的投诉事项除外。</w:t>
      </w:r>
      <w:bookmarkEnd w:id="22"/>
      <w:bookmarkEnd w:id="23"/>
    </w:p>
    <w:p w14:paraId="50AE6155">
      <w:pPr>
        <w:pStyle w:val="10"/>
        <w:jc w:val="center"/>
        <w:outlineLvl w:val="0"/>
        <w:rPr>
          <w:rFonts w:hint="eastAsia" w:asciiTheme="majorEastAsia" w:hAnsiTheme="majorEastAsia" w:eastAsiaTheme="majorEastAsia" w:cstheme="majorEastAsia"/>
          <w:b/>
          <w:bCs/>
          <w:kern w:val="2"/>
          <w:sz w:val="36"/>
          <w:szCs w:val="36"/>
        </w:rPr>
      </w:pPr>
      <w:bookmarkStart w:id="136" w:name="_Toc6243"/>
      <w:r>
        <w:rPr>
          <w:rFonts w:hint="eastAsia" w:asciiTheme="majorEastAsia" w:hAnsiTheme="majorEastAsia" w:eastAsiaTheme="majorEastAsia" w:cstheme="majorEastAsia"/>
          <w:b/>
          <w:bCs/>
          <w:sz w:val="36"/>
          <w:szCs w:val="36"/>
        </w:rPr>
        <w:t xml:space="preserve">第四章  </w:t>
      </w:r>
      <w:r>
        <w:rPr>
          <w:rFonts w:hint="eastAsia" w:asciiTheme="majorEastAsia" w:hAnsiTheme="majorEastAsia" w:eastAsiaTheme="majorEastAsia" w:cstheme="majorEastAsia"/>
          <w:b/>
          <w:bCs/>
          <w:kern w:val="2"/>
          <w:sz w:val="36"/>
          <w:szCs w:val="36"/>
        </w:rPr>
        <w:t>采购内容及技术要求</w:t>
      </w:r>
      <w:bookmarkEnd w:id="136"/>
    </w:p>
    <w:tbl>
      <w:tblPr>
        <w:tblStyle w:val="25"/>
        <w:tblW w:w="967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0"/>
        <w:gridCol w:w="1411"/>
        <w:gridCol w:w="5896"/>
        <w:gridCol w:w="696"/>
        <w:gridCol w:w="964"/>
      </w:tblGrid>
      <w:tr w14:paraId="440D2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9ED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bookmarkStart w:id="137" w:name="_Toc20973"/>
            <w:bookmarkStart w:id="138" w:name="_Toc21881"/>
            <w:r>
              <w:rPr>
                <w:rFonts w:hint="eastAsia" w:ascii="宋体" w:hAnsi="宋体" w:eastAsia="宋体" w:cs="宋体"/>
                <w:b w:val="0"/>
                <w:bCs w:val="0"/>
                <w:i w:val="0"/>
                <w:iCs w:val="0"/>
                <w:color w:val="000000"/>
                <w:kern w:val="0"/>
                <w:sz w:val="21"/>
                <w:szCs w:val="21"/>
                <w:u w:val="none"/>
                <w:lang w:val="en-US" w:eastAsia="zh-CN" w:bidi="ar"/>
              </w:rPr>
              <w:t>序号</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1EB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名称</w:t>
            </w:r>
          </w:p>
        </w:tc>
        <w:tc>
          <w:tcPr>
            <w:tcW w:w="5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883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技术规格</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093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单位</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454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数量</w:t>
            </w:r>
          </w:p>
        </w:tc>
      </w:tr>
      <w:tr w14:paraId="06A71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5" w:hRule="atLeast"/>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E79F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4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EA317">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半球型摄像机</w:t>
            </w:r>
          </w:p>
        </w:tc>
        <w:tc>
          <w:tcPr>
            <w:tcW w:w="5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558E1">
            <w:pPr>
              <w:keepNext w:val="0"/>
              <w:keepLines w:val="0"/>
              <w:widowControl/>
              <w:suppressLineNumbers w:val="0"/>
              <w:spacing w:after="240" w:afterAutospacing="0" w:line="36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最大图像尺寸：≥2560 × 1440</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主码流帧率分辨率：≥50 Hz：25 fps（2560 × 1440 , 1920 × 1080，1280 × 720）</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子码流帧率分辨率：≥50 Hz：25 fps（1280 × 720，640 × 480，640 × 360）</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视频压缩标准：主码流：H.265/H.264，支持超级智能编码 子码流：H.265/H.264</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视频压缩码率：≥32 Kbps~8 Mbps</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启动及工作温湿度：-30 °C~60 °C，通用功能：心跳，密码保护，水印技术，IP地址过滤，像素计算器                                                                                                             防护：≥IP66</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恢复出厂设置：支持客户端或浏览器恢复</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电源接口类型：Ø5.5 mm圆口</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2F43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B6CD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35 </w:t>
            </w:r>
          </w:p>
        </w:tc>
      </w:tr>
      <w:tr w14:paraId="24348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2" w:hRule="atLeast"/>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AAE8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4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F0EE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筒型摄像机</w:t>
            </w:r>
          </w:p>
        </w:tc>
        <w:tc>
          <w:tcPr>
            <w:tcW w:w="5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EDD57">
            <w:pPr>
              <w:keepNext w:val="0"/>
              <w:keepLines w:val="0"/>
              <w:widowControl/>
              <w:suppressLineNumbers w:val="0"/>
              <w:spacing w:after="240" w:afterAutospacing="0" w:line="36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最大图像尺寸：≥2560 × 1440</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主码流帧率分辨率：≥50 Hz：25 fps（2560 × 1440 , 1920 × 1080，1280 × 720）</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子码流帧率分辨率：≥50 Hz：25 fps（1280 × 720，640 × 480，640 × 360）</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视频压缩标准：主码流：H.265/H.264，支持超级智能编码 子码流：H.265/H.264</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视频压缩码率：≥32 Kbps~8 Mbps</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防护：≥IP66</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启动和工作温湿度：-30 °C~60 °C</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电源接口类型：Ø5.5 mm圆口</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D0A0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3296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12 </w:t>
            </w:r>
          </w:p>
        </w:tc>
      </w:tr>
      <w:tr w14:paraId="09885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4" w:hRule="atLeast"/>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FFB5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14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6A3B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球型摄像机就</w:t>
            </w:r>
          </w:p>
        </w:tc>
        <w:tc>
          <w:tcPr>
            <w:tcW w:w="5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644D">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333333"/>
                <w:sz w:val="21"/>
                <w:szCs w:val="21"/>
                <w:u w:val="none"/>
              </w:rPr>
            </w:pPr>
            <w:r>
              <w:rPr>
                <w:rFonts w:hint="eastAsia" w:ascii="宋体" w:hAnsi="宋体" w:eastAsia="宋体" w:cs="宋体"/>
                <w:b w:val="0"/>
                <w:bCs w:val="0"/>
                <w:i w:val="0"/>
                <w:iCs w:val="0"/>
                <w:color w:val="333333"/>
                <w:kern w:val="0"/>
                <w:sz w:val="21"/>
                <w:szCs w:val="21"/>
                <w:u w:val="none"/>
                <w:lang w:val="en-US" w:eastAsia="zh-CN" w:bidi="ar"/>
              </w:rPr>
              <w:t>聚焦模式：半自动;自动;手动</w:t>
            </w:r>
            <w:r>
              <w:rPr>
                <w:rFonts w:hint="eastAsia" w:ascii="宋体" w:hAnsi="宋体" w:eastAsia="宋体" w:cs="宋体"/>
                <w:b w:val="0"/>
                <w:bCs w:val="0"/>
                <w:i w:val="0"/>
                <w:iCs w:val="0"/>
                <w:color w:val="333333"/>
                <w:kern w:val="0"/>
                <w:sz w:val="21"/>
                <w:szCs w:val="21"/>
                <w:u w:val="none"/>
                <w:lang w:val="en-US" w:eastAsia="zh-CN" w:bidi="ar"/>
              </w:rPr>
              <w:br w:type="textWrapping"/>
            </w:r>
            <w:r>
              <w:rPr>
                <w:rFonts w:hint="eastAsia" w:ascii="宋体" w:hAnsi="宋体" w:eastAsia="宋体" w:cs="宋体"/>
                <w:b w:val="0"/>
                <w:bCs w:val="0"/>
                <w:i w:val="0"/>
                <w:iCs w:val="0"/>
                <w:color w:val="333333"/>
                <w:kern w:val="0"/>
                <w:sz w:val="21"/>
                <w:szCs w:val="21"/>
                <w:u w:val="none"/>
                <w:lang w:val="en-US" w:eastAsia="zh-CN" w:bidi="ar"/>
              </w:rPr>
              <w:t>日夜转换模式：自动ICR彩转黑 ;电子彩转黑</w:t>
            </w:r>
            <w:r>
              <w:rPr>
                <w:rFonts w:hint="eastAsia" w:ascii="宋体" w:hAnsi="宋体" w:eastAsia="宋体" w:cs="宋体"/>
                <w:b w:val="0"/>
                <w:bCs w:val="0"/>
                <w:i w:val="0"/>
                <w:iCs w:val="0"/>
                <w:color w:val="333333"/>
                <w:kern w:val="0"/>
                <w:sz w:val="21"/>
                <w:szCs w:val="21"/>
                <w:u w:val="none"/>
                <w:lang w:val="en-US" w:eastAsia="zh-CN" w:bidi="ar"/>
              </w:rPr>
              <w:br w:type="textWrapping"/>
            </w:r>
            <w:r>
              <w:rPr>
                <w:rFonts w:hint="eastAsia" w:ascii="宋体" w:hAnsi="宋体" w:eastAsia="宋体" w:cs="宋体"/>
                <w:b w:val="0"/>
                <w:bCs w:val="0"/>
                <w:i w:val="0"/>
                <w:iCs w:val="0"/>
                <w:color w:val="333333"/>
                <w:kern w:val="0"/>
                <w:sz w:val="21"/>
                <w:szCs w:val="21"/>
                <w:u w:val="none"/>
                <w:lang w:val="en-US" w:eastAsia="zh-CN" w:bidi="ar"/>
              </w:rPr>
              <w:t>日夜转换方式：白天,夜晚,自动,定时切换</w:t>
            </w:r>
            <w:r>
              <w:rPr>
                <w:rFonts w:hint="eastAsia" w:ascii="宋体" w:hAnsi="宋体" w:eastAsia="宋体" w:cs="宋体"/>
                <w:b w:val="0"/>
                <w:bCs w:val="0"/>
                <w:i w:val="0"/>
                <w:iCs w:val="0"/>
                <w:color w:val="333333"/>
                <w:kern w:val="0"/>
                <w:sz w:val="21"/>
                <w:szCs w:val="21"/>
                <w:u w:val="none"/>
                <w:lang w:val="en-US" w:eastAsia="zh-CN" w:bidi="ar"/>
              </w:rPr>
              <w:br w:type="textWrapping"/>
            </w:r>
            <w:r>
              <w:rPr>
                <w:rFonts w:hint="eastAsia" w:ascii="宋体" w:hAnsi="宋体" w:eastAsia="宋体" w:cs="宋体"/>
                <w:b w:val="0"/>
                <w:bCs w:val="0"/>
                <w:i w:val="0"/>
                <w:iCs w:val="0"/>
                <w:color w:val="333333"/>
                <w:kern w:val="0"/>
                <w:sz w:val="21"/>
                <w:szCs w:val="21"/>
                <w:u w:val="none"/>
                <w:lang w:val="en-US" w:eastAsia="zh-CN" w:bidi="ar"/>
              </w:rPr>
              <w:t>数字变倍：≥16倍</w:t>
            </w:r>
            <w:r>
              <w:rPr>
                <w:rFonts w:hint="eastAsia" w:ascii="宋体" w:hAnsi="宋体" w:eastAsia="宋体" w:cs="宋体"/>
                <w:b w:val="0"/>
                <w:bCs w:val="0"/>
                <w:i w:val="0"/>
                <w:iCs w:val="0"/>
                <w:color w:val="333333"/>
                <w:kern w:val="0"/>
                <w:sz w:val="21"/>
                <w:szCs w:val="21"/>
                <w:u w:val="none"/>
                <w:lang w:val="en-US" w:eastAsia="zh-CN" w:bidi="ar"/>
              </w:rPr>
              <w:br w:type="textWrapping"/>
            </w:r>
            <w:r>
              <w:rPr>
                <w:rFonts w:hint="eastAsia" w:ascii="宋体" w:hAnsi="宋体" w:eastAsia="宋体" w:cs="宋体"/>
                <w:b w:val="0"/>
                <w:bCs w:val="0"/>
                <w:i w:val="0"/>
                <w:iCs w:val="0"/>
                <w:color w:val="333333"/>
                <w:kern w:val="0"/>
                <w:sz w:val="21"/>
                <w:szCs w:val="21"/>
                <w:u w:val="none"/>
                <w:lang w:val="en-US" w:eastAsia="zh-CN" w:bidi="ar"/>
              </w:rPr>
              <w:t>光学变倍：≥23倍</w:t>
            </w:r>
            <w:r>
              <w:rPr>
                <w:rFonts w:hint="eastAsia" w:ascii="宋体" w:hAnsi="宋体" w:eastAsia="宋体" w:cs="宋体"/>
                <w:b w:val="0"/>
                <w:bCs w:val="0"/>
                <w:i w:val="0"/>
                <w:iCs w:val="0"/>
                <w:color w:val="333333"/>
                <w:kern w:val="0"/>
                <w:sz w:val="21"/>
                <w:szCs w:val="21"/>
                <w:u w:val="none"/>
                <w:lang w:val="en-US" w:eastAsia="zh-CN" w:bidi="ar"/>
              </w:rPr>
              <w:br w:type="textWrapping"/>
            </w:r>
            <w:r>
              <w:rPr>
                <w:rFonts w:hint="eastAsia" w:ascii="宋体" w:hAnsi="宋体" w:eastAsia="宋体" w:cs="宋体"/>
                <w:b w:val="0"/>
                <w:bCs w:val="0"/>
                <w:i w:val="0"/>
                <w:iCs w:val="0"/>
                <w:color w:val="333333"/>
                <w:kern w:val="0"/>
                <w:sz w:val="21"/>
                <w:szCs w:val="21"/>
                <w:u w:val="none"/>
                <w:lang w:val="en-US" w:eastAsia="zh-CN" w:bidi="ar"/>
              </w:rPr>
              <w:t>隐私遮蔽：不规则四边形区域,≤24块,支持马赛克,支持多种颜色设置</w:t>
            </w:r>
            <w:r>
              <w:rPr>
                <w:rFonts w:hint="eastAsia" w:ascii="宋体" w:hAnsi="宋体" w:eastAsia="宋体" w:cs="宋体"/>
                <w:b w:val="0"/>
                <w:bCs w:val="0"/>
                <w:i w:val="0"/>
                <w:iCs w:val="0"/>
                <w:color w:val="333333"/>
                <w:kern w:val="0"/>
                <w:sz w:val="21"/>
                <w:szCs w:val="21"/>
                <w:u w:val="none"/>
                <w:lang w:val="en-US" w:eastAsia="zh-CN" w:bidi="ar"/>
              </w:rPr>
              <w:br w:type="textWrapping"/>
            </w:r>
            <w:r>
              <w:rPr>
                <w:rFonts w:hint="eastAsia" w:ascii="宋体" w:hAnsi="宋体" w:eastAsia="宋体" w:cs="宋体"/>
                <w:b w:val="0"/>
                <w:bCs w:val="0"/>
                <w:i w:val="0"/>
                <w:iCs w:val="0"/>
                <w:color w:val="333333"/>
                <w:kern w:val="0"/>
                <w:sz w:val="21"/>
                <w:szCs w:val="21"/>
                <w:u w:val="none"/>
                <w:lang w:val="en-US" w:eastAsia="zh-CN" w:bidi="ar"/>
              </w:rPr>
              <w:t>信噪比：52dB</w:t>
            </w:r>
            <w:r>
              <w:rPr>
                <w:rFonts w:hint="eastAsia" w:ascii="宋体" w:hAnsi="宋体" w:eastAsia="宋体" w:cs="宋体"/>
                <w:b w:val="0"/>
                <w:bCs w:val="0"/>
                <w:i w:val="0"/>
                <w:iCs w:val="0"/>
                <w:color w:val="333333"/>
                <w:kern w:val="0"/>
                <w:sz w:val="21"/>
                <w:szCs w:val="21"/>
                <w:u w:val="none"/>
                <w:lang w:val="en-US" w:eastAsia="zh-CN" w:bidi="ar"/>
              </w:rPr>
              <w:br w:type="textWrapping"/>
            </w:r>
            <w:r>
              <w:rPr>
                <w:rFonts w:hint="eastAsia" w:ascii="宋体" w:hAnsi="宋体" w:eastAsia="宋体" w:cs="宋体"/>
                <w:b w:val="0"/>
                <w:bCs w:val="0"/>
                <w:i w:val="0"/>
                <w:iCs w:val="0"/>
                <w:color w:val="333333"/>
                <w:kern w:val="0"/>
                <w:sz w:val="21"/>
                <w:szCs w:val="21"/>
                <w:u w:val="none"/>
                <w:lang w:val="en-US" w:eastAsia="zh-CN" w:bidi="ar"/>
              </w:rPr>
              <w:t>焦距：5.9 mm~135.7 mm，23倍光学变倍</w:t>
            </w:r>
            <w:r>
              <w:rPr>
                <w:rFonts w:hint="eastAsia" w:ascii="宋体" w:hAnsi="宋体" w:eastAsia="宋体" w:cs="宋体"/>
                <w:b w:val="0"/>
                <w:bCs w:val="0"/>
                <w:i w:val="0"/>
                <w:iCs w:val="0"/>
                <w:color w:val="333333"/>
                <w:kern w:val="0"/>
                <w:sz w:val="21"/>
                <w:szCs w:val="21"/>
                <w:u w:val="none"/>
                <w:lang w:val="en-US" w:eastAsia="zh-CN" w:bidi="ar"/>
              </w:rPr>
              <w:br w:type="textWrapping"/>
            </w:r>
            <w:r>
              <w:rPr>
                <w:rFonts w:hint="eastAsia" w:ascii="宋体" w:hAnsi="宋体" w:eastAsia="宋体" w:cs="宋体"/>
                <w:b w:val="0"/>
                <w:bCs w:val="0"/>
                <w:i w:val="0"/>
                <w:iCs w:val="0"/>
                <w:color w:val="333333"/>
                <w:kern w:val="0"/>
                <w:sz w:val="21"/>
                <w:szCs w:val="21"/>
                <w:u w:val="none"/>
                <w:lang w:val="en-US" w:eastAsia="zh-CN" w:bidi="ar"/>
              </w:rPr>
              <w:t>光学变倍速度：4.6s</w:t>
            </w:r>
            <w:r>
              <w:rPr>
                <w:rFonts w:hint="eastAsia" w:ascii="宋体" w:hAnsi="宋体" w:eastAsia="宋体" w:cs="宋体"/>
                <w:b w:val="0"/>
                <w:bCs w:val="0"/>
                <w:i w:val="0"/>
                <w:iCs w:val="0"/>
                <w:color w:val="333333"/>
                <w:kern w:val="0"/>
                <w:sz w:val="21"/>
                <w:szCs w:val="21"/>
                <w:u w:val="none"/>
                <w:lang w:val="en-US" w:eastAsia="zh-CN" w:bidi="ar"/>
              </w:rPr>
              <w:br w:type="textWrapping"/>
            </w:r>
            <w:r>
              <w:rPr>
                <w:rFonts w:hint="eastAsia" w:ascii="宋体" w:hAnsi="宋体" w:eastAsia="宋体" w:cs="宋体"/>
                <w:b w:val="0"/>
                <w:bCs w:val="0"/>
                <w:i w:val="0"/>
                <w:iCs w:val="0"/>
                <w:color w:val="333333"/>
                <w:kern w:val="0"/>
                <w:sz w:val="21"/>
                <w:szCs w:val="21"/>
                <w:u w:val="none"/>
                <w:lang w:val="en-US" w:eastAsia="zh-CN" w:bidi="ar"/>
              </w:rPr>
              <w:t>网络接口：RJ45网口;自适应10M/100M网络数据</w:t>
            </w:r>
            <w:r>
              <w:rPr>
                <w:rFonts w:hint="eastAsia" w:ascii="宋体" w:hAnsi="宋体" w:eastAsia="宋体" w:cs="宋体"/>
                <w:b w:val="0"/>
                <w:bCs w:val="0"/>
                <w:i w:val="0"/>
                <w:iCs w:val="0"/>
                <w:color w:val="333333"/>
                <w:kern w:val="0"/>
                <w:sz w:val="21"/>
                <w:szCs w:val="21"/>
                <w:u w:val="none"/>
                <w:lang w:val="en-US" w:eastAsia="zh-CN" w:bidi="ar"/>
              </w:rPr>
              <w:br w:type="textWrapping"/>
            </w:r>
            <w:r>
              <w:rPr>
                <w:rFonts w:hint="eastAsia" w:ascii="宋体" w:hAnsi="宋体" w:eastAsia="宋体" w:cs="宋体"/>
                <w:b w:val="0"/>
                <w:bCs w:val="0"/>
                <w:i w:val="0"/>
                <w:iCs w:val="0"/>
                <w:color w:val="333333"/>
                <w:kern w:val="0"/>
                <w:sz w:val="21"/>
                <w:szCs w:val="21"/>
                <w:u w:val="none"/>
                <w:lang w:val="en-US" w:eastAsia="zh-CN" w:bidi="ar"/>
              </w:rPr>
              <w:t>SD卡扩展：内置Micro SD卡插槽，支持Micro SD/Micro SDHC/Micro SDXC卡（最大支持512GB）</w:t>
            </w:r>
            <w:r>
              <w:rPr>
                <w:rFonts w:hint="eastAsia" w:ascii="宋体" w:hAnsi="宋体" w:eastAsia="宋体" w:cs="宋体"/>
                <w:b w:val="0"/>
                <w:bCs w:val="0"/>
                <w:i w:val="0"/>
                <w:iCs w:val="0"/>
                <w:color w:val="333333"/>
                <w:kern w:val="0"/>
                <w:sz w:val="21"/>
                <w:szCs w:val="21"/>
                <w:u w:val="none"/>
                <w:lang w:val="en-US" w:eastAsia="zh-CN" w:bidi="ar"/>
              </w:rPr>
              <w:br w:type="textWrapping"/>
            </w:r>
            <w:r>
              <w:rPr>
                <w:rFonts w:hint="eastAsia" w:ascii="宋体" w:hAnsi="宋体" w:eastAsia="宋体" w:cs="宋体"/>
                <w:b w:val="0"/>
                <w:bCs w:val="0"/>
                <w:i w:val="0"/>
                <w:iCs w:val="0"/>
                <w:color w:val="333333"/>
                <w:kern w:val="0"/>
                <w:sz w:val="21"/>
                <w:szCs w:val="21"/>
                <w:u w:val="none"/>
                <w:lang w:val="en-US" w:eastAsia="zh-CN" w:bidi="ar"/>
              </w:rPr>
              <w:t>音频输入：≥1路音频输入，音频峰值：2-2.4V[p-p]，输入阻抗：1 kΩ±10%</w:t>
            </w:r>
            <w:r>
              <w:rPr>
                <w:rFonts w:hint="eastAsia" w:ascii="宋体" w:hAnsi="宋体" w:eastAsia="宋体" w:cs="宋体"/>
                <w:b w:val="0"/>
                <w:bCs w:val="0"/>
                <w:i w:val="0"/>
                <w:iCs w:val="0"/>
                <w:color w:val="333333"/>
                <w:kern w:val="0"/>
                <w:sz w:val="21"/>
                <w:szCs w:val="21"/>
                <w:u w:val="none"/>
                <w:lang w:val="en-US" w:eastAsia="zh-CN" w:bidi="ar"/>
              </w:rPr>
              <w:br w:type="textWrapping"/>
            </w:r>
            <w:r>
              <w:rPr>
                <w:rFonts w:hint="eastAsia" w:ascii="宋体" w:hAnsi="宋体" w:eastAsia="宋体" w:cs="宋体"/>
                <w:b w:val="0"/>
                <w:bCs w:val="0"/>
                <w:i w:val="0"/>
                <w:iCs w:val="0"/>
                <w:color w:val="333333"/>
                <w:kern w:val="0"/>
                <w:sz w:val="21"/>
                <w:szCs w:val="21"/>
                <w:u w:val="none"/>
                <w:lang w:val="en-US" w:eastAsia="zh-CN" w:bidi="ar"/>
              </w:rPr>
              <w:t>音频输出：≥1路音频输出，线性电平，阻抗:600Ω</w:t>
            </w:r>
            <w:r>
              <w:rPr>
                <w:rFonts w:hint="eastAsia" w:ascii="宋体" w:hAnsi="宋体" w:eastAsia="宋体" w:cs="宋体"/>
                <w:b w:val="0"/>
                <w:bCs w:val="0"/>
                <w:i w:val="0"/>
                <w:iCs w:val="0"/>
                <w:color w:val="333333"/>
                <w:kern w:val="0"/>
                <w:sz w:val="21"/>
                <w:szCs w:val="21"/>
                <w:u w:val="none"/>
                <w:lang w:val="en-US" w:eastAsia="zh-CN" w:bidi="ar"/>
              </w:rPr>
              <w:br w:type="textWrapping"/>
            </w:r>
            <w:r>
              <w:rPr>
                <w:rFonts w:hint="eastAsia" w:ascii="宋体" w:hAnsi="宋体" w:eastAsia="宋体" w:cs="宋体"/>
                <w:b w:val="0"/>
                <w:bCs w:val="0"/>
                <w:i w:val="0"/>
                <w:iCs w:val="0"/>
                <w:color w:val="333333"/>
                <w:kern w:val="0"/>
                <w:sz w:val="21"/>
                <w:szCs w:val="21"/>
                <w:u w:val="none"/>
                <w:lang w:val="en-US" w:eastAsia="zh-CN" w:bidi="ar"/>
              </w:rPr>
              <w:t>补光灯类型：红外</w:t>
            </w:r>
            <w:r>
              <w:rPr>
                <w:rFonts w:hint="eastAsia" w:ascii="宋体" w:hAnsi="宋体" w:eastAsia="宋体" w:cs="宋体"/>
                <w:b w:val="0"/>
                <w:bCs w:val="0"/>
                <w:i w:val="0"/>
                <w:iCs w:val="0"/>
                <w:color w:val="333333"/>
                <w:kern w:val="0"/>
                <w:sz w:val="21"/>
                <w:szCs w:val="21"/>
                <w:u w:val="none"/>
                <w:lang w:val="en-US" w:eastAsia="zh-CN" w:bidi="ar"/>
              </w:rPr>
              <w:br w:type="textWrapping"/>
            </w:r>
            <w:r>
              <w:rPr>
                <w:rFonts w:hint="eastAsia" w:ascii="宋体" w:hAnsi="宋体" w:eastAsia="宋体" w:cs="宋体"/>
                <w:b w:val="0"/>
                <w:bCs w:val="0"/>
                <w:i w:val="0"/>
                <w:iCs w:val="0"/>
                <w:color w:val="333333"/>
                <w:kern w:val="0"/>
                <w:sz w:val="21"/>
                <w:szCs w:val="21"/>
                <w:u w:val="none"/>
                <w:lang w:val="en-US" w:eastAsia="zh-CN" w:bidi="ar"/>
              </w:rPr>
              <w:t>补光灯距离：红外：150 m</w:t>
            </w:r>
            <w:r>
              <w:rPr>
                <w:rFonts w:hint="eastAsia" w:ascii="宋体" w:hAnsi="宋体" w:eastAsia="宋体" w:cs="宋体"/>
                <w:b w:val="0"/>
                <w:bCs w:val="0"/>
                <w:i w:val="0"/>
                <w:iCs w:val="0"/>
                <w:color w:val="333333"/>
                <w:kern w:val="0"/>
                <w:sz w:val="21"/>
                <w:szCs w:val="21"/>
                <w:u w:val="none"/>
                <w:lang w:val="en-US" w:eastAsia="zh-CN" w:bidi="ar"/>
              </w:rPr>
              <w:br w:type="textWrapping"/>
            </w:r>
            <w:r>
              <w:rPr>
                <w:rFonts w:hint="eastAsia" w:ascii="宋体" w:hAnsi="宋体" w:eastAsia="宋体" w:cs="宋体"/>
                <w:b w:val="0"/>
                <w:bCs w:val="0"/>
                <w:i w:val="0"/>
                <w:iCs w:val="0"/>
                <w:color w:val="333333"/>
                <w:kern w:val="0"/>
                <w:sz w:val="21"/>
                <w:szCs w:val="21"/>
                <w:u w:val="none"/>
                <w:lang w:val="en-US" w:eastAsia="zh-CN" w:bidi="ar"/>
              </w:rPr>
              <w:t>防补光过曝：支持</w:t>
            </w:r>
            <w:r>
              <w:rPr>
                <w:rFonts w:hint="eastAsia" w:ascii="宋体" w:hAnsi="宋体" w:eastAsia="宋体" w:cs="宋体"/>
                <w:b w:val="0"/>
                <w:bCs w:val="0"/>
                <w:i w:val="0"/>
                <w:iCs w:val="0"/>
                <w:color w:val="333333"/>
                <w:kern w:val="0"/>
                <w:sz w:val="21"/>
                <w:szCs w:val="21"/>
                <w:u w:val="none"/>
                <w:lang w:val="en-US" w:eastAsia="zh-CN" w:bidi="ar"/>
              </w:rPr>
              <w:br w:type="textWrapping"/>
            </w:r>
            <w:r>
              <w:rPr>
                <w:rFonts w:hint="eastAsia" w:ascii="宋体" w:hAnsi="宋体" w:eastAsia="宋体" w:cs="宋体"/>
                <w:b w:val="0"/>
                <w:bCs w:val="0"/>
                <w:i w:val="0"/>
                <w:iCs w:val="0"/>
                <w:color w:val="333333"/>
                <w:kern w:val="0"/>
                <w:sz w:val="21"/>
                <w:szCs w:val="21"/>
                <w:u w:val="none"/>
                <w:lang w:val="en-US" w:eastAsia="zh-CN" w:bidi="ar"/>
              </w:rPr>
              <w:t>红外波长范围：850nm</w:t>
            </w:r>
            <w:r>
              <w:rPr>
                <w:rFonts w:hint="eastAsia" w:ascii="宋体" w:hAnsi="宋体" w:eastAsia="宋体" w:cs="宋体"/>
                <w:b w:val="0"/>
                <w:bCs w:val="0"/>
                <w:i w:val="0"/>
                <w:iCs w:val="0"/>
                <w:color w:val="333333"/>
                <w:kern w:val="0"/>
                <w:sz w:val="21"/>
                <w:szCs w:val="21"/>
                <w:u w:val="none"/>
                <w:lang w:val="en-US" w:eastAsia="zh-CN" w:bidi="ar"/>
              </w:rPr>
              <w:br w:type="textWrapping"/>
            </w:r>
            <w:r>
              <w:rPr>
                <w:rFonts w:hint="eastAsia" w:ascii="宋体" w:hAnsi="宋体" w:eastAsia="宋体" w:cs="宋体"/>
                <w:b w:val="0"/>
                <w:bCs w:val="0"/>
                <w:i w:val="0"/>
                <w:iCs w:val="0"/>
                <w:color w:val="333333"/>
                <w:kern w:val="0"/>
                <w:sz w:val="21"/>
                <w:szCs w:val="21"/>
                <w:u w:val="none"/>
                <w:lang w:val="en-US" w:eastAsia="zh-CN" w:bidi="ar"/>
              </w:rPr>
              <w:t>最大功耗：≤24 W（其中红外灯最大功耗：≤9W）</w:t>
            </w:r>
            <w:r>
              <w:rPr>
                <w:rFonts w:hint="eastAsia" w:ascii="宋体" w:hAnsi="宋体" w:eastAsia="宋体" w:cs="宋体"/>
                <w:b w:val="0"/>
                <w:bCs w:val="0"/>
                <w:i w:val="0"/>
                <w:iCs w:val="0"/>
                <w:color w:val="333333"/>
                <w:kern w:val="0"/>
                <w:sz w:val="21"/>
                <w:szCs w:val="21"/>
                <w:u w:val="none"/>
                <w:lang w:val="en-US" w:eastAsia="zh-CN" w:bidi="ar"/>
              </w:rPr>
              <w:br w:type="textWrapping"/>
            </w:r>
            <w:r>
              <w:rPr>
                <w:rFonts w:hint="eastAsia" w:ascii="宋体" w:hAnsi="宋体" w:eastAsia="宋体" w:cs="宋体"/>
                <w:b w:val="0"/>
                <w:bCs w:val="0"/>
                <w:i w:val="0"/>
                <w:iCs w:val="0"/>
                <w:color w:val="333333"/>
                <w:kern w:val="0"/>
                <w:sz w:val="21"/>
                <w:szCs w:val="21"/>
                <w:u w:val="none"/>
                <w:lang w:val="en-US" w:eastAsia="zh-CN" w:bidi="ar"/>
              </w:rPr>
              <w:t>工作温湿度：-30℃-65℃;湿度&lt;90%</w:t>
            </w:r>
            <w:r>
              <w:rPr>
                <w:rFonts w:hint="eastAsia" w:ascii="宋体" w:hAnsi="宋体" w:eastAsia="宋体" w:cs="宋体"/>
                <w:b w:val="0"/>
                <w:bCs w:val="0"/>
                <w:i w:val="0"/>
                <w:iCs w:val="0"/>
                <w:color w:val="333333"/>
                <w:kern w:val="0"/>
                <w:sz w:val="21"/>
                <w:szCs w:val="21"/>
                <w:u w:val="none"/>
                <w:lang w:val="en-US" w:eastAsia="zh-CN" w:bidi="ar"/>
              </w:rPr>
              <w:br w:type="textWrapping"/>
            </w:r>
            <w:r>
              <w:rPr>
                <w:rFonts w:hint="eastAsia" w:ascii="宋体" w:hAnsi="宋体" w:eastAsia="宋体" w:cs="宋体"/>
                <w:b w:val="0"/>
                <w:bCs w:val="0"/>
                <w:i w:val="0"/>
                <w:iCs w:val="0"/>
                <w:color w:val="333333"/>
                <w:kern w:val="0"/>
                <w:sz w:val="21"/>
                <w:szCs w:val="21"/>
                <w:u w:val="none"/>
                <w:lang w:val="en-US" w:eastAsia="zh-CN" w:bidi="ar"/>
              </w:rPr>
              <w:t>尺寸：Φ220×353.4mm</w:t>
            </w:r>
            <w:r>
              <w:rPr>
                <w:rFonts w:hint="eastAsia" w:ascii="宋体" w:hAnsi="宋体" w:eastAsia="宋体" w:cs="宋体"/>
                <w:b w:val="0"/>
                <w:bCs w:val="0"/>
                <w:i w:val="0"/>
                <w:iCs w:val="0"/>
                <w:color w:val="333333"/>
                <w:kern w:val="0"/>
                <w:sz w:val="21"/>
                <w:szCs w:val="21"/>
                <w:u w:val="none"/>
                <w:lang w:val="en-US" w:eastAsia="zh-CN" w:bidi="ar"/>
              </w:rPr>
              <w:br w:type="textWrapping"/>
            </w:r>
            <w:r>
              <w:rPr>
                <w:rFonts w:hint="eastAsia" w:ascii="宋体" w:hAnsi="宋体" w:eastAsia="宋体" w:cs="宋体"/>
                <w:b w:val="0"/>
                <w:bCs w:val="0"/>
                <w:i w:val="0"/>
                <w:iCs w:val="0"/>
                <w:color w:val="333333"/>
                <w:kern w:val="0"/>
                <w:sz w:val="21"/>
                <w:szCs w:val="21"/>
                <w:u w:val="none"/>
                <w:lang w:val="en-US" w:eastAsia="zh-CN" w:bidi="ar"/>
              </w:rPr>
              <w:t>防护：≥IP66，符合GB/T17626.2/3/4/5/6四级标准</w:t>
            </w:r>
            <w:r>
              <w:rPr>
                <w:rFonts w:hint="eastAsia" w:ascii="宋体" w:hAnsi="宋体" w:eastAsia="宋体" w:cs="宋体"/>
                <w:b w:val="0"/>
                <w:bCs w:val="0"/>
                <w:i w:val="0"/>
                <w:iCs w:val="0"/>
                <w:color w:val="333333"/>
                <w:kern w:val="0"/>
                <w:sz w:val="21"/>
                <w:szCs w:val="21"/>
                <w:u w:val="none"/>
                <w:lang w:val="en-US" w:eastAsia="zh-CN" w:bidi="ar"/>
              </w:rPr>
              <w:br w:type="textWrapping"/>
            </w:r>
            <w:r>
              <w:rPr>
                <w:rFonts w:hint="eastAsia" w:ascii="宋体" w:hAnsi="宋体" w:eastAsia="宋体" w:cs="宋体"/>
                <w:b w:val="0"/>
                <w:bCs w:val="0"/>
                <w:i w:val="0"/>
                <w:iCs w:val="0"/>
                <w:color w:val="333333"/>
                <w:kern w:val="0"/>
                <w:sz w:val="21"/>
                <w:szCs w:val="21"/>
                <w:u w:val="none"/>
                <w:lang w:val="en-US" w:eastAsia="zh-CN" w:bidi="ar"/>
              </w:rPr>
              <w:t>图像参数切换：支持</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A262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B7B9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12 </w:t>
            </w:r>
          </w:p>
        </w:tc>
      </w:tr>
      <w:tr w14:paraId="5BEFE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8" w:hRule="atLeast"/>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F3BB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4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0625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半球壁装支架</w:t>
            </w:r>
          </w:p>
        </w:tc>
        <w:tc>
          <w:tcPr>
            <w:tcW w:w="5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D6F2C">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Φ130 半球摄像机壁装支架</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材料 铝合金，尺寸：最大半径≥4.7cm，最小半径≥3.7cm</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35FF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3344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35 </w:t>
            </w:r>
          </w:p>
        </w:tc>
      </w:tr>
      <w:tr w14:paraId="28738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D0BA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4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E5C4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筒机支架</w:t>
            </w:r>
          </w:p>
        </w:tc>
        <w:tc>
          <w:tcPr>
            <w:tcW w:w="5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27B4E">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壁装支架</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适合枪型/筒型/一体型摄像机壁装</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材料 铝合金,尺寸：≥高度250mm*长度83mm*宽度*67mm</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4DF8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C955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12 </w:t>
            </w:r>
          </w:p>
        </w:tc>
      </w:tr>
      <w:tr w14:paraId="1EA4B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1857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E83F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球机支架</w:t>
            </w:r>
          </w:p>
        </w:tc>
        <w:tc>
          <w:tcPr>
            <w:tcW w:w="5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0842">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墙面长壁装支架,铝合金材质，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产品特性 适合室内外壁装，尺寸：≥高度305.5mm*长度182mm*宽度*97mm</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65B2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1FA5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12 </w:t>
            </w:r>
          </w:p>
        </w:tc>
      </w:tr>
      <w:tr w14:paraId="1F6DD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8" w:hRule="atLeast"/>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E862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189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储存服务器</w:t>
            </w:r>
          </w:p>
        </w:tc>
        <w:tc>
          <w:tcPr>
            <w:tcW w:w="5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F4551">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4U机架式网络存储设备，搭载≥64位多核处理器，1+1冗余电源、冗余风扇，实现≥7×24小时稳定运行</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【硬件规格】</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处理器：不少于1颗64位多核处理器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系统内存：≥8GB</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系统盘：1×M.2  ≥256G（内置）</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存储接口：SATA接口，支持硬盘热插拔，总容量达600TB</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网络接口：≥3个千兆数据网口，≥1个千兆管理口</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其他接口：不少于1×COM，2×USB2.0（前置），2×USB3.0（后置），1×VGA（后置），1×HDMI（后置）</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整机电源：≥550W，1+1冗余电源</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【产品性能】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视频性能：最大接入路数550（网络输入带宽1100Mbps）</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回放性能：最大支持回放路数55路</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59F5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065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1 </w:t>
            </w:r>
          </w:p>
        </w:tc>
      </w:tr>
      <w:tr w14:paraId="6F33A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0" w:hRule="atLeast"/>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FEAE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1F3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交换机</w:t>
            </w:r>
          </w:p>
        </w:tc>
        <w:tc>
          <w:tcPr>
            <w:tcW w:w="5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DC19E">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端口规格：≥24个千兆PoE电口，≥1个千兆电口，≥1个千兆光口</w:t>
            </w:r>
          </w:p>
          <w:p w14:paraId="7327DC5D">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交换方式：存储转发</w:t>
            </w:r>
          </w:p>
          <w:p w14:paraId="08279E58">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性能参数</w:t>
            </w:r>
          </w:p>
          <w:p w14:paraId="2F815925">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交换容量：≥52 Gbps</w:t>
            </w:r>
          </w:p>
          <w:p w14:paraId="034E09BF">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包转发率：38.69 Mpps</w:t>
            </w:r>
          </w:p>
          <w:p w14:paraId="7E4F705B">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MAC地址容量：≥8 K</w:t>
            </w:r>
          </w:p>
          <w:p w14:paraId="7A102946">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缓存：4.1 Mbits</w:t>
            </w:r>
          </w:p>
          <w:p w14:paraId="0D580975">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通用参数</w:t>
            </w:r>
          </w:p>
          <w:p w14:paraId="46E1786D">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尺寸（宽×高×深）：≥440mm×44mm×220.8mm</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5FD1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9CF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3 </w:t>
            </w:r>
          </w:p>
        </w:tc>
      </w:tr>
      <w:tr w14:paraId="569DD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7CC2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926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交换机</w:t>
            </w:r>
          </w:p>
        </w:tc>
        <w:tc>
          <w:tcPr>
            <w:tcW w:w="5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E6D6">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交换容量    ≥20Gbps  </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 xml:space="preserve">  包转发率    ≥14.9Mpps   </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 xml:space="preserve">  输入电压    AC：220V~50Hz 1.7A  </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 xml:space="preserve">  产品尺寸(L*W*H)≥ 175*127*43mm  </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 xml:space="preserve">  端口特性    通过硬件拨码开关控制，两种模式：标准共享：所有端口之间可以互相通信，可作为普通非网管PoE交换机使用VLAN隔离：1-4口相互隔离，且与5、6口互通；防止广播风暴  </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 xml:space="preserve">  整机功耗    整机功耗：≤100W；PoE输出≤90W  </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 xml:space="preserve">  使用环境    工作温度0℃～45℃, 工作湿度：10%～90%RH 不凝结存储温度-40℃～70℃, 存储湿度：5%～90%RH 不凝结 </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C69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32D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w:t>
            </w:r>
          </w:p>
        </w:tc>
      </w:tr>
      <w:tr w14:paraId="64F19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1" w:hRule="atLeast"/>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479B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C0C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交换机</w:t>
            </w:r>
          </w:p>
        </w:tc>
        <w:tc>
          <w:tcPr>
            <w:tcW w:w="5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0B78">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  交换容量    ≥12Gbps  </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 xml:space="preserve">  包转发率    ≥8.9Mpps   </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 xml:space="preserve">  PoE供电    1-4口兼容IEEE802.3af标准 PoE供电1 2 4 5 正，3 6 7 8 负  </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 xml:space="preserve">  输入电压    AC：220V~50Hz 0.7A  </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 xml:space="preserve">  产品尺寸(L*W*H)    ≥175*127*43mm  </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 xml:space="preserve">  端口特性    通过硬件拨码开关控制，两种模式：标准共享：所有端口之间可以互相通信，可作为普通非网管PoE交换机使用VLAN隔离：1-4口相互隔离，且与5、6口互通；防止广播风暴  </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 xml:space="preserve">  整机功耗    整机功耗：≤55W；PoE输出≤50W  </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 xml:space="preserve">  使用环境    工作温度 0℃～45℃, 工作湿度：10%～90%RH 不凝结存储温度-40℃～70℃, 存储湿度：5%～90%RH 不凝结</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ACF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FA0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21</w:t>
            </w:r>
          </w:p>
        </w:tc>
      </w:tr>
      <w:tr w14:paraId="00B8F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2" w:hRule="atLeast"/>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FFBF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2D0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操作台</w:t>
            </w:r>
          </w:p>
        </w:tc>
        <w:tc>
          <w:tcPr>
            <w:tcW w:w="5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1FDF">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材料及工艺 不低于SPCC优质冷扎钢板制作，产品尺寸：≥长度1710mm*宽度640*高度750mm，面板宽度≥900mm</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3ED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320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1 </w:t>
            </w:r>
          </w:p>
        </w:tc>
      </w:tr>
      <w:tr w14:paraId="53CD0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5" w:hRule="atLeast"/>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2CAB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53C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网络机柜</w:t>
            </w:r>
          </w:p>
        </w:tc>
        <w:tc>
          <w:tcPr>
            <w:tcW w:w="5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0B3F">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门及门锁 高密度六角网孔前后门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材料及工艺 不低于SPCC优质冷扎钢板制作；厚度：方孔条≥2.0mm，安装梁≥1.5mm，其它≥1.2mm</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表面处理：方孔条镀蓝锌；其余：脱脂、磷化、静电喷塑，高度≥1200mm，宽度≥600mm，深度≥600mm</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48B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70C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380CD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6" w:hRule="atLeast"/>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CB55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7B4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液晶拼接屏    </w:t>
            </w:r>
          </w:p>
        </w:tc>
        <w:tc>
          <w:tcPr>
            <w:tcW w:w="5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F0D5">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工业级整机，双边拼缝≤3.5mm，采用直下式LED背光源，显示单元亮度更加均匀，无边界暗影现象。工业级设计，支持≥7*24小时不间断使用。选用的LCD液晶显示单元具有丰富的接口，可接入不限于DVI，VGA，HDMI等各种信号源。支持RS232串口控制、按键控制、红外遥控等多种控制方式。背光类型  LED</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分辨率 ≥ 1920×1080亮度  ≥500cd/m2 静态对比度  ≥1400:1一体式尺寸(含边框)(mm)不小于 1213.5×684.3×89.9 双边拼缝  ≤3.5mm产品形态 一体机控制方式  按键控制，RS232串口控制，红外遥控 电压  AC90~264V(±5%),50/60Hz典型功耗 ≤ 150W待机功耗  ≤1W工作温度  0℃~50℃ 湿度  20%~90%输入： 不限于VGA*1、CVBS*1、DVI-D*1、HDMI*1、RS232(RJ45)*1、USB（升级和多媒体）、IR*1</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输出 RS232(RJ45)*1附件 合格证，保修卡，电源线</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C39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0D2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r>
      <w:tr w14:paraId="3CA8F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5" w:hRule="atLeast"/>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6010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7A5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落地机柜</w:t>
            </w:r>
          </w:p>
        </w:tc>
        <w:tc>
          <w:tcPr>
            <w:tcW w:w="5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6799">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1.拼接屏支架， 优质冷板，经折弯焊接加工而成，其它采用0.8~3mm冷板加工完成</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2.底柜采用板加工完成。</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2.整体由挂屏支架，底柜组成；整个支架两侧和顶板有封板，无后封板便</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于散热。</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3.底柜前门为活动门，可灵活拆装，便于维修。</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4.底柜带有可调节底脚螺栓，固定方式：底柜打膨胀螺栓或墙面打膨胀栓</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支撑杆固定，具体根据现场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5.喷漆颜色：黑色产品尺寸：长度≥6145MM，高度：≥2889mm，深度：≥600MM，底柜高度：≥800MM</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E59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32A0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68AB0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6" w:hRule="atLeast"/>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CB66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B0D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解码器</w:t>
            </w:r>
          </w:p>
        </w:tc>
        <w:tc>
          <w:tcPr>
            <w:tcW w:w="5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6A9E">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rPr>
            </w:pPr>
            <w:r>
              <w:rPr>
                <w:rStyle w:val="116"/>
                <w:rFonts w:hint="eastAsia" w:ascii="宋体" w:hAnsi="宋体" w:eastAsia="宋体" w:cs="宋体"/>
                <w:b w:val="0"/>
                <w:bCs w:val="0"/>
                <w:sz w:val="21"/>
                <w:szCs w:val="21"/>
                <w:lang w:val="en-US" w:eastAsia="zh-CN" w:bidi="ar"/>
              </w:rPr>
              <w:t>整机结构：设备采取模块化结构设计，一台机可根据需求由多模块装配而成；</w:t>
            </w:r>
            <w:r>
              <w:rPr>
                <w:rFonts w:hint="eastAsia" w:ascii="宋体" w:hAnsi="宋体" w:eastAsia="宋体" w:cs="宋体"/>
                <w:b w:val="0"/>
                <w:bCs w:val="0"/>
                <w:i w:val="0"/>
                <w:iCs w:val="0"/>
                <w:color w:val="000000"/>
                <w:kern w:val="0"/>
                <w:sz w:val="21"/>
                <w:szCs w:val="21"/>
                <w:u w:val="none"/>
                <w:lang w:val="en-US" w:eastAsia="zh-CN" w:bidi="ar"/>
              </w:rPr>
              <w:br w:type="textWrapping"/>
            </w:r>
            <w:r>
              <w:rPr>
                <w:rStyle w:val="116"/>
                <w:rFonts w:hint="eastAsia" w:ascii="宋体" w:hAnsi="宋体" w:eastAsia="宋体" w:cs="宋体"/>
                <w:b w:val="0"/>
                <w:bCs w:val="0"/>
                <w:sz w:val="21"/>
                <w:szCs w:val="21"/>
                <w:lang w:val="en-US" w:eastAsia="zh-CN" w:bidi="ar"/>
              </w:rPr>
              <w:t>单模块主板：单卡带≥</w:t>
            </w:r>
            <w:r>
              <w:rPr>
                <w:rFonts w:hint="eastAsia" w:ascii="宋体" w:hAnsi="宋体" w:eastAsia="宋体" w:cs="宋体"/>
                <w:b w:val="0"/>
                <w:bCs w:val="0"/>
                <w:i w:val="0"/>
                <w:iCs w:val="0"/>
                <w:color w:val="000000"/>
                <w:kern w:val="0"/>
                <w:sz w:val="21"/>
                <w:szCs w:val="21"/>
                <w:u w:val="none"/>
                <w:lang w:val="en-US" w:eastAsia="zh-CN" w:bidi="ar"/>
              </w:rPr>
              <w:t>1</w:t>
            </w:r>
            <w:r>
              <w:rPr>
                <w:rStyle w:val="116"/>
                <w:rFonts w:hint="eastAsia" w:ascii="宋体" w:hAnsi="宋体" w:eastAsia="宋体" w:cs="宋体"/>
                <w:b w:val="0"/>
                <w:bCs w:val="0"/>
                <w:sz w:val="21"/>
                <w:szCs w:val="21"/>
                <w:lang w:val="en-US" w:eastAsia="zh-CN" w:bidi="ar"/>
              </w:rPr>
              <w:t>路</w:t>
            </w:r>
            <w:r>
              <w:rPr>
                <w:rFonts w:hint="eastAsia" w:ascii="宋体" w:hAnsi="宋体" w:eastAsia="宋体" w:cs="宋体"/>
                <w:b w:val="0"/>
                <w:bCs w:val="0"/>
                <w:i w:val="0"/>
                <w:iCs w:val="0"/>
                <w:color w:val="000000"/>
                <w:kern w:val="0"/>
                <w:sz w:val="21"/>
                <w:szCs w:val="21"/>
                <w:u w:val="none"/>
                <w:lang w:val="en-US" w:eastAsia="zh-CN" w:bidi="ar"/>
              </w:rPr>
              <w:t>HDMI2.0</w:t>
            </w:r>
            <w:r>
              <w:rPr>
                <w:rStyle w:val="116"/>
                <w:rFonts w:hint="eastAsia" w:ascii="宋体" w:hAnsi="宋体" w:eastAsia="宋体" w:cs="宋体"/>
                <w:b w:val="0"/>
                <w:bCs w:val="0"/>
                <w:sz w:val="21"/>
                <w:szCs w:val="21"/>
                <w:lang w:val="en-US" w:eastAsia="zh-CN" w:bidi="ar"/>
              </w:rPr>
              <w:t>输出，向下兼容</w:t>
            </w:r>
            <w:r>
              <w:rPr>
                <w:rFonts w:hint="eastAsia" w:ascii="宋体" w:hAnsi="宋体" w:eastAsia="宋体" w:cs="宋体"/>
                <w:b w:val="0"/>
                <w:bCs w:val="0"/>
                <w:i w:val="0"/>
                <w:iCs w:val="0"/>
                <w:color w:val="000000"/>
                <w:kern w:val="0"/>
                <w:sz w:val="21"/>
                <w:szCs w:val="21"/>
                <w:u w:val="none"/>
                <w:lang w:val="en-US" w:eastAsia="zh-CN" w:bidi="ar"/>
              </w:rPr>
              <w:t>HDMI1.3</w:t>
            </w:r>
            <w:r>
              <w:rPr>
                <w:rStyle w:val="116"/>
                <w:rFonts w:hint="eastAsia" w:ascii="宋体" w:hAnsi="宋体" w:eastAsia="宋体" w:cs="宋体"/>
                <w:b w:val="0"/>
                <w:bCs w:val="0"/>
                <w:sz w:val="21"/>
                <w:szCs w:val="21"/>
                <w:lang w:val="en-US" w:eastAsia="zh-CN" w:bidi="ar"/>
              </w:rPr>
              <w:t>版本；</w:t>
            </w:r>
            <w:r>
              <w:rPr>
                <w:rFonts w:hint="eastAsia" w:ascii="宋体" w:hAnsi="宋体" w:eastAsia="宋体" w:cs="宋体"/>
                <w:b w:val="0"/>
                <w:bCs w:val="0"/>
                <w:i w:val="0"/>
                <w:iCs w:val="0"/>
                <w:color w:val="000000"/>
                <w:kern w:val="0"/>
                <w:sz w:val="21"/>
                <w:szCs w:val="21"/>
                <w:u w:val="none"/>
                <w:lang w:val="en-US" w:eastAsia="zh-CN" w:bidi="ar"/>
              </w:rPr>
              <w:br w:type="textWrapping"/>
            </w:r>
            <w:r>
              <w:rPr>
                <w:rStyle w:val="116"/>
                <w:rFonts w:hint="eastAsia" w:ascii="宋体" w:hAnsi="宋体" w:eastAsia="宋体" w:cs="宋体"/>
                <w:b w:val="0"/>
                <w:bCs w:val="0"/>
                <w:sz w:val="21"/>
                <w:szCs w:val="21"/>
                <w:lang w:val="en-US" w:eastAsia="zh-CN" w:bidi="ar"/>
              </w:rPr>
              <w:t>设备结构：采用多模块插卡设计，</w:t>
            </w:r>
            <w:r>
              <w:rPr>
                <w:rFonts w:hint="eastAsia" w:ascii="宋体" w:hAnsi="宋体" w:eastAsia="宋体" w:cs="宋体"/>
                <w:b w:val="0"/>
                <w:bCs w:val="0"/>
                <w:i w:val="0"/>
                <w:iCs w:val="0"/>
                <w:color w:val="000000"/>
                <w:kern w:val="0"/>
                <w:sz w:val="21"/>
                <w:szCs w:val="21"/>
                <w:u w:val="none"/>
                <w:lang w:val="en-US" w:eastAsia="zh-CN" w:bidi="ar"/>
              </w:rPr>
              <w:t>1U</w:t>
            </w:r>
            <w:r>
              <w:rPr>
                <w:rStyle w:val="116"/>
                <w:rFonts w:hint="eastAsia" w:ascii="宋体" w:hAnsi="宋体" w:eastAsia="宋体" w:cs="宋体"/>
                <w:b w:val="0"/>
                <w:bCs w:val="0"/>
                <w:sz w:val="21"/>
                <w:szCs w:val="21"/>
                <w:lang w:val="en-US" w:eastAsia="zh-CN" w:bidi="ar"/>
              </w:rPr>
              <w:t>标准机箱可装配</w:t>
            </w:r>
            <w:r>
              <w:rPr>
                <w:rFonts w:hint="eastAsia" w:ascii="宋体" w:hAnsi="宋体" w:eastAsia="宋体" w:cs="宋体"/>
                <w:b w:val="0"/>
                <w:bCs w:val="0"/>
                <w:i w:val="0"/>
                <w:iCs w:val="0"/>
                <w:color w:val="000000"/>
                <w:kern w:val="0"/>
                <w:sz w:val="21"/>
                <w:szCs w:val="21"/>
                <w:u w:val="none"/>
                <w:lang w:val="en-US" w:eastAsia="zh-CN" w:bidi="ar"/>
              </w:rPr>
              <w:t>4</w:t>
            </w:r>
            <w:r>
              <w:rPr>
                <w:rStyle w:val="116"/>
                <w:rFonts w:hint="eastAsia" w:ascii="宋体" w:hAnsi="宋体" w:eastAsia="宋体" w:cs="宋体"/>
                <w:b w:val="0"/>
                <w:bCs w:val="0"/>
                <w:sz w:val="21"/>
                <w:szCs w:val="21"/>
                <w:lang w:val="en-US" w:eastAsia="zh-CN" w:bidi="ar"/>
              </w:rPr>
              <w:t>个模块主板，</w:t>
            </w:r>
            <w:r>
              <w:rPr>
                <w:rFonts w:hint="eastAsia" w:ascii="宋体" w:hAnsi="宋体" w:eastAsia="宋体" w:cs="宋体"/>
                <w:b w:val="0"/>
                <w:bCs w:val="0"/>
                <w:i w:val="0"/>
                <w:iCs w:val="0"/>
                <w:color w:val="000000"/>
                <w:kern w:val="0"/>
                <w:sz w:val="21"/>
                <w:szCs w:val="21"/>
                <w:u w:val="none"/>
                <w:lang w:val="en-US" w:eastAsia="zh-CN" w:bidi="ar"/>
              </w:rPr>
              <w:t>5U</w:t>
            </w:r>
            <w:r>
              <w:rPr>
                <w:rStyle w:val="116"/>
                <w:rFonts w:hint="eastAsia" w:ascii="宋体" w:hAnsi="宋体" w:eastAsia="宋体" w:cs="宋体"/>
                <w:b w:val="0"/>
                <w:bCs w:val="0"/>
                <w:sz w:val="21"/>
                <w:szCs w:val="21"/>
                <w:lang w:val="en-US" w:eastAsia="zh-CN" w:bidi="ar"/>
              </w:rPr>
              <w:t>机箱最多可装配</w:t>
            </w:r>
            <w:r>
              <w:rPr>
                <w:rFonts w:hint="eastAsia" w:ascii="宋体" w:hAnsi="宋体" w:eastAsia="宋体" w:cs="宋体"/>
                <w:b w:val="0"/>
                <w:bCs w:val="0"/>
                <w:i w:val="0"/>
                <w:iCs w:val="0"/>
                <w:color w:val="000000"/>
                <w:kern w:val="0"/>
                <w:sz w:val="21"/>
                <w:szCs w:val="21"/>
                <w:u w:val="none"/>
                <w:lang w:val="en-US" w:eastAsia="zh-CN" w:bidi="ar"/>
              </w:rPr>
              <w:t>16</w:t>
            </w:r>
            <w:r>
              <w:rPr>
                <w:rStyle w:val="116"/>
                <w:rFonts w:hint="eastAsia" w:ascii="宋体" w:hAnsi="宋体" w:eastAsia="宋体" w:cs="宋体"/>
                <w:b w:val="0"/>
                <w:bCs w:val="0"/>
                <w:sz w:val="21"/>
                <w:szCs w:val="21"/>
                <w:lang w:val="en-US" w:eastAsia="zh-CN" w:bidi="ar"/>
              </w:rPr>
              <w:t>个模块主板，在有需求时，可定制</w:t>
            </w:r>
            <w:r>
              <w:rPr>
                <w:rFonts w:hint="eastAsia" w:ascii="宋体" w:hAnsi="宋体" w:eastAsia="宋体" w:cs="宋体"/>
                <w:b w:val="0"/>
                <w:bCs w:val="0"/>
                <w:i w:val="0"/>
                <w:iCs w:val="0"/>
                <w:color w:val="000000"/>
                <w:kern w:val="0"/>
                <w:sz w:val="21"/>
                <w:szCs w:val="21"/>
                <w:u w:val="none"/>
                <w:lang w:val="en-US" w:eastAsia="zh-CN" w:bidi="ar"/>
              </w:rPr>
              <w:t>10U</w:t>
            </w:r>
            <w:r>
              <w:rPr>
                <w:rStyle w:val="116"/>
                <w:rFonts w:hint="eastAsia" w:ascii="宋体" w:hAnsi="宋体" w:eastAsia="宋体" w:cs="宋体"/>
                <w:b w:val="0"/>
                <w:bCs w:val="0"/>
                <w:sz w:val="21"/>
                <w:szCs w:val="21"/>
                <w:lang w:val="en-US" w:eastAsia="zh-CN" w:bidi="ar"/>
              </w:rPr>
              <w:t>及更大机型，多机可级联，设备另配</w:t>
            </w:r>
            <w:r>
              <w:rPr>
                <w:rFonts w:hint="eastAsia" w:ascii="宋体" w:hAnsi="宋体" w:eastAsia="宋体" w:cs="宋体"/>
                <w:b w:val="0"/>
                <w:bCs w:val="0"/>
                <w:i w:val="0"/>
                <w:iCs w:val="0"/>
                <w:color w:val="000000"/>
                <w:kern w:val="0"/>
                <w:sz w:val="21"/>
                <w:szCs w:val="21"/>
                <w:u w:val="none"/>
                <w:lang w:val="en-US" w:eastAsia="zh-CN" w:bidi="ar"/>
              </w:rPr>
              <w:t>USB</w:t>
            </w:r>
            <w:r>
              <w:rPr>
                <w:rStyle w:val="116"/>
                <w:rFonts w:hint="eastAsia" w:ascii="宋体" w:hAnsi="宋体" w:eastAsia="宋体" w:cs="宋体"/>
                <w:b w:val="0"/>
                <w:bCs w:val="0"/>
                <w:sz w:val="21"/>
                <w:szCs w:val="21"/>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RS485</w:t>
            </w:r>
            <w:r>
              <w:rPr>
                <w:rStyle w:val="116"/>
                <w:rFonts w:hint="eastAsia" w:ascii="宋体" w:hAnsi="宋体" w:eastAsia="宋体" w:cs="宋体"/>
                <w:b w:val="0"/>
                <w:bCs w:val="0"/>
                <w:sz w:val="21"/>
                <w:szCs w:val="21"/>
                <w:lang w:val="en-US" w:eastAsia="zh-CN" w:bidi="ar"/>
              </w:rPr>
              <w:t>等标准接口。支持</w:t>
            </w:r>
            <w:r>
              <w:rPr>
                <w:rFonts w:hint="eastAsia" w:ascii="宋体" w:hAnsi="宋体" w:eastAsia="宋体" w:cs="宋体"/>
                <w:b w:val="0"/>
                <w:bCs w:val="0"/>
                <w:i w:val="0"/>
                <w:iCs w:val="0"/>
                <w:color w:val="000000"/>
                <w:kern w:val="0"/>
                <w:sz w:val="21"/>
                <w:szCs w:val="21"/>
                <w:u w:val="none"/>
                <w:lang w:val="en-US" w:eastAsia="zh-CN" w:bidi="ar"/>
              </w:rPr>
              <w:t>H.265 Main Profile Level5.1</w:t>
            </w:r>
            <w:r>
              <w:rPr>
                <w:rStyle w:val="116"/>
                <w:rFonts w:hint="eastAsia" w:ascii="宋体" w:hAnsi="宋体" w:eastAsia="宋体" w:cs="宋体"/>
                <w:b w:val="0"/>
                <w:bCs w:val="0"/>
                <w:sz w:val="21"/>
                <w:szCs w:val="21"/>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H.264 Baseline/Main/High Profile Level5.0</w:t>
            </w:r>
            <w:r>
              <w:rPr>
                <w:rStyle w:val="116"/>
                <w:rFonts w:hint="eastAsia" w:ascii="宋体" w:hAnsi="宋体" w:eastAsia="宋体" w:cs="宋体"/>
                <w:b w:val="0"/>
                <w:bCs w:val="0"/>
                <w:sz w:val="21"/>
                <w:szCs w:val="21"/>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MPEG4 SP L0~L3/ASP L0-L5</w:t>
            </w:r>
            <w:r>
              <w:rPr>
                <w:rStyle w:val="116"/>
                <w:rFonts w:hint="eastAsia" w:ascii="宋体" w:hAnsi="宋体" w:eastAsia="宋体" w:cs="宋体"/>
                <w:b w:val="0"/>
                <w:bCs w:val="0"/>
                <w:sz w:val="21"/>
                <w:szCs w:val="21"/>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MJPEG/JPEG Baseline</w:t>
            </w:r>
            <w:r>
              <w:rPr>
                <w:rStyle w:val="116"/>
                <w:rFonts w:hint="eastAsia" w:ascii="宋体" w:hAnsi="宋体" w:eastAsia="宋体" w:cs="宋体"/>
                <w:b w:val="0"/>
                <w:bCs w:val="0"/>
                <w:sz w:val="21"/>
                <w:szCs w:val="21"/>
                <w:lang w:val="en-US" w:eastAsia="zh-CN" w:bidi="ar"/>
              </w:rPr>
              <w:t>解码；</w:t>
            </w:r>
            <w:r>
              <w:rPr>
                <w:rFonts w:hint="eastAsia" w:ascii="宋体" w:hAnsi="宋体" w:eastAsia="宋体" w:cs="宋体"/>
                <w:b w:val="0"/>
                <w:bCs w:val="0"/>
                <w:i w:val="0"/>
                <w:iCs w:val="0"/>
                <w:color w:val="000000"/>
                <w:kern w:val="0"/>
                <w:sz w:val="21"/>
                <w:szCs w:val="21"/>
                <w:u w:val="none"/>
                <w:lang w:val="en-US" w:eastAsia="zh-CN" w:bidi="ar"/>
              </w:rPr>
              <w:br w:type="textWrapping"/>
            </w:r>
            <w:r>
              <w:rPr>
                <w:rStyle w:val="116"/>
                <w:rFonts w:hint="eastAsia" w:ascii="宋体" w:hAnsi="宋体" w:eastAsia="宋体" w:cs="宋体"/>
                <w:b w:val="0"/>
                <w:bCs w:val="0"/>
                <w:sz w:val="21"/>
                <w:szCs w:val="21"/>
                <w:lang w:val="en-US" w:eastAsia="zh-CN" w:bidi="ar"/>
              </w:rPr>
              <w:t>最大单口支持≥</w:t>
            </w:r>
            <w:r>
              <w:rPr>
                <w:rFonts w:hint="eastAsia" w:ascii="宋体" w:hAnsi="宋体" w:eastAsia="宋体" w:cs="宋体"/>
                <w:b w:val="0"/>
                <w:bCs w:val="0"/>
                <w:i w:val="0"/>
                <w:iCs w:val="0"/>
                <w:color w:val="000000"/>
                <w:kern w:val="0"/>
                <w:sz w:val="21"/>
                <w:szCs w:val="21"/>
                <w:u w:val="none"/>
                <w:lang w:val="en-US" w:eastAsia="zh-CN" w:bidi="ar"/>
              </w:rPr>
              <w:t>25</w:t>
            </w:r>
            <w:r>
              <w:rPr>
                <w:rStyle w:val="116"/>
                <w:rFonts w:hint="eastAsia" w:ascii="宋体" w:hAnsi="宋体" w:eastAsia="宋体" w:cs="宋体"/>
                <w:b w:val="0"/>
                <w:bCs w:val="0"/>
                <w:sz w:val="21"/>
                <w:szCs w:val="21"/>
                <w:lang w:val="en-US" w:eastAsia="zh-CN" w:bidi="ar"/>
              </w:rPr>
              <w:t>分割；</w:t>
            </w:r>
            <w:r>
              <w:rPr>
                <w:rFonts w:hint="eastAsia" w:ascii="宋体" w:hAnsi="宋体" w:eastAsia="宋体" w:cs="宋体"/>
                <w:b w:val="0"/>
                <w:bCs w:val="0"/>
                <w:i w:val="0"/>
                <w:iCs w:val="0"/>
                <w:color w:val="000000"/>
                <w:kern w:val="0"/>
                <w:sz w:val="21"/>
                <w:szCs w:val="21"/>
                <w:u w:val="none"/>
                <w:lang w:val="en-US" w:eastAsia="zh-CN" w:bidi="ar"/>
              </w:rPr>
              <w:br w:type="textWrapping"/>
            </w:r>
            <w:r>
              <w:rPr>
                <w:rStyle w:val="116"/>
                <w:rFonts w:hint="eastAsia" w:ascii="宋体" w:hAnsi="宋体" w:eastAsia="宋体" w:cs="宋体"/>
                <w:b w:val="0"/>
                <w:bCs w:val="0"/>
                <w:sz w:val="21"/>
                <w:szCs w:val="21"/>
                <w:lang w:val="en-US" w:eastAsia="zh-CN" w:bidi="ar"/>
              </w:rPr>
              <w:t>单卡支持可同时解码≥</w:t>
            </w:r>
            <w:r>
              <w:rPr>
                <w:rFonts w:hint="eastAsia" w:ascii="宋体" w:hAnsi="宋体" w:eastAsia="宋体" w:cs="宋体"/>
                <w:b w:val="0"/>
                <w:bCs w:val="0"/>
                <w:i w:val="0"/>
                <w:iCs w:val="0"/>
                <w:color w:val="000000"/>
                <w:kern w:val="0"/>
                <w:sz w:val="21"/>
                <w:szCs w:val="21"/>
                <w:u w:val="none"/>
                <w:lang w:val="en-US" w:eastAsia="zh-CN" w:bidi="ar"/>
              </w:rPr>
              <w:t>25</w:t>
            </w:r>
            <w:r>
              <w:rPr>
                <w:rStyle w:val="116"/>
                <w:rFonts w:hint="eastAsia" w:ascii="宋体" w:hAnsi="宋体" w:eastAsia="宋体" w:cs="宋体"/>
                <w:b w:val="0"/>
                <w:bCs w:val="0"/>
                <w:sz w:val="21"/>
                <w:szCs w:val="21"/>
                <w:lang w:val="en-US" w:eastAsia="zh-CN" w:bidi="ar"/>
              </w:rPr>
              <w:t>个通道</w:t>
            </w:r>
            <w:r>
              <w:rPr>
                <w:rFonts w:hint="eastAsia" w:ascii="宋体" w:hAnsi="宋体" w:eastAsia="宋体" w:cs="宋体"/>
                <w:b w:val="0"/>
                <w:bCs w:val="0"/>
                <w:i w:val="0"/>
                <w:iCs w:val="0"/>
                <w:color w:val="000000"/>
                <w:kern w:val="0"/>
                <w:sz w:val="21"/>
                <w:szCs w:val="21"/>
                <w:u w:val="none"/>
                <w:lang w:val="en-US" w:eastAsia="zh-CN" w:bidi="ar"/>
              </w:rPr>
              <w:t>IPC</w:t>
            </w:r>
            <w:r>
              <w:rPr>
                <w:rStyle w:val="116"/>
                <w:rFonts w:hint="eastAsia" w:ascii="宋体" w:hAnsi="宋体" w:eastAsia="宋体" w:cs="宋体"/>
                <w:b w:val="0"/>
                <w:bCs w:val="0"/>
                <w:sz w:val="21"/>
                <w:szCs w:val="21"/>
                <w:lang w:val="en-US" w:eastAsia="zh-CN" w:bidi="ar"/>
              </w:rPr>
              <w:t>解码上墙；</w:t>
            </w:r>
            <w:r>
              <w:rPr>
                <w:rFonts w:hint="eastAsia" w:ascii="宋体" w:hAnsi="宋体" w:eastAsia="宋体" w:cs="宋体"/>
                <w:b w:val="0"/>
                <w:bCs w:val="0"/>
                <w:i w:val="0"/>
                <w:iCs w:val="0"/>
                <w:color w:val="000000"/>
                <w:kern w:val="0"/>
                <w:sz w:val="21"/>
                <w:szCs w:val="21"/>
                <w:u w:val="none"/>
                <w:lang w:val="en-US" w:eastAsia="zh-CN" w:bidi="ar"/>
              </w:rPr>
              <w:br w:type="textWrapping"/>
            </w:r>
            <w:r>
              <w:rPr>
                <w:rStyle w:val="116"/>
                <w:rFonts w:hint="eastAsia" w:ascii="宋体" w:hAnsi="宋体" w:eastAsia="宋体" w:cs="宋体"/>
                <w:b w:val="0"/>
                <w:bCs w:val="0"/>
                <w:sz w:val="21"/>
                <w:szCs w:val="21"/>
                <w:lang w:val="en-US" w:eastAsia="zh-CN" w:bidi="ar"/>
              </w:rPr>
              <w:t>整机满配支持≥</w:t>
            </w:r>
            <w:r>
              <w:rPr>
                <w:rFonts w:hint="eastAsia" w:ascii="宋体" w:hAnsi="宋体" w:eastAsia="宋体" w:cs="宋体"/>
                <w:b w:val="0"/>
                <w:bCs w:val="0"/>
                <w:i w:val="0"/>
                <w:iCs w:val="0"/>
                <w:color w:val="000000"/>
                <w:kern w:val="0"/>
                <w:sz w:val="21"/>
                <w:szCs w:val="21"/>
                <w:u w:val="none"/>
                <w:lang w:val="en-US" w:eastAsia="zh-CN" w:bidi="ar"/>
              </w:rPr>
              <w:t>64</w:t>
            </w:r>
            <w:r>
              <w:rPr>
                <w:rStyle w:val="116"/>
                <w:rFonts w:hint="eastAsia" w:ascii="宋体" w:hAnsi="宋体" w:eastAsia="宋体" w:cs="宋体"/>
                <w:b w:val="0"/>
                <w:bCs w:val="0"/>
                <w:sz w:val="21"/>
                <w:szCs w:val="21"/>
                <w:lang w:val="en-US" w:eastAsia="zh-CN" w:bidi="ar"/>
              </w:rPr>
              <w:t>路</w:t>
            </w:r>
            <w:r>
              <w:rPr>
                <w:rFonts w:hint="eastAsia" w:ascii="宋体" w:hAnsi="宋体" w:eastAsia="宋体" w:cs="宋体"/>
                <w:b w:val="0"/>
                <w:bCs w:val="0"/>
                <w:i w:val="0"/>
                <w:iCs w:val="0"/>
                <w:color w:val="000000"/>
                <w:kern w:val="0"/>
                <w:sz w:val="21"/>
                <w:szCs w:val="21"/>
                <w:u w:val="none"/>
                <w:lang w:val="en-US" w:eastAsia="zh-CN" w:bidi="ar"/>
              </w:rPr>
              <w:t>1080P</w:t>
            </w:r>
            <w:r>
              <w:rPr>
                <w:rStyle w:val="116"/>
                <w:rFonts w:hint="eastAsia" w:ascii="宋体" w:hAnsi="宋体" w:eastAsia="宋体" w:cs="宋体"/>
                <w:b w:val="0"/>
                <w:bCs w:val="0"/>
                <w:sz w:val="21"/>
                <w:szCs w:val="21"/>
                <w:lang w:val="en-US" w:eastAsia="zh-CN" w:bidi="ar"/>
              </w:rPr>
              <w:t>同时解码显示；</w:t>
            </w:r>
            <w:r>
              <w:rPr>
                <w:rFonts w:hint="eastAsia" w:ascii="宋体" w:hAnsi="宋体" w:eastAsia="宋体" w:cs="宋体"/>
                <w:b w:val="0"/>
                <w:bCs w:val="0"/>
                <w:i w:val="0"/>
                <w:iCs w:val="0"/>
                <w:color w:val="000000"/>
                <w:kern w:val="0"/>
                <w:sz w:val="21"/>
                <w:szCs w:val="21"/>
                <w:u w:val="none"/>
                <w:lang w:val="en-US" w:eastAsia="zh-CN" w:bidi="ar"/>
              </w:rPr>
              <w:br w:type="textWrapping"/>
            </w:r>
            <w:r>
              <w:rPr>
                <w:rStyle w:val="116"/>
                <w:rFonts w:hint="eastAsia" w:ascii="宋体" w:hAnsi="宋体" w:eastAsia="宋体" w:cs="宋体"/>
                <w:b w:val="0"/>
                <w:bCs w:val="0"/>
                <w:sz w:val="21"/>
                <w:szCs w:val="21"/>
                <w:lang w:val="en-US" w:eastAsia="zh-CN" w:bidi="ar"/>
              </w:rPr>
              <w:t>单卡解码性能：</w:t>
            </w:r>
            <w:r>
              <w:rPr>
                <w:rFonts w:hint="eastAsia" w:ascii="宋体" w:hAnsi="宋体" w:eastAsia="宋体" w:cs="宋体"/>
                <w:b w:val="0"/>
                <w:bCs w:val="0"/>
                <w:i w:val="0"/>
                <w:iCs w:val="0"/>
                <w:color w:val="000000"/>
                <w:kern w:val="0"/>
                <w:sz w:val="21"/>
                <w:szCs w:val="21"/>
                <w:u w:val="none"/>
                <w:lang w:val="en-US" w:eastAsia="zh-CN" w:bidi="ar"/>
              </w:rPr>
              <w:t>1</w:t>
            </w:r>
            <w:r>
              <w:rPr>
                <w:rStyle w:val="116"/>
                <w:rFonts w:hint="eastAsia" w:ascii="宋体" w:hAnsi="宋体" w:eastAsia="宋体" w:cs="宋体"/>
                <w:b w:val="0"/>
                <w:bCs w:val="0"/>
                <w:sz w:val="21"/>
                <w:szCs w:val="21"/>
                <w:lang w:val="en-US" w:eastAsia="zh-CN" w:bidi="ar"/>
              </w:rPr>
              <w:t>路</w:t>
            </w:r>
            <w:r>
              <w:rPr>
                <w:rFonts w:hint="eastAsia" w:ascii="宋体" w:hAnsi="宋体" w:eastAsia="宋体" w:cs="宋体"/>
                <w:b w:val="0"/>
                <w:bCs w:val="0"/>
                <w:i w:val="0"/>
                <w:iCs w:val="0"/>
                <w:color w:val="000000"/>
                <w:kern w:val="0"/>
                <w:sz w:val="21"/>
                <w:szCs w:val="21"/>
                <w:u w:val="none"/>
                <w:lang w:val="en-US" w:eastAsia="zh-CN" w:bidi="ar"/>
              </w:rPr>
              <w:t>=4K</w:t>
            </w:r>
            <w:r>
              <w:rPr>
                <w:rStyle w:val="116"/>
                <w:rFonts w:hint="eastAsia" w:ascii="宋体" w:hAnsi="宋体" w:eastAsia="宋体" w:cs="宋体"/>
                <w:b w:val="0"/>
                <w:bCs w:val="0"/>
                <w:sz w:val="21"/>
                <w:szCs w:val="21"/>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4</w:t>
            </w:r>
            <w:r>
              <w:rPr>
                <w:rStyle w:val="116"/>
                <w:rFonts w:hint="eastAsia" w:ascii="宋体" w:hAnsi="宋体" w:eastAsia="宋体" w:cs="宋体"/>
                <w:b w:val="0"/>
                <w:bCs w:val="0"/>
                <w:sz w:val="21"/>
                <w:szCs w:val="21"/>
                <w:lang w:val="en-US" w:eastAsia="zh-CN" w:bidi="ar"/>
              </w:rPr>
              <w:t>路</w:t>
            </w:r>
            <w:r>
              <w:rPr>
                <w:rFonts w:hint="eastAsia" w:ascii="宋体" w:hAnsi="宋体" w:eastAsia="宋体" w:cs="宋体"/>
                <w:b w:val="0"/>
                <w:bCs w:val="0"/>
                <w:i w:val="0"/>
                <w:iCs w:val="0"/>
                <w:color w:val="000000"/>
                <w:kern w:val="0"/>
                <w:sz w:val="21"/>
                <w:szCs w:val="21"/>
                <w:u w:val="none"/>
                <w:lang w:val="en-US" w:eastAsia="zh-CN" w:bidi="ar"/>
              </w:rPr>
              <w:t>=1080P</w:t>
            </w:r>
            <w:r>
              <w:rPr>
                <w:rStyle w:val="116"/>
                <w:rFonts w:hint="eastAsia" w:ascii="宋体" w:hAnsi="宋体" w:eastAsia="宋体" w:cs="宋体"/>
                <w:b w:val="0"/>
                <w:bCs w:val="0"/>
                <w:sz w:val="21"/>
                <w:szCs w:val="21"/>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9</w:t>
            </w:r>
            <w:r>
              <w:rPr>
                <w:rStyle w:val="116"/>
                <w:rFonts w:hint="eastAsia" w:ascii="宋体" w:hAnsi="宋体" w:eastAsia="宋体" w:cs="宋体"/>
                <w:b w:val="0"/>
                <w:bCs w:val="0"/>
                <w:sz w:val="21"/>
                <w:szCs w:val="21"/>
                <w:lang w:val="en-US" w:eastAsia="zh-CN" w:bidi="ar"/>
              </w:rPr>
              <w:t>路</w:t>
            </w:r>
            <w:r>
              <w:rPr>
                <w:rFonts w:hint="eastAsia" w:ascii="宋体" w:hAnsi="宋体" w:eastAsia="宋体" w:cs="宋体"/>
                <w:b w:val="0"/>
                <w:bCs w:val="0"/>
                <w:i w:val="0"/>
                <w:iCs w:val="0"/>
                <w:color w:val="000000"/>
                <w:kern w:val="0"/>
                <w:sz w:val="21"/>
                <w:szCs w:val="21"/>
                <w:u w:val="none"/>
                <w:lang w:val="en-US" w:eastAsia="zh-CN" w:bidi="ar"/>
              </w:rPr>
              <w:t>=720P</w:t>
            </w:r>
            <w:r>
              <w:rPr>
                <w:rStyle w:val="116"/>
                <w:rFonts w:hint="eastAsia" w:ascii="宋体" w:hAnsi="宋体" w:eastAsia="宋体" w:cs="宋体"/>
                <w:b w:val="0"/>
                <w:bCs w:val="0"/>
                <w:sz w:val="21"/>
                <w:szCs w:val="21"/>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25</w:t>
            </w:r>
            <w:r>
              <w:rPr>
                <w:rStyle w:val="116"/>
                <w:rFonts w:hint="eastAsia" w:ascii="宋体" w:hAnsi="宋体" w:eastAsia="宋体" w:cs="宋体"/>
                <w:b w:val="0"/>
                <w:bCs w:val="0"/>
                <w:sz w:val="21"/>
                <w:szCs w:val="21"/>
                <w:lang w:val="en-US" w:eastAsia="zh-CN" w:bidi="ar"/>
              </w:rPr>
              <w:t>路</w:t>
            </w:r>
            <w:r>
              <w:rPr>
                <w:rFonts w:hint="eastAsia" w:ascii="宋体" w:hAnsi="宋体" w:eastAsia="宋体" w:cs="宋体"/>
                <w:b w:val="0"/>
                <w:bCs w:val="0"/>
                <w:i w:val="0"/>
                <w:iCs w:val="0"/>
                <w:color w:val="000000"/>
                <w:kern w:val="0"/>
                <w:sz w:val="21"/>
                <w:szCs w:val="21"/>
                <w:u w:val="none"/>
                <w:lang w:val="en-US" w:eastAsia="zh-CN" w:bidi="ar"/>
              </w:rPr>
              <w:t>=D1</w:t>
            </w:r>
            <w:r>
              <w:rPr>
                <w:rStyle w:val="116"/>
                <w:rFonts w:hint="eastAsia" w:ascii="宋体" w:hAnsi="宋体" w:eastAsia="宋体" w:cs="宋体"/>
                <w:b w:val="0"/>
                <w:bCs w:val="0"/>
                <w:sz w:val="21"/>
                <w:szCs w:val="21"/>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36</w:t>
            </w:r>
            <w:r>
              <w:rPr>
                <w:rStyle w:val="116"/>
                <w:rFonts w:hint="eastAsia" w:ascii="宋体" w:hAnsi="宋体" w:eastAsia="宋体" w:cs="宋体"/>
                <w:b w:val="0"/>
                <w:bCs w:val="0"/>
                <w:sz w:val="21"/>
                <w:szCs w:val="21"/>
                <w:lang w:val="en-US" w:eastAsia="zh-CN" w:bidi="ar"/>
              </w:rPr>
              <w:t>路</w:t>
            </w:r>
            <w:r>
              <w:rPr>
                <w:rFonts w:hint="eastAsia" w:ascii="宋体" w:hAnsi="宋体" w:eastAsia="宋体" w:cs="宋体"/>
                <w:b w:val="0"/>
                <w:bCs w:val="0"/>
                <w:i w:val="0"/>
                <w:iCs w:val="0"/>
                <w:color w:val="000000"/>
                <w:kern w:val="0"/>
                <w:sz w:val="21"/>
                <w:szCs w:val="21"/>
                <w:u w:val="none"/>
                <w:lang w:val="en-US" w:eastAsia="zh-CN" w:bidi="ar"/>
              </w:rPr>
              <w:t>=CIF</w:t>
            </w:r>
            <w:r>
              <w:rPr>
                <w:rStyle w:val="116"/>
                <w:rFonts w:hint="eastAsia" w:ascii="宋体" w:hAnsi="宋体" w:eastAsia="宋体" w:cs="宋体"/>
                <w:b w:val="0"/>
                <w:bCs w:val="0"/>
                <w:sz w:val="21"/>
                <w:szCs w:val="21"/>
                <w:lang w:val="en-US" w:eastAsia="zh-CN" w:bidi="ar"/>
              </w:rPr>
              <w:t>视频解码；</w:t>
            </w:r>
            <w:r>
              <w:rPr>
                <w:rFonts w:hint="eastAsia" w:ascii="宋体" w:hAnsi="宋体" w:eastAsia="宋体" w:cs="宋体"/>
                <w:b w:val="0"/>
                <w:bCs w:val="0"/>
                <w:i w:val="0"/>
                <w:iCs w:val="0"/>
                <w:color w:val="000000"/>
                <w:kern w:val="0"/>
                <w:sz w:val="21"/>
                <w:szCs w:val="21"/>
                <w:u w:val="none"/>
                <w:lang w:val="en-US" w:eastAsia="zh-CN" w:bidi="ar"/>
              </w:rPr>
              <w:br w:type="textWrapping"/>
            </w:r>
            <w:r>
              <w:rPr>
                <w:rStyle w:val="116"/>
                <w:rFonts w:hint="eastAsia" w:ascii="宋体" w:hAnsi="宋体" w:eastAsia="宋体" w:cs="宋体"/>
                <w:b w:val="0"/>
                <w:bCs w:val="0"/>
                <w:sz w:val="21"/>
                <w:szCs w:val="21"/>
                <w:lang w:val="en-US" w:eastAsia="zh-CN" w:bidi="ar"/>
              </w:rPr>
              <w:t>解码像素：支持不限于</w:t>
            </w:r>
            <w:r>
              <w:rPr>
                <w:rFonts w:hint="eastAsia" w:ascii="宋体" w:hAnsi="宋体" w:eastAsia="宋体" w:cs="宋体"/>
                <w:b w:val="0"/>
                <w:bCs w:val="0"/>
                <w:i w:val="0"/>
                <w:iCs w:val="0"/>
                <w:color w:val="000000"/>
                <w:kern w:val="0"/>
                <w:sz w:val="21"/>
                <w:szCs w:val="21"/>
                <w:u w:val="none"/>
                <w:lang w:val="en-US" w:eastAsia="zh-CN" w:bidi="ar"/>
              </w:rPr>
              <w:t>4K</w:t>
            </w:r>
            <w:r>
              <w:rPr>
                <w:rStyle w:val="116"/>
                <w:rFonts w:hint="eastAsia" w:ascii="宋体" w:hAnsi="宋体" w:eastAsia="宋体" w:cs="宋体"/>
                <w:b w:val="0"/>
                <w:bCs w:val="0"/>
                <w:sz w:val="21"/>
                <w:szCs w:val="21"/>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500W</w:t>
            </w:r>
            <w:r>
              <w:rPr>
                <w:rStyle w:val="116"/>
                <w:rFonts w:hint="eastAsia" w:ascii="宋体" w:hAnsi="宋体" w:eastAsia="宋体" w:cs="宋体"/>
                <w:b w:val="0"/>
                <w:bCs w:val="0"/>
                <w:sz w:val="21"/>
                <w:szCs w:val="21"/>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300W</w:t>
            </w:r>
            <w:r>
              <w:rPr>
                <w:rStyle w:val="116"/>
                <w:rFonts w:hint="eastAsia" w:ascii="宋体" w:hAnsi="宋体" w:eastAsia="宋体" w:cs="宋体"/>
                <w:b w:val="0"/>
                <w:bCs w:val="0"/>
                <w:sz w:val="21"/>
                <w:szCs w:val="21"/>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200W</w:t>
            </w:r>
            <w:r>
              <w:rPr>
                <w:rStyle w:val="116"/>
                <w:rFonts w:hint="eastAsia" w:ascii="宋体" w:hAnsi="宋体" w:eastAsia="宋体" w:cs="宋体"/>
                <w:b w:val="0"/>
                <w:bCs w:val="0"/>
                <w:sz w:val="21"/>
                <w:szCs w:val="21"/>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130W</w:t>
            </w:r>
            <w:r>
              <w:rPr>
                <w:rStyle w:val="116"/>
                <w:rFonts w:hint="eastAsia" w:ascii="宋体" w:hAnsi="宋体" w:eastAsia="宋体" w:cs="宋体"/>
                <w:b w:val="0"/>
                <w:bCs w:val="0"/>
                <w:sz w:val="21"/>
                <w:szCs w:val="21"/>
                <w:lang w:val="en-US" w:eastAsia="zh-CN" w:bidi="ar"/>
              </w:rPr>
              <w:t>等标准视频解码；</w:t>
            </w:r>
            <w:r>
              <w:rPr>
                <w:rFonts w:hint="eastAsia" w:ascii="宋体" w:hAnsi="宋体" w:eastAsia="宋体" w:cs="宋体"/>
                <w:b w:val="0"/>
                <w:bCs w:val="0"/>
                <w:i w:val="0"/>
                <w:iCs w:val="0"/>
                <w:color w:val="000000"/>
                <w:kern w:val="0"/>
                <w:sz w:val="21"/>
                <w:szCs w:val="21"/>
                <w:u w:val="none"/>
                <w:lang w:val="en-US" w:eastAsia="zh-CN" w:bidi="ar"/>
              </w:rPr>
              <w:br w:type="textWrapping"/>
            </w:r>
            <w:r>
              <w:rPr>
                <w:rStyle w:val="116"/>
                <w:rFonts w:hint="eastAsia" w:ascii="宋体" w:hAnsi="宋体" w:eastAsia="宋体" w:cs="宋体"/>
                <w:b w:val="0"/>
                <w:bCs w:val="0"/>
                <w:sz w:val="21"/>
                <w:szCs w:val="21"/>
                <w:lang w:val="en-US" w:eastAsia="zh-CN" w:bidi="ar"/>
              </w:rPr>
              <w:t>支持</w:t>
            </w:r>
            <w:r>
              <w:rPr>
                <w:rFonts w:hint="eastAsia" w:ascii="宋体" w:hAnsi="宋体" w:eastAsia="宋体" w:cs="宋体"/>
                <w:b w:val="0"/>
                <w:bCs w:val="0"/>
                <w:i w:val="0"/>
                <w:iCs w:val="0"/>
                <w:color w:val="000000"/>
                <w:kern w:val="0"/>
                <w:sz w:val="21"/>
                <w:szCs w:val="21"/>
                <w:u w:val="none"/>
                <w:lang w:val="en-US" w:eastAsia="zh-CN" w:bidi="ar"/>
              </w:rPr>
              <w:t>PAL/NTSL</w:t>
            </w:r>
            <w:r>
              <w:rPr>
                <w:rStyle w:val="116"/>
                <w:rFonts w:hint="eastAsia" w:ascii="宋体" w:hAnsi="宋体" w:eastAsia="宋体" w:cs="宋体"/>
                <w:b w:val="0"/>
                <w:bCs w:val="0"/>
                <w:sz w:val="21"/>
                <w:szCs w:val="21"/>
                <w:lang w:val="en-US" w:eastAsia="zh-CN" w:bidi="ar"/>
              </w:rPr>
              <w:t>等标准格式；</w:t>
            </w:r>
            <w:r>
              <w:rPr>
                <w:rFonts w:hint="eastAsia" w:ascii="宋体" w:hAnsi="宋体" w:eastAsia="宋体" w:cs="宋体"/>
                <w:b w:val="0"/>
                <w:bCs w:val="0"/>
                <w:i w:val="0"/>
                <w:iCs w:val="0"/>
                <w:color w:val="000000"/>
                <w:kern w:val="0"/>
                <w:sz w:val="21"/>
                <w:szCs w:val="21"/>
                <w:u w:val="none"/>
                <w:lang w:val="en-US" w:eastAsia="zh-CN" w:bidi="ar"/>
              </w:rPr>
              <w:br w:type="textWrapping"/>
            </w:r>
            <w:r>
              <w:rPr>
                <w:rStyle w:val="116"/>
                <w:rFonts w:hint="eastAsia" w:ascii="宋体" w:hAnsi="宋体" w:eastAsia="宋体" w:cs="宋体"/>
                <w:b w:val="0"/>
                <w:bCs w:val="0"/>
                <w:sz w:val="21"/>
                <w:szCs w:val="21"/>
                <w:lang w:val="en-US" w:eastAsia="zh-CN" w:bidi="ar"/>
              </w:rPr>
              <w:t>支持标准</w:t>
            </w:r>
            <w:r>
              <w:rPr>
                <w:rFonts w:hint="eastAsia" w:ascii="宋体" w:hAnsi="宋体" w:eastAsia="宋体" w:cs="宋体"/>
                <w:b w:val="0"/>
                <w:bCs w:val="0"/>
                <w:i w:val="0"/>
                <w:iCs w:val="0"/>
                <w:color w:val="000000"/>
                <w:kern w:val="0"/>
                <w:sz w:val="21"/>
                <w:szCs w:val="21"/>
                <w:u w:val="none"/>
                <w:lang w:val="en-US" w:eastAsia="zh-CN" w:bidi="ar"/>
              </w:rPr>
              <w:t>ONVIF IPC</w:t>
            </w:r>
            <w:r>
              <w:rPr>
                <w:rStyle w:val="116"/>
                <w:rFonts w:hint="eastAsia" w:ascii="宋体" w:hAnsi="宋体" w:eastAsia="宋体" w:cs="宋体"/>
                <w:b w:val="0"/>
                <w:bCs w:val="0"/>
                <w:sz w:val="21"/>
                <w:szCs w:val="21"/>
                <w:lang w:val="en-US" w:eastAsia="zh-CN" w:bidi="ar"/>
              </w:rPr>
              <w:t>及主流品牌接入；</w:t>
            </w:r>
            <w:r>
              <w:rPr>
                <w:rFonts w:hint="eastAsia" w:ascii="宋体" w:hAnsi="宋体" w:eastAsia="宋体" w:cs="宋体"/>
                <w:b w:val="0"/>
                <w:bCs w:val="0"/>
                <w:i w:val="0"/>
                <w:iCs w:val="0"/>
                <w:color w:val="000000"/>
                <w:kern w:val="0"/>
                <w:sz w:val="21"/>
                <w:szCs w:val="21"/>
                <w:u w:val="none"/>
                <w:lang w:val="en-US" w:eastAsia="zh-CN" w:bidi="ar"/>
              </w:rPr>
              <w:br w:type="textWrapping"/>
            </w:r>
            <w:r>
              <w:rPr>
                <w:rStyle w:val="116"/>
                <w:rFonts w:hint="eastAsia" w:ascii="宋体" w:hAnsi="宋体" w:eastAsia="宋体" w:cs="宋体"/>
                <w:b w:val="0"/>
                <w:bCs w:val="0"/>
                <w:sz w:val="21"/>
                <w:szCs w:val="21"/>
                <w:lang w:val="en-US" w:eastAsia="zh-CN" w:bidi="ar"/>
              </w:rPr>
              <w:t>支持</w:t>
            </w:r>
            <w:r>
              <w:rPr>
                <w:rFonts w:hint="eastAsia" w:ascii="宋体" w:hAnsi="宋体" w:eastAsia="宋体" w:cs="宋体"/>
                <w:b w:val="0"/>
                <w:bCs w:val="0"/>
                <w:i w:val="0"/>
                <w:iCs w:val="0"/>
                <w:color w:val="000000"/>
                <w:kern w:val="0"/>
                <w:sz w:val="21"/>
                <w:szCs w:val="21"/>
                <w:u w:val="none"/>
                <w:lang w:val="en-US" w:eastAsia="zh-CN" w:bidi="ar"/>
              </w:rPr>
              <w:t>RTSP</w:t>
            </w:r>
            <w:r>
              <w:rPr>
                <w:rStyle w:val="116"/>
                <w:rFonts w:hint="eastAsia" w:ascii="宋体" w:hAnsi="宋体" w:eastAsia="宋体" w:cs="宋体"/>
                <w:b w:val="0"/>
                <w:bCs w:val="0"/>
                <w:sz w:val="21"/>
                <w:szCs w:val="21"/>
                <w:lang w:val="en-US" w:eastAsia="zh-CN" w:bidi="ar"/>
              </w:rPr>
              <w:t>直接视频取流；</w:t>
            </w:r>
            <w:r>
              <w:rPr>
                <w:rFonts w:hint="eastAsia" w:ascii="宋体" w:hAnsi="宋体" w:eastAsia="宋体" w:cs="宋体"/>
                <w:b w:val="0"/>
                <w:bCs w:val="0"/>
                <w:i w:val="0"/>
                <w:iCs w:val="0"/>
                <w:color w:val="000000"/>
                <w:kern w:val="0"/>
                <w:sz w:val="21"/>
                <w:szCs w:val="21"/>
                <w:u w:val="none"/>
                <w:lang w:val="en-US" w:eastAsia="zh-CN" w:bidi="ar"/>
              </w:rPr>
              <w:t></w:t>
            </w:r>
            <w:r>
              <w:rPr>
                <w:rStyle w:val="116"/>
                <w:rFonts w:hint="eastAsia" w:ascii="宋体" w:hAnsi="宋体" w:eastAsia="宋体" w:cs="宋体"/>
                <w:b w:val="0"/>
                <w:bCs w:val="0"/>
                <w:sz w:val="21"/>
                <w:szCs w:val="21"/>
                <w:lang w:val="en-US" w:eastAsia="zh-CN" w:bidi="ar"/>
              </w:rPr>
              <w:t>支持主流品牌海康，大华，宇视，雄迈等</w:t>
            </w:r>
            <w:r>
              <w:rPr>
                <w:rFonts w:hint="eastAsia" w:ascii="宋体" w:hAnsi="宋体" w:eastAsia="宋体" w:cs="宋体"/>
                <w:b w:val="0"/>
                <w:bCs w:val="0"/>
                <w:i w:val="0"/>
                <w:iCs w:val="0"/>
                <w:color w:val="000000"/>
                <w:kern w:val="0"/>
                <w:sz w:val="21"/>
                <w:szCs w:val="21"/>
                <w:u w:val="none"/>
                <w:lang w:val="en-US" w:eastAsia="zh-CN" w:bidi="ar"/>
              </w:rPr>
              <w:t>NVR/DVR</w:t>
            </w:r>
            <w:r>
              <w:rPr>
                <w:rStyle w:val="116"/>
                <w:rFonts w:hint="eastAsia" w:ascii="宋体" w:hAnsi="宋体" w:eastAsia="宋体" w:cs="宋体"/>
                <w:b w:val="0"/>
                <w:bCs w:val="0"/>
                <w:sz w:val="21"/>
                <w:szCs w:val="21"/>
                <w:lang w:val="en-US" w:eastAsia="zh-CN" w:bidi="ar"/>
              </w:rPr>
              <w:t>预览解码和录像回放，</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9B0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664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r>
      <w:tr w14:paraId="571C1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36C8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D99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大屏专用高清线</w:t>
            </w:r>
          </w:p>
        </w:tc>
        <w:tc>
          <w:tcPr>
            <w:tcW w:w="5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7198">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rPr>
            </w:pPr>
            <w:r>
              <w:rPr>
                <w:rStyle w:val="117"/>
                <w:rFonts w:hint="eastAsia" w:ascii="宋体" w:hAnsi="宋体" w:eastAsia="宋体" w:cs="宋体"/>
                <w:b w:val="0"/>
                <w:bCs w:val="0"/>
                <w:sz w:val="21"/>
                <w:szCs w:val="21"/>
                <w:lang w:val="en-US" w:eastAsia="zh-CN" w:bidi="ar"/>
              </w:rPr>
              <w:t>‌</w:t>
            </w:r>
            <w:r>
              <w:rPr>
                <w:rStyle w:val="116"/>
                <w:rFonts w:hint="eastAsia" w:ascii="宋体" w:hAnsi="宋体" w:eastAsia="宋体" w:cs="宋体"/>
                <w:b w:val="0"/>
                <w:bCs w:val="0"/>
                <w:sz w:val="21"/>
                <w:szCs w:val="21"/>
                <w:lang w:val="en-US" w:eastAsia="zh-CN" w:bidi="ar"/>
              </w:rPr>
              <w:t>≥15米HDMI线材，光纤线，数量≥20根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C34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根</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1608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r>
      <w:tr w14:paraId="2621C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A8E3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525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大屏专用成品线</w:t>
            </w:r>
          </w:p>
        </w:tc>
        <w:tc>
          <w:tcPr>
            <w:tcW w:w="5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9B11">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≥1.5米电源线</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8E8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条 </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6B7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r>
      <w:tr w14:paraId="46C5E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6A70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C06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大屏专用主电源线</w:t>
            </w:r>
          </w:p>
        </w:tc>
        <w:tc>
          <w:tcPr>
            <w:tcW w:w="5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FFFD">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≥120米，铜芯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96A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米</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7BD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120</w:t>
            </w:r>
          </w:p>
        </w:tc>
      </w:tr>
      <w:tr w14:paraId="4C59C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230C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19</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FA2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电源插排</w:t>
            </w:r>
          </w:p>
        </w:tc>
        <w:tc>
          <w:tcPr>
            <w:tcW w:w="5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17BF">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双排，≥6个三项孔位</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C99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B26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r>
      <w:tr w14:paraId="7957A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0E9B4">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20</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371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电源插排</w:t>
            </w:r>
          </w:p>
        </w:tc>
        <w:tc>
          <w:tcPr>
            <w:tcW w:w="5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874C9">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单排，≥3个三项孔位</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45AC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D1B5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35 </w:t>
            </w:r>
          </w:p>
        </w:tc>
      </w:tr>
      <w:tr w14:paraId="0C2CC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4DABA">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21</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C25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软护套线</w:t>
            </w:r>
          </w:p>
        </w:tc>
        <w:tc>
          <w:tcPr>
            <w:tcW w:w="5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DC461">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RVV电线电缆，不限于两条以上的RV线外加一层护套。软护套线长度≥100m</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1018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圈</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F826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9 </w:t>
            </w:r>
          </w:p>
        </w:tc>
      </w:tr>
      <w:tr w14:paraId="0CC8E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8" w:hRule="atLeast"/>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1EC9F">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22</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CA9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线管</w:t>
            </w:r>
          </w:p>
        </w:tc>
        <w:tc>
          <w:tcPr>
            <w:tcW w:w="5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55FC9">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rPr>
            </w:pPr>
            <w:r>
              <w:rPr>
                <w:rStyle w:val="116"/>
                <w:rFonts w:hint="eastAsia" w:ascii="宋体" w:hAnsi="宋体" w:eastAsia="宋体" w:cs="宋体"/>
                <w:b w:val="0"/>
                <w:bCs w:val="0"/>
                <w:sz w:val="21"/>
                <w:szCs w:val="21"/>
                <w:lang w:val="en-US" w:eastAsia="zh-CN" w:bidi="ar"/>
              </w:rPr>
              <w:t>线管外径为</w:t>
            </w:r>
            <w:r>
              <w:rPr>
                <w:rStyle w:val="117"/>
                <w:rFonts w:hint="eastAsia" w:ascii="宋体" w:hAnsi="宋体" w:eastAsia="宋体" w:cs="宋体"/>
                <w:b w:val="0"/>
                <w:bCs w:val="0"/>
                <w:sz w:val="21"/>
                <w:szCs w:val="21"/>
                <w:lang w:val="en-US" w:eastAsia="zh-CN" w:bidi="ar"/>
              </w:rPr>
              <w:t>≥2.0</w:t>
            </w:r>
            <w:r>
              <w:rPr>
                <w:rStyle w:val="116"/>
                <w:rFonts w:hint="eastAsia" w:ascii="宋体" w:hAnsi="宋体" w:eastAsia="宋体" w:cs="宋体"/>
                <w:b w:val="0"/>
                <w:bCs w:val="0"/>
                <w:sz w:val="21"/>
                <w:szCs w:val="21"/>
                <w:lang w:val="en-US" w:eastAsia="zh-CN" w:bidi="ar"/>
              </w:rPr>
              <w:t>毫米，适用于需要精细布线的应用场景，如电子设备的内部连接、自动化设备的信号传输等。长度</w:t>
            </w:r>
            <w:r>
              <w:rPr>
                <w:rStyle w:val="117"/>
                <w:rFonts w:hint="eastAsia" w:ascii="宋体" w:hAnsi="宋体" w:eastAsia="宋体" w:cs="宋体"/>
                <w:b w:val="0"/>
                <w:bCs w:val="0"/>
                <w:sz w:val="21"/>
                <w:szCs w:val="21"/>
                <w:lang w:val="en-US" w:eastAsia="zh-CN" w:bidi="ar"/>
              </w:rPr>
              <w:t>3m/4m</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BF7A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根</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2937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220 </w:t>
            </w:r>
          </w:p>
        </w:tc>
      </w:tr>
      <w:tr w14:paraId="18DCA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8" w:hRule="atLeast"/>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90E16">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23</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22E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室外控制箱</w:t>
            </w:r>
          </w:p>
        </w:tc>
        <w:tc>
          <w:tcPr>
            <w:tcW w:w="5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28383">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风道设计，含有必要的空开、插板、接地端子、专业电源等；尺寸不小于275mm*190mm*100mm</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BE38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613D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15 </w:t>
            </w:r>
          </w:p>
        </w:tc>
      </w:tr>
      <w:tr w14:paraId="4B271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38A16">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24</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D8F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光纤</w:t>
            </w:r>
          </w:p>
        </w:tc>
        <w:tc>
          <w:tcPr>
            <w:tcW w:w="5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152B3">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≥24芯光纤，单模单纤 复合ITU-TG.652。</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AC25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米</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63B2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2,600 </w:t>
            </w:r>
          </w:p>
        </w:tc>
      </w:tr>
      <w:tr w14:paraId="56C1E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3" w:hRule="atLeast"/>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7C390">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25</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D41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收发器</w:t>
            </w:r>
          </w:p>
        </w:tc>
        <w:tc>
          <w:tcPr>
            <w:tcW w:w="5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F67D1">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存储转发最大过滤速度≥148800pps（1000M）以太网电接口属性接口类型RJ45接口接口标准IEEE802.3、IEEE 802.3u</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以太网光接口属性接口类型SC/FC/ST接口接口标准IEEE802.3波长1310nm, 1550nm</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372F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对</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DC36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3 </w:t>
            </w:r>
          </w:p>
        </w:tc>
      </w:tr>
      <w:tr w14:paraId="440D2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8F79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26</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1D9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UPS华火电源</w:t>
            </w:r>
          </w:p>
        </w:tc>
        <w:tc>
          <w:tcPr>
            <w:tcW w:w="5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E9009">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额定容量 20KVA/20KW</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主路输入</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输入电压 380VAC/220VAC</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输入方式 三相四线+地线</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功率因数 0.95</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电流畸变率3%</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电压范围</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+20%~-20%, 满载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-20%~-40%, 带载能力在100%至 70%之间线性降额</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频率范围 40-70HZ</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输出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电压精度 208/220/230/240VAC</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动态电压瞬变 2%(0~100% 负载变化)</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电压畸变率 THD&lt;0.5%(线性负载),THD&lt;3%(非线性负载)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频率跟踪范围 50/60Hz±3Hz, 可设置</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频率精度 ±0.01%</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频率跟踪速率 0.5Hz/s 至 5Hz/s</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系统</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系统效率</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正常模式: 94%</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经济模式: 95%</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电池模式效率 95%</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电池配置 12V16 节或 20 节可现场设置</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显示 LCD+LED+键盘</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绝缘电阻 2M (500VDC)</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绝缘强度 (输入输出对地)2820Vdc,漏电电流&lt; 3.5mA,1 分钟无飞弧</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浪涌保护 达到 IEC60664-1 规定的Ⅳ类安装位置要求，即承受 1.2/50us+8/20us 混合波能力不低于 6KV/3KA</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防护等级 ≥IP20</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通信接口 RS232,RS485,干接点,SNMP 卡,EPO,发电机接口</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接线方式 支持上下进线</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工作温度 0-40℃</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相对湿度 0-95%(无凝露)</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噪音(dB) ≤55dB</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B2F2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A558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1 </w:t>
            </w:r>
          </w:p>
        </w:tc>
      </w:tr>
      <w:tr w14:paraId="5B2D1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3" w:hRule="atLeast"/>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4C31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27</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EBB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蓄电池</w:t>
            </w:r>
          </w:p>
        </w:tc>
        <w:tc>
          <w:tcPr>
            <w:tcW w:w="5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CFB0E">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蓄电池浮充设计寿命（年）：≥12</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12V电池蓄电池容量：≥100AH</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蓄电池气体复合效率 (密封反应效率)：≥97.5%</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外壳材料：ABS  外壳厚度（mm）：≥4.5mm</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外壳最大承受压力（kPa）：≥70 kPa 每月自放电率 (%)：≤3%  荷电保持能力：≥90  电池盖材料：ABS</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电池盖厚度（mm）：≥4.5mm  电池盖密封工艺：热封</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极柱密封工艺：胶封  电池开路电压差 （V）：≤0.1V</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电池浮充电压差 （V）：不大于±0.3 V  电解液比重（g/cm3）：1.30g/cm3  电解液吸附方式：玻璃纤维隔棉吸附  单体电池额定电压（V）：12V  单体电池浮充电电压（V）：13.5~13.8V  单体电池均衡充电电压（V）：约14.0~14.40V  蓄电池正常浮充电电流（mA）：</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≤1mA/Ah  蓄电池均衡充电电流（A）：0.1~0.25C</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蓄电池均衡充电时间（h）：10~24 h  耐过充电能力：不低于160h</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过充电寿命：≥210天  蓄电池开阀压力（kPa）：10~30</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3430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块</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001D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16 </w:t>
            </w:r>
          </w:p>
        </w:tc>
      </w:tr>
      <w:tr w14:paraId="54DB4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2739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28</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3A8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电池箱</w:t>
            </w:r>
          </w:p>
        </w:tc>
        <w:tc>
          <w:tcPr>
            <w:tcW w:w="5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D4665">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电池箱规格≥775mm*460mm*1170mm</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7597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204B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1 </w:t>
            </w:r>
          </w:p>
        </w:tc>
      </w:tr>
      <w:tr w14:paraId="005C9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1449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29</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71F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电源线</w:t>
            </w:r>
          </w:p>
        </w:tc>
        <w:tc>
          <w:tcPr>
            <w:tcW w:w="5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818EA">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rPr>
            </w:pPr>
            <w:r>
              <w:rPr>
                <w:rStyle w:val="116"/>
                <w:rFonts w:hint="eastAsia" w:ascii="宋体" w:hAnsi="宋体" w:eastAsia="宋体" w:cs="宋体"/>
                <w:b w:val="0"/>
                <w:bCs w:val="0"/>
                <w:sz w:val="21"/>
                <w:szCs w:val="21"/>
                <w:lang w:val="en-US" w:eastAsia="zh-CN" w:bidi="ar"/>
              </w:rPr>
              <w:t>6平方线,高纯度铜芯，通常使用高纯度铜，具有优异的导电性能，电阻小，能够高效传输电力。此外，6平方线的额定载流量在30-40安培之间，适用于大功率电器的使用</w:t>
            </w:r>
            <w:r>
              <w:rPr>
                <w:rStyle w:val="117"/>
                <w:rFonts w:hint="eastAsia" w:ascii="宋体" w:hAnsi="宋体" w:eastAsia="宋体" w:cs="宋体"/>
                <w:b w:val="0"/>
                <w:bCs w:val="0"/>
                <w:sz w:val="21"/>
                <w:szCs w:val="21"/>
                <w:lang w:val="en-US" w:eastAsia="zh-CN" w:bidi="ar"/>
              </w:rPr>
              <w:t>‌</w:t>
            </w:r>
            <w:r>
              <w:rPr>
                <w:rStyle w:val="116"/>
                <w:rFonts w:hint="eastAsia" w:ascii="宋体" w:hAnsi="宋体" w:eastAsia="宋体" w:cs="宋体"/>
                <w:b w:val="0"/>
                <w:bCs w:val="0"/>
                <w:sz w:val="21"/>
                <w:szCs w:val="21"/>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9AA9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圈</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3298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8 </w:t>
            </w:r>
          </w:p>
        </w:tc>
      </w:tr>
      <w:tr w14:paraId="79635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E60DA">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30</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2F6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六类网线</w:t>
            </w:r>
          </w:p>
        </w:tc>
        <w:tc>
          <w:tcPr>
            <w:tcW w:w="5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E4ABA">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传输性能满足并优于六类标准。完全支持千兆以太网应用，最高传输频率≥350MHz，为未来应用提供额外带宽。中心为十字骨架隔离设计，增强了带宽和网络性能。导体采用23AWG优质无氧铜线；线缆成轴包装，保护结构稳定。</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7E42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箱</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E05C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37 </w:t>
            </w:r>
          </w:p>
        </w:tc>
      </w:tr>
      <w:tr w14:paraId="06370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8" w:hRule="atLeast"/>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3F1B2">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31</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519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水晶头</w:t>
            </w:r>
          </w:p>
        </w:tc>
        <w:tc>
          <w:tcPr>
            <w:tcW w:w="5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A9DFF">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标准尺寸为11.5×11.5×20mm，具有8根针脚，支持高速网络通信，并且设计有自动防止脱落的功能</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216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盒</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59E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15 </w:t>
            </w:r>
          </w:p>
        </w:tc>
      </w:tr>
      <w:tr w14:paraId="37E16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3" w:hRule="atLeast"/>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F957E">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32</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4F1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电脑</w:t>
            </w:r>
          </w:p>
        </w:tc>
        <w:tc>
          <w:tcPr>
            <w:tcW w:w="5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AC7FE">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处理器为≥八核心，主频为≥2.7GHz，具有≥8MB三级缓存。电脑配备≥8GB DDR4内存和≥512GB SSD硬盘，以及≥2GB独立显卡。此外，该电脑还具有≥23.8英寸LED显示器，并且支持麒麟操作系统</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BE0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B95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2 </w:t>
            </w:r>
          </w:p>
        </w:tc>
      </w:tr>
      <w:tr w14:paraId="76872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7" w:hRule="atLeast"/>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9B9A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33</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B7F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防欺凌视频录音</w:t>
            </w:r>
          </w:p>
        </w:tc>
        <w:tc>
          <w:tcPr>
            <w:tcW w:w="5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391A5">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一键报警/求助</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·全双工语音通信</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·分级分权限功能，一级未接听自动转上一级</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·报警点电子地图显示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·支持多个接警坐席</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·高灵敏度麦克风</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·高音质扬声器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·铝合金拉丝面板，坚固耐用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·IP网络架构，跨网段、跨路由</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·监视监听功能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·录音功能（存储在服务器本地，可导出）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·广播喊话功能</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FC5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8B2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34 </w:t>
            </w:r>
          </w:p>
        </w:tc>
      </w:tr>
      <w:tr w14:paraId="7C366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08583">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34</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DD0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防欺凌录音</w:t>
            </w:r>
          </w:p>
        </w:tc>
        <w:tc>
          <w:tcPr>
            <w:tcW w:w="5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44B7D">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一键报警/求助</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·全双工语音通信</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·分级分权限功能，一级未接听自动转上一级</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·报警点电子地图显示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·支持多个接警坐席</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·高灵敏度麦克风</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·高音质扬声器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·铝合金拉丝面板，坚固耐用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·IP网络架构，跨网段、跨路由</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·录音功能（存储在服务器本地，可导出）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·广播喊话功能</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2A4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5F2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14 </w:t>
            </w:r>
          </w:p>
        </w:tc>
      </w:tr>
      <w:tr w14:paraId="6691D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2" w:hRule="atLeast"/>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BCAFE">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35</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471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服务器平台电脑接警软件</w:t>
            </w:r>
          </w:p>
        </w:tc>
        <w:tc>
          <w:tcPr>
            <w:tcW w:w="5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F596F">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联网中心平台，接收前端报警主机的报警信息，自动视频弹窗，可以多平台多级管理，平台带应急广播播报功能</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335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245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1 </w:t>
            </w:r>
          </w:p>
        </w:tc>
      </w:tr>
      <w:tr w14:paraId="4B59E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6" w:hRule="atLeast"/>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6D621">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36</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571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POE电源</w:t>
            </w:r>
          </w:p>
        </w:tc>
        <w:tc>
          <w:tcPr>
            <w:tcW w:w="5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77226">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POE分离器通常由两个部分组成：一个POE输入口用于接收来自POE供电设备的电力和数据信号，以及一个电源输出口用于将电力输出到非POE设备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050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29B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58 </w:t>
            </w:r>
          </w:p>
        </w:tc>
      </w:tr>
      <w:tr w14:paraId="769E4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2" w:hRule="atLeast"/>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DFF5C">
            <w:pPr>
              <w:keepNext w:val="0"/>
              <w:keepLines w:val="0"/>
              <w:widowControl/>
              <w:suppressLineNumbers w:val="0"/>
              <w:spacing w:line="360" w:lineRule="auto"/>
              <w:jc w:val="center"/>
              <w:textAlignment w:val="center"/>
              <w:rPr>
                <w:rFonts w:hint="default"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37</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7A0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其他辅材及设备运输费</w:t>
            </w:r>
          </w:p>
        </w:tc>
        <w:tc>
          <w:tcPr>
            <w:tcW w:w="5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25068">
            <w:pPr>
              <w:spacing w:line="360" w:lineRule="auto"/>
              <w:jc w:val="left"/>
              <w:rPr>
                <w:rFonts w:hint="eastAsia" w:ascii="宋体" w:hAnsi="宋体" w:eastAsia="宋体" w:cs="宋体"/>
                <w:b w:val="0"/>
                <w:bCs w:val="0"/>
                <w:i w:val="0"/>
                <w:iCs w:val="0"/>
                <w:color w:val="000000"/>
                <w:sz w:val="21"/>
                <w:szCs w:val="21"/>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530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批</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AD1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1 </w:t>
            </w:r>
          </w:p>
        </w:tc>
      </w:tr>
      <w:tr w14:paraId="765D3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16500">
            <w:pPr>
              <w:spacing w:line="360" w:lineRule="auto"/>
              <w:jc w:val="center"/>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38</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C3C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安装调试</w:t>
            </w:r>
          </w:p>
        </w:tc>
        <w:tc>
          <w:tcPr>
            <w:tcW w:w="5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E2BEE">
            <w:pPr>
              <w:spacing w:line="360" w:lineRule="auto"/>
              <w:jc w:val="left"/>
              <w:rPr>
                <w:rFonts w:hint="eastAsia" w:ascii="宋体" w:hAnsi="宋体" w:eastAsia="宋体" w:cs="宋体"/>
                <w:b w:val="0"/>
                <w:bCs w:val="0"/>
                <w:i w:val="0"/>
                <w:iCs w:val="0"/>
                <w:color w:val="000000"/>
                <w:sz w:val="21"/>
                <w:szCs w:val="21"/>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123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615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1 </w:t>
            </w:r>
          </w:p>
        </w:tc>
      </w:tr>
    </w:tbl>
    <w:p w14:paraId="2620A9A9">
      <w:pPr>
        <w:rPr>
          <w:rFonts w:hint="eastAsia" w:asciiTheme="majorEastAsia" w:hAnsiTheme="majorEastAsia" w:eastAsiaTheme="majorEastAsia" w:cstheme="majorEastAsia"/>
          <w:b/>
          <w:bCs/>
          <w:sz w:val="36"/>
          <w:szCs w:val="36"/>
        </w:rPr>
      </w:pPr>
    </w:p>
    <w:p w14:paraId="13484594">
      <w:pPr>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br w:type="page"/>
      </w:r>
    </w:p>
    <w:p w14:paraId="1D7FBBC7">
      <w:pPr>
        <w:autoSpaceDE w:val="0"/>
        <w:autoSpaceDN w:val="0"/>
        <w:snapToGrid w:val="0"/>
        <w:spacing w:line="360" w:lineRule="auto"/>
        <w:jc w:val="center"/>
        <w:outlineLvl w:val="0"/>
        <w:rPr>
          <w:rFonts w:asciiTheme="majorEastAsia" w:hAnsiTheme="majorEastAsia" w:eastAsiaTheme="majorEastAsia" w:cstheme="majorEastAsia"/>
          <w:b/>
          <w:bCs/>
          <w:sz w:val="36"/>
          <w:szCs w:val="36"/>
          <w:lang w:val="zh-CN"/>
        </w:rPr>
      </w:pPr>
      <w:r>
        <w:rPr>
          <w:rFonts w:hint="eastAsia" w:asciiTheme="majorEastAsia" w:hAnsiTheme="majorEastAsia" w:eastAsiaTheme="majorEastAsia" w:cstheme="majorEastAsia"/>
          <w:b/>
          <w:bCs/>
          <w:sz w:val="36"/>
          <w:szCs w:val="36"/>
        </w:rPr>
        <w:t xml:space="preserve">第五章  </w:t>
      </w:r>
      <w:r>
        <w:rPr>
          <w:rFonts w:hint="eastAsia" w:asciiTheme="majorEastAsia" w:hAnsiTheme="majorEastAsia" w:eastAsiaTheme="majorEastAsia" w:cstheme="majorEastAsia"/>
          <w:b/>
          <w:bCs/>
          <w:sz w:val="36"/>
          <w:szCs w:val="36"/>
          <w:lang w:val="zh-CN"/>
        </w:rPr>
        <w:t>商务条款</w:t>
      </w:r>
      <w:bookmarkEnd w:id="137"/>
      <w:bookmarkEnd w:id="138"/>
    </w:p>
    <w:p w14:paraId="1C053B75">
      <w:pPr>
        <w:pStyle w:val="10"/>
        <w:rPr>
          <w:rFonts w:asciiTheme="majorEastAsia" w:hAnsiTheme="majorEastAsia" w:eastAsiaTheme="majorEastAsia" w:cstheme="majorEastAsia"/>
          <w:lang w:val="zh-CN"/>
        </w:rPr>
      </w:pPr>
    </w:p>
    <w:p w14:paraId="29064530">
      <w:pPr>
        <w:spacing w:line="360" w:lineRule="auto"/>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一、交货期、质保期</w:t>
      </w:r>
    </w:p>
    <w:p w14:paraId="4E1CD1EA">
      <w:pPr>
        <w:spacing w:line="360" w:lineRule="auto"/>
        <w:ind w:firstLine="480" w:firstLineChars="200"/>
        <w:rPr>
          <w:rFonts w:hint="eastAsia" w:asciiTheme="majorEastAsia" w:hAnsiTheme="majorEastAsia" w:eastAsiaTheme="majorEastAsia" w:cstheme="majorEastAsia"/>
          <w:sz w:val="24"/>
          <w:szCs w:val="32"/>
          <w:lang w:eastAsia="zh-CN"/>
        </w:rPr>
      </w:pPr>
      <w:r>
        <w:rPr>
          <w:rFonts w:hint="eastAsia" w:asciiTheme="majorEastAsia" w:hAnsiTheme="majorEastAsia" w:eastAsiaTheme="majorEastAsia" w:cstheme="majorEastAsia"/>
          <w:sz w:val="24"/>
          <w:szCs w:val="32"/>
        </w:rPr>
        <w:t>1、交货期：</w:t>
      </w:r>
      <w:r>
        <w:rPr>
          <w:rFonts w:hint="eastAsia" w:eastAsiaTheme="majorEastAsia"/>
          <w:sz w:val="24"/>
          <w:lang w:eastAsia="zh-CN"/>
        </w:rPr>
        <w:t>合同签订后30日历天</w:t>
      </w:r>
    </w:p>
    <w:p w14:paraId="4052C467">
      <w:pPr>
        <w:spacing w:line="360" w:lineRule="auto"/>
        <w:ind w:firstLine="480" w:firstLineChars="200"/>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2、交货安装地点：</w:t>
      </w:r>
      <w:r>
        <w:rPr>
          <w:rFonts w:hint="eastAsia" w:asciiTheme="majorEastAsia" w:hAnsiTheme="majorEastAsia" w:eastAsiaTheme="majorEastAsia" w:cstheme="majorEastAsia"/>
          <w:sz w:val="24"/>
          <w:szCs w:val="32"/>
          <w:lang w:eastAsia="zh-CN"/>
        </w:rPr>
        <w:t>清涧县清涧中学</w:t>
      </w:r>
      <w:r>
        <w:rPr>
          <w:rFonts w:hint="eastAsia" w:asciiTheme="majorEastAsia" w:hAnsiTheme="majorEastAsia" w:eastAsiaTheme="majorEastAsia" w:cstheme="majorEastAsia"/>
          <w:sz w:val="24"/>
          <w:szCs w:val="32"/>
        </w:rPr>
        <w:t>指定地点。</w:t>
      </w:r>
    </w:p>
    <w:p w14:paraId="77FEC8F8">
      <w:pPr>
        <w:spacing w:line="360" w:lineRule="auto"/>
        <w:ind w:firstLine="480" w:firstLineChars="200"/>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3、质保期：1年</w:t>
      </w:r>
    </w:p>
    <w:p w14:paraId="1D27D7CF">
      <w:pPr>
        <w:spacing w:line="360" w:lineRule="auto"/>
        <w:rPr>
          <w:rFonts w:asciiTheme="majorEastAsia" w:hAnsiTheme="majorEastAsia" w:eastAsiaTheme="majorEastAsia" w:cstheme="majorEastAsia"/>
          <w:sz w:val="24"/>
          <w:szCs w:val="32"/>
        </w:rPr>
      </w:pPr>
      <w:bookmarkStart w:id="139" w:name="_Toc167714038"/>
      <w:bookmarkStart w:id="140" w:name="_Toc167715235"/>
      <w:bookmarkStart w:id="141" w:name="_Toc167712840"/>
      <w:r>
        <w:rPr>
          <w:rFonts w:hint="eastAsia" w:asciiTheme="majorEastAsia" w:hAnsiTheme="majorEastAsia" w:eastAsiaTheme="majorEastAsia" w:cstheme="majorEastAsia"/>
          <w:sz w:val="24"/>
          <w:szCs w:val="32"/>
        </w:rPr>
        <w:t>二、合同价款</w:t>
      </w:r>
    </w:p>
    <w:p w14:paraId="28F65D3C">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1、投标报价包含完成本次采购所要求的服务且验收合格的所有费用。</w:t>
      </w:r>
    </w:p>
    <w:p w14:paraId="33D452BB">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2、合同总价一次包死，不受市场价变化的影响。</w:t>
      </w:r>
    </w:p>
    <w:bookmarkEnd w:id="139"/>
    <w:bookmarkEnd w:id="140"/>
    <w:bookmarkEnd w:id="141"/>
    <w:p w14:paraId="7396CF60">
      <w:pPr>
        <w:spacing w:line="360" w:lineRule="auto"/>
        <w:rPr>
          <w:rFonts w:asciiTheme="majorEastAsia" w:hAnsiTheme="majorEastAsia" w:eastAsiaTheme="majorEastAsia" w:cstheme="majorEastAsia"/>
          <w:sz w:val="24"/>
          <w:szCs w:val="32"/>
        </w:rPr>
      </w:pPr>
      <w:bookmarkStart w:id="142" w:name="_Toc167712846"/>
      <w:bookmarkStart w:id="143" w:name="_Toc167714044"/>
      <w:bookmarkStart w:id="144" w:name="_Toc167715241"/>
      <w:r>
        <w:rPr>
          <w:rFonts w:hint="eastAsia" w:asciiTheme="majorEastAsia" w:hAnsiTheme="majorEastAsia" w:eastAsiaTheme="majorEastAsia" w:cstheme="majorEastAsia"/>
          <w:sz w:val="24"/>
          <w:szCs w:val="32"/>
        </w:rPr>
        <w:t>三、款项结算</w:t>
      </w:r>
    </w:p>
    <w:p w14:paraId="252A0E20">
      <w:pPr>
        <w:spacing w:line="360" w:lineRule="auto"/>
        <w:ind w:firstLine="480" w:firstLineChars="200"/>
        <w:rPr>
          <w:rFonts w:hint="eastAsia" w:asciiTheme="majorEastAsia" w:hAnsiTheme="majorEastAsia" w:eastAsiaTheme="majorEastAsia" w:cstheme="majorEastAsia"/>
          <w:sz w:val="24"/>
          <w:lang w:eastAsia="zh-CN"/>
        </w:rPr>
      </w:pPr>
      <w:r>
        <w:rPr>
          <w:rFonts w:hint="eastAsia" w:asciiTheme="majorEastAsia" w:hAnsiTheme="majorEastAsia" w:eastAsiaTheme="majorEastAsia" w:cstheme="majorEastAsia"/>
          <w:sz w:val="24"/>
        </w:rPr>
        <w:t>1、付款方式：</w:t>
      </w:r>
      <w:r>
        <w:rPr>
          <w:rFonts w:hint="eastAsia" w:eastAsiaTheme="majorEastAsia"/>
          <w:sz w:val="24"/>
          <w:lang w:eastAsia="zh-CN"/>
        </w:rPr>
        <w:t>合同签订后7个工作日内支付合同总价款30%，到货后7个工作日内支付合同总价款的20%，竣工后7个工作日内验收，验收合格后5个工作日内支付合同总价款的50%。</w:t>
      </w:r>
    </w:p>
    <w:p w14:paraId="6B0A7FF5">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szCs w:val="22"/>
        </w:rPr>
        <w:t>2、结算方式：按照国库集中支付有关规定执</w:t>
      </w:r>
      <w:r>
        <w:rPr>
          <w:rFonts w:hint="eastAsia" w:asciiTheme="majorEastAsia" w:hAnsiTheme="majorEastAsia" w:eastAsiaTheme="majorEastAsia" w:cstheme="majorEastAsia"/>
          <w:sz w:val="24"/>
        </w:rPr>
        <w:t>行，发票开采购人。</w:t>
      </w:r>
    </w:p>
    <w:p w14:paraId="0066C158">
      <w:pPr>
        <w:spacing w:line="360" w:lineRule="auto"/>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四、验收</w:t>
      </w:r>
    </w:p>
    <w:bookmarkEnd w:id="142"/>
    <w:bookmarkEnd w:id="143"/>
    <w:bookmarkEnd w:id="144"/>
    <w:p w14:paraId="6824BA41">
      <w:pPr>
        <w:spacing w:line="360" w:lineRule="auto"/>
        <w:ind w:firstLine="480" w:firstLineChars="200"/>
        <w:rPr>
          <w:rFonts w:asciiTheme="majorEastAsia" w:hAnsiTheme="majorEastAsia" w:eastAsiaTheme="majorEastAsia" w:cstheme="majorEastAsia"/>
          <w:sz w:val="24"/>
        </w:rPr>
      </w:pPr>
      <w:bookmarkStart w:id="145" w:name="_Toc167712849"/>
      <w:bookmarkStart w:id="146" w:name="_Toc167714047"/>
      <w:bookmarkStart w:id="147" w:name="_Toc167715244"/>
      <w:r>
        <w:rPr>
          <w:rFonts w:hint="eastAsia" w:asciiTheme="majorEastAsia" w:hAnsiTheme="majorEastAsia" w:eastAsiaTheme="majorEastAsia" w:cstheme="majorEastAsia"/>
          <w:sz w:val="24"/>
        </w:rPr>
        <w:t xml:space="preserve">按照采购合同的约定和现行国家标准、行业标准以及企业标准对每一项技术、服务、安全标准的履约情况进行确认。项目由采购方组织，邀请省库专家和监督单位与采购方共同验收，验收合格后由监督方出具验收证明。验收所产生的费用由中标人承担。                             </w:t>
      </w:r>
    </w:p>
    <w:p w14:paraId="678D7133">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验收依据：</w:t>
      </w:r>
    </w:p>
    <w:p w14:paraId="3E03AABD">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1、招标文件、投标文件、经济合同；</w:t>
      </w:r>
    </w:p>
    <w:p w14:paraId="34F2C52B">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2、国内相应的国家标准、行业标准及规范。</w:t>
      </w:r>
    </w:p>
    <w:bookmarkEnd w:id="145"/>
    <w:bookmarkEnd w:id="146"/>
    <w:bookmarkEnd w:id="147"/>
    <w:p w14:paraId="68C1E0F4">
      <w:pPr>
        <w:spacing w:line="360" w:lineRule="auto"/>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五、违约责任：</w:t>
      </w:r>
    </w:p>
    <w:p w14:paraId="68E3ECE1">
      <w:pPr>
        <w:spacing w:line="360" w:lineRule="auto"/>
        <w:ind w:firstLine="480" w:firstLineChars="200"/>
        <w:rPr>
          <w:rFonts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1、按《中华人民共和国民法典》中的相关条款执行。</w:t>
      </w:r>
    </w:p>
    <w:p w14:paraId="44CE3005">
      <w:pPr>
        <w:spacing w:line="360" w:lineRule="auto"/>
        <w:ind w:firstLine="480" w:firstLineChars="200"/>
        <w:rPr>
          <w:rFonts w:asciiTheme="majorEastAsia" w:hAnsiTheme="majorEastAsia" w:eastAsiaTheme="majorEastAsia" w:cstheme="majorEastAsia"/>
          <w:sz w:val="24"/>
          <w:szCs w:val="32"/>
        </w:rPr>
        <w:sectPr>
          <w:pgSz w:w="11900" w:h="16838"/>
          <w:pgMar w:top="1429" w:right="1417" w:bottom="1417" w:left="1417" w:header="850" w:footer="850" w:gutter="0"/>
          <w:cols w:space="720" w:num="1"/>
          <w:docGrid w:linePitch="326" w:charSpace="0"/>
        </w:sectPr>
      </w:pPr>
      <w:r>
        <w:rPr>
          <w:rFonts w:hint="eastAsia" w:asciiTheme="majorEastAsia" w:hAnsiTheme="majorEastAsia" w:eastAsiaTheme="majorEastAsia" w:cstheme="majorEastAsia"/>
          <w:sz w:val="24"/>
          <w:szCs w:val="32"/>
        </w:rPr>
        <w:t>2、未按合同要求提供产品质量不能满足技术要求，招标人有权终止合同，并对供方违约行为进行追究，同时按《中华人民共和国政府采购法》的有关规定进行处罚。</w:t>
      </w:r>
    </w:p>
    <w:p w14:paraId="489FC3D1">
      <w:pPr>
        <w:autoSpaceDE w:val="0"/>
        <w:autoSpaceDN w:val="0"/>
        <w:snapToGrid w:val="0"/>
        <w:spacing w:line="360" w:lineRule="auto"/>
        <w:jc w:val="center"/>
        <w:outlineLvl w:val="0"/>
        <w:rPr>
          <w:rFonts w:asciiTheme="majorEastAsia" w:hAnsiTheme="majorEastAsia" w:eastAsiaTheme="majorEastAsia" w:cstheme="majorEastAsia"/>
          <w:b/>
          <w:bCs/>
          <w:sz w:val="36"/>
          <w:szCs w:val="36"/>
        </w:rPr>
      </w:pPr>
      <w:bookmarkStart w:id="148" w:name="_Toc8998"/>
      <w:r>
        <w:rPr>
          <w:rFonts w:hint="eastAsia" w:asciiTheme="majorEastAsia" w:hAnsiTheme="majorEastAsia" w:eastAsiaTheme="majorEastAsia" w:cstheme="majorEastAsia"/>
          <w:b/>
          <w:bCs/>
          <w:sz w:val="36"/>
          <w:szCs w:val="36"/>
        </w:rPr>
        <w:t>第六章</w:t>
      </w:r>
      <w:r>
        <w:rPr>
          <w:rFonts w:hint="eastAsia" w:asciiTheme="majorEastAsia" w:hAnsiTheme="majorEastAsia" w:eastAsiaTheme="majorEastAsia" w:cstheme="majorEastAsia"/>
          <w:b/>
          <w:bCs/>
          <w:sz w:val="36"/>
          <w:szCs w:val="36"/>
          <w:lang w:val="en-US" w:eastAsia="zh-CN"/>
        </w:rPr>
        <w:t xml:space="preserve">  </w:t>
      </w:r>
      <w:r>
        <w:rPr>
          <w:rFonts w:hint="eastAsia" w:asciiTheme="majorEastAsia" w:hAnsiTheme="majorEastAsia" w:eastAsiaTheme="majorEastAsia" w:cstheme="majorEastAsia"/>
          <w:b/>
          <w:bCs/>
          <w:sz w:val="36"/>
          <w:szCs w:val="36"/>
        </w:rPr>
        <w:t>合同条款</w:t>
      </w:r>
      <w:bookmarkEnd w:id="148"/>
    </w:p>
    <w:p w14:paraId="491220EC">
      <w:pPr>
        <w:snapToGrid w:val="0"/>
        <w:spacing w:line="440" w:lineRule="exact"/>
        <w:rPr>
          <w:sz w:val="24"/>
        </w:rPr>
      </w:pPr>
      <w:r>
        <w:rPr>
          <w:rFonts w:hint="eastAsia"/>
          <w:sz w:val="24"/>
        </w:rPr>
        <w:t>甲方：</w:t>
      </w:r>
    </w:p>
    <w:p w14:paraId="5E0F7442">
      <w:pPr>
        <w:snapToGrid w:val="0"/>
        <w:spacing w:line="440" w:lineRule="exact"/>
        <w:rPr>
          <w:sz w:val="24"/>
        </w:rPr>
      </w:pPr>
      <w:r>
        <w:rPr>
          <w:rFonts w:hint="eastAsia"/>
          <w:sz w:val="24"/>
        </w:rPr>
        <w:t>乙方：</w:t>
      </w:r>
    </w:p>
    <w:p w14:paraId="174F3DF6">
      <w:pPr>
        <w:snapToGrid w:val="0"/>
        <w:spacing w:line="440" w:lineRule="exact"/>
        <w:ind w:firstLine="480" w:firstLineChars="200"/>
        <w:rPr>
          <w:sz w:val="24"/>
        </w:rPr>
      </w:pPr>
      <w:r>
        <w:rPr>
          <w:rFonts w:hint="eastAsia"/>
          <w:sz w:val="24"/>
        </w:rPr>
        <w:t>为维护甲乙权益，根据</w:t>
      </w:r>
      <w:r>
        <w:rPr>
          <w:rFonts w:hint="eastAsia" w:ascii="宋体" w:hAnsi="宋体"/>
          <w:sz w:val="24"/>
        </w:rPr>
        <w:t>《中华人民共和国民法典》</w:t>
      </w:r>
      <w:r>
        <w:rPr>
          <w:rFonts w:hint="eastAsia"/>
          <w:sz w:val="24"/>
        </w:rPr>
        <w:t xml:space="preserve">有关规定，经甲，乙双方友好协商达成如下协议： </w:t>
      </w:r>
    </w:p>
    <w:p w14:paraId="639E510B">
      <w:pPr>
        <w:snapToGrid w:val="0"/>
        <w:spacing w:line="440" w:lineRule="exact"/>
        <w:ind w:firstLine="482" w:firstLineChars="200"/>
        <w:rPr>
          <w:b/>
          <w:bCs/>
          <w:sz w:val="24"/>
          <w:u w:val="single"/>
        </w:rPr>
      </w:pPr>
      <w:r>
        <w:rPr>
          <w:rFonts w:hint="eastAsia"/>
          <w:b/>
          <w:bCs/>
          <w:sz w:val="24"/>
        </w:rPr>
        <w:t>一、项目设备清单附后（见附表，共</w:t>
      </w:r>
      <w:r>
        <w:rPr>
          <w:rFonts w:hint="eastAsia"/>
          <w:b/>
          <w:bCs/>
          <w:sz w:val="24"/>
          <w:lang w:val="en-US" w:eastAsia="zh-CN"/>
        </w:rPr>
        <w:t xml:space="preserve"> </w:t>
      </w:r>
      <w:r>
        <w:rPr>
          <w:rFonts w:hint="eastAsia"/>
          <w:b/>
          <w:bCs/>
          <w:sz w:val="24"/>
        </w:rPr>
        <w:t>页）</w:t>
      </w:r>
    </w:p>
    <w:p w14:paraId="6A454520">
      <w:pPr>
        <w:snapToGrid w:val="0"/>
        <w:spacing w:line="440" w:lineRule="exact"/>
        <w:ind w:firstLine="482" w:firstLineChars="200"/>
        <w:rPr>
          <w:sz w:val="24"/>
          <w:u w:val="single"/>
        </w:rPr>
      </w:pPr>
      <w:r>
        <w:rPr>
          <w:rFonts w:hint="eastAsia"/>
          <w:b/>
          <w:bCs/>
          <w:sz w:val="24"/>
        </w:rPr>
        <w:t>二、合同总金额：</w:t>
      </w:r>
      <w:r>
        <w:rPr>
          <w:rFonts w:hint="eastAsia"/>
          <w:sz w:val="24"/>
        </w:rPr>
        <w:t>（大写）</w:t>
      </w:r>
      <w:r>
        <w:rPr>
          <w:rFonts w:hint="eastAsia"/>
          <w:sz w:val="24"/>
          <w:u w:val="single"/>
          <w:lang w:val="en-US" w:eastAsia="zh-CN"/>
        </w:rPr>
        <w:t xml:space="preserve">          </w:t>
      </w:r>
      <w:r>
        <w:rPr>
          <w:rFonts w:hint="eastAsia" w:ascii="宋体" w:hAnsi="宋体"/>
          <w:b/>
          <w:sz w:val="24"/>
          <w:u w:val="single"/>
        </w:rPr>
        <w:t>（￥：</w:t>
      </w:r>
      <w:r>
        <w:rPr>
          <w:rFonts w:hint="eastAsia" w:ascii="宋体" w:hAnsi="宋体"/>
          <w:b/>
          <w:sz w:val="24"/>
          <w:u w:val="single"/>
          <w:lang w:val="en-US" w:eastAsia="zh-CN"/>
        </w:rPr>
        <w:t xml:space="preserve">      </w:t>
      </w:r>
      <w:r>
        <w:rPr>
          <w:rFonts w:hint="eastAsia" w:ascii="宋体" w:hAnsi="宋体"/>
          <w:b/>
          <w:sz w:val="24"/>
          <w:u w:val="single"/>
        </w:rPr>
        <w:t>元）</w:t>
      </w:r>
      <w:r>
        <w:rPr>
          <w:rFonts w:hint="eastAsia"/>
          <w:b/>
          <w:sz w:val="24"/>
        </w:rPr>
        <w:t>。</w:t>
      </w:r>
    </w:p>
    <w:p w14:paraId="1BAB22AE">
      <w:pPr>
        <w:snapToGrid w:val="0"/>
        <w:spacing w:line="440" w:lineRule="exact"/>
        <w:ind w:firstLine="482" w:firstLineChars="200"/>
        <w:rPr>
          <w:b/>
          <w:bCs/>
          <w:sz w:val="24"/>
          <w:u w:val="single"/>
        </w:rPr>
      </w:pPr>
      <w:r>
        <w:rPr>
          <w:rFonts w:hint="eastAsia"/>
          <w:b/>
          <w:bCs/>
          <w:sz w:val="24"/>
        </w:rPr>
        <w:t>三、付款方式及时间：</w:t>
      </w:r>
    </w:p>
    <w:p w14:paraId="2C182710">
      <w:pPr>
        <w:spacing w:line="360" w:lineRule="auto"/>
        <w:ind w:firstLine="480" w:firstLineChars="200"/>
        <w:rPr>
          <w:rFonts w:hint="eastAsia" w:asciiTheme="majorEastAsia" w:hAnsiTheme="majorEastAsia" w:eastAsiaTheme="majorEastAsia" w:cstheme="majorEastAsia"/>
          <w:sz w:val="24"/>
          <w:lang w:eastAsia="zh-CN"/>
        </w:rPr>
      </w:pPr>
      <w:r>
        <w:rPr>
          <w:rFonts w:hint="eastAsia"/>
          <w:sz w:val="24"/>
        </w:rPr>
        <w:t>人民币银行转帐或现金，乙方提供发票。</w:t>
      </w:r>
      <w:r>
        <w:rPr>
          <w:rFonts w:hint="eastAsia" w:eastAsiaTheme="majorEastAsia"/>
          <w:sz w:val="24"/>
          <w:lang w:eastAsia="zh-CN"/>
        </w:rPr>
        <w:t>合同签订后7个工作日内支付合同总价款30%，到货后7个工作日内支付合同总价款的20%，竣工后7个工作日内验收，验收合格后5个工作日内支付合同总价款的50%。</w:t>
      </w:r>
    </w:p>
    <w:p w14:paraId="6211595C">
      <w:pPr>
        <w:snapToGrid w:val="0"/>
        <w:spacing w:line="440" w:lineRule="exact"/>
        <w:ind w:firstLine="482" w:firstLineChars="200"/>
        <w:rPr>
          <w:b/>
          <w:bCs/>
          <w:sz w:val="24"/>
        </w:rPr>
      </w:pPr>
      <w:r>
        <w:rPr>
          <w:rFonts w:hint="eastAsia"/>
          <w:b/>
          <w:bCs/>
          <w:sz w:val="24"/>
        </w:rPr>
        <w:t>四、交货期：</w:t>
      </w:r>
      <w:r>
        <w:rPr>
          <w:rFonts w:hint="eastAsia"/>
          <w:sz w:val="24"/>
          <w:lang w:eastAsia="zh-CN"/>
        </w:rPr>
        <w:t>合同签订后30日历天</w:t>
      </w:r>
      <w:r>
        <w:rPr>
          <w:rFonts w:hint="eastAsia"/>
          <w:b/>
          <w:bCs/>
          <w:sz w:val="24"/>
        </w:rPr>
        <w:t>。</w:t>
      </w:r>
    </w:p>
    <w:p w14:paraId="42CF5692">
      <w:pPr>
        <w:snapToGrid w:val="0"/>
        <w:spacing w:line="440" w:lineRule="exact"/>
        <w:ind w:firstLine="482" w:firstLineChars="200"/>
        <w:rPr>
          <w:b/>
          <w:bCs/>
          <w:sz w:val="24"/>
        </w:rPr>
      </w:pPr>
      <w:r>
        <w:rPr>
          <w:rFonts w:hint="eastAsia"/>
          <w:b/>
          <w:bCs/>
          <w:sz w:val="24"/>
        </w:rPr>
        <w:t>五、交货地点：</w:t>
      </w:r>
    </w:p>
    <w:p w14:paraId="6CDC55E2">
      <w:pPr>
        <w:snapToGrid w:val="0"/>
        <w:spacing w:line="440" w:lineRule="exact"/>
        <w:ind w:firstLine="482" w:firstLineChars="200"/>
        <w:rPr>
          <w:b/>
          <w:bCs/>
          <w:sz w:val="24"/>
        </w:rPr>
      </w:pPr>
      <w:r>
        <w:rPr>
          <w:rFonts w:hint="eastAsia"/>
          <w:b/>
          <w:bCs/>
          <w:sz w:val="24"/>
        </w:rPr>
        <w:t>六、甲乙双方的权利和义务</w:t>
      </w:r>
    </w:p>
    <w:p w14:paraId="05C8A7DB">
      <w:pPr>
        <w:pStyle w:val="24"/>
        <w:numPr>
          <w:ilvl w:val="0"/>
          <w:numId w:val="2"/>
        </w:numPr>
        <w:spacing w:line="440" w:lineRule="exact"/>
        <w:ind w:firstLine="540"/>
        <w:rPr>
          <w:b/>
          <w:bCs/>
        </w:rPr>
      </w:pPr>
      <w:r>
        <w:rPr>
          <w:rFonts w:hint="eastAsia"/>
          <w:b/>
          <w:bCs/>
        </w:rPr>
        <w:t>甲方权利和义务</w:t>
      </w:r>
    </w:p>
    <w:p w14:paraId="7A0262B4">
      <w:pPr>
        <w:snapToGrid w:val="0"/>
        <w:spacing w:line="440" w:lineRule="exact"/>
        <w:ind w:firstLine="480" w:firstLineChars="200"/>
        <w:rPr>
          <w:sz w:val="24"/>
        </w:rPr>
      </w:pPr>
      <w:r>
        <w:rPr>
          <w:rFonts w:hint="eastAsia"/>
          <w:sz w:val="24"/>
        </w:rPr>
        <w:t>1.1按照本合同的付款条款支付所需款项。</w:t>
      </w:r>
    </w:p>
    <w:p w14:paraId="4C9A6355">
      <w:pPr>
        <w:snapToGrid w:val="0"/>
        <w:spacing w:line="440" w:lineRule="exact"/>
        <w:ind w:firstLine="480" w:firstLineChars="200"/>
        <w:rPr>
          <w:sz w:val="24"/>
        </w:rPr>
      </w:pPr>
      <w:r>
        <w:rPr>
          <w:rFonts w:hint="eastAsia"/>
          <w:sz w:val="24"/>
        </w:rPr>
        <w:t>1.2提供场地，配合乙方做好项目实施的运行环境等。</w:t>
      </w:r>
    </w:p>
    <w:p w14:paraId="24F5ACE6">
      <w:pPr>
        <w:snapToGrid w:val="0"/>
        <w:spacing w:line="440" w:lineRule="exact"/>
        <w:ind w:firstLine="480" w:firstLineChars="200"/>
        <w:rPr>
          <w:sz w:val="24"/>
        </w:rPr>
      </w:pPr>
      <w:r>
        <w:rPr>
          <w:rFonts w:hint="eastAsia"/>
          <w:sz w:val="24"/>
        </w:rPr>
        <w:t>1.3定期做好重要数据备份，并对数据妥善保管。</w:t>
      </w:r>
    </w:p>
    <w:p w14:paraId="18AEAB98">
      <w:pPr>
        <w:snapToGrid w:val="0"/>
        <w:spacing w:line="440" w:lineRule="exact"/>
        <w:ind w:firstLine="480" w:firstLineChars="200"/>
        <w:rPr>
          <w:sz w:val="24"/>
        </w:rPr>
      </w:pPr>
      <w:r>
        <w:rPr>
          <w:rFonts w:hint="eastAsia"/>
          <w:sz w:val="24"/>
        </w:rPr>
        <w:t>1.4甲方在乙方完成项目后，协作检查软件系统是否正常，并在验收单上签字确认。</w:t>
      </w:r>
    </w:p>
    <w:p w14:paraId="18765BEF">
      <w:pPr>
        <w:snapToGrid w:val="0"/>
        <w:spacing w:line="440" w:lineRule="exact"/>
        <w:ind w:firstLine="480" w:firstLineChars="200"/>
        <w:rPr>
          <w:sz w:val="24"/>
        </w:rPr>
      </w:pPr>
      <w:r>
        <w:rPr>
          <w:rFonts w:hint="eastAsia"/>
          <w:sz w:val="24"/>
        </w:rPr>
        <w:t>1.5甲方确定项目建设的负责人      ，联系电话：</w:t>
      </w:r>
    </w:p>
    <w:p w14:paraId="59303C6F">
      <w:pPr>
        <w:pStyle w:val="24"/>
        <w:numPr>
          <w:ilvl w:val="0"/>
          <w:numId w:val="2"/>
        </w:numPr>
        <w:spacing w:line="440" w:lineRule="exact"/>
        <w:ind w:firstLine="540"/>
        <w:rPr>
          <w:b/>
          <w:bCs/>
        </w:rPr>
      </w:pPr>
      <w:r>
        <w:rPr>
          <w:rFonts w:hint="eastAsia"/>
          <w:b/>
          <w:bCs/>
        </w:rPr>
        <w:t>乙方权利和义务</w:t>
      </w:r>
    </w:p>
    <w:p w14:paraId="4327DE95">
      <w:pPr>
        <w:snapToGrid w:val="0"/>
        <w:spacing w:line="440" w:lineRule="exact"/>
        <w:ind w:firstLine="480" w:firstLineChars="200"/>
        <w:rPr>
          <w:sz w:val="24"/>
        </w:rPr>
      </w:pPr>
      <w:r>
        <w:rPr>
          <w:rFonts w:hint="eastAsia"/>
          <w:sz w:val="24"/>
        </w:rPr>
        <w:t>2.1根据本合同所规定的时间完成安装调试和甲方相关人员的培训。</w:t>
      </w:r>
    </w:p>
    <w:p w14:paraId="1F0E9BBE">
      <w:pPr>
        <w:snapToGrid w:val="0"/>
        <w:spacing w:line="440" w:lineRule="exact"/>
        <w:ind w:firstLine="480" w:firstLineChars="200"/>
        <w:rPr>
          <w:sz w:val="24"/>
        </w:rPr>
      </w:pPr>
      <w:r>
        <w:rPr>
          <w:rFonts w:hint="eastAsia"/>
          <w:sz w:val="24"/>
        </w:rPr>
        <w:t>2.2质保期内的软件免费升级、培训、技术支持。</w:t>
      </w:r>
    </w:p>
    <w:p w14:paraId="71B7EE01">
      <w:pPr>
        <w:snapToGrid w:val="0"/>
        <w:spacing w:line="440" w:lineRule="exact"/>
        <w:ind w:firstLine="480" w:firstLineChars="200"/>
        <w:rPr>
          <w:b/>
          <w:bCs/>
          <w:sz w:val="24"/>
        </w:rPr>
      </w:pPr>
      <w:r>
        <w:rPr>
          <w:rFonts w:hint="eastAsia"/>
          <w:sz w:val="24"/>
        </w:rPr>
        <w:t>2.3向甲方提供相应的软件使用文档，保证上述文档清楚、完整和正确。</w:t>
      </w:r>
    </w:p>
    <w:p w14:paraId="4CCD80FB">
      <w:pPr>
        <w:snapToGrid w:val="0"/>
        <w:spacing w:line="440" w:lineRule="exact"/>
        <w:ind w:firstLine="480" w:firstLineChars="200"/>
        <w:rPr>
          <w:sz w:val="24"/>
        </w:rPr>
      </w:pPr>
      <w:r>
        <w:rPr>
          <w:rFonts w:hint="eastAsia"/>
          <w:sz w:val="24"/>
        </w:rPr>
        <w:t>2.4乙方确定项目建设的负责人      ，联系电话：</w:t>
      </w:r>
    </w:p>
    <w:p w14:paraId="03C2033E">
      <w:pPr>
        <w:snapToGrid w:val="0"/>
        <w:spacing w:line="440" w:lineRule="exact"/>
        <w:ind w:firstLine="480" w:firstLineChars="200"/>
        <w:rPr>
          <w:sz w:val="24"/>
        </w:rPr>
      </w:pPr>
      <w:r>
        <w:rPr>
          <w:rFonts w:hint="eastAsia"/>
          <w:sz w:val="24"/>
        </w:rPr>
        <w:t>2.5乙方应按照甲方所委托的监理公司的要求，完成好项目的建设。</w:t>
      </w:r>
    </w:p>
    <w:p w14:paraId="696833D2">
      <w:pPr>
        <w:snapToGrid w:val="0"/>
        <w:spacing w:line="440" w:lineRule="exact"/>
        <w:ind w:firstLine="482" w:firstLineChars="200"/>
        <w:rPr>
          <w:rFonts w:eastAsiaTheme="minorEastAsia"/>
          <w:b/>
          <w:bCs/>
          <w:sz w:val="24"/>
        </w:rPr>
      </w:pPr>
      <w:r>
        <w:rPr>
          <w:rFonts w:hint="eastAsia"/>
          <w:b/>
          <w:bCs/>
          <w:sz w:val="24"/>
        </w:rPr>
        <w:t>七、质量要求</w:t>
      </w:r>
    </w:p>
    <w:p w14:paraId="520AA099">
      <w:pPr>
        <w:snapToGrid w:val="0"/>
        <w:spacing w:line="440" w:lineRule="exact"/>
        <w:ind w:firstLine="480" w:firstLineChars="200"/>
        <w:rPr>
          <w:sz w:val="24"/>
        </w:rPr>
      </w:pPr>
      <w:r>
        <w:rPr>
          <w:rFonts w:hint="eastAsia"/>
          <w:sz w:val="24"/>
        </w:rPr>
        <w:t>1. 乙方提供的货物应与合同中规定的产品相符，保证质量。</w:t>
      </w:r>
    </w:p>
    <w:p w14:paraId="1244C0CB">
      <w:pPr>
        <w:snapToGrid w:val="0"/>
        <w:spacing w:line="440" w:lineRule="exact"/>
        <w:ind w:firstLine="480" w:firstLineChars="200"/>
        <w:rPr>
          <w:sz w:val="24"/>
        </w:rPr>
      </w:pPr>
      <w:r>
        <w:rPr>
          <w:rFonts w:hint="eastAsia"/>
          <w:sz w:val="24"/>
        </w:rPr>
        <w:t>2. 货物外包装必须为原厂包装，且完好无损。</w:t>
      </w:r>
    </w:p>
    <w:p w14:paraId="7C3C36A6">
      <w:pPr>
        <w:snapToGrid w:val="0"/>
        <w:spacing w:line="440" w:lineRule="exact"/>
        <w:ind w:firstLine="480" w:firstLineChars="200"/>
        <w:rPr>
          <w:sz w:val="24"/>
        </w:rPr>
      </w:pPr>
      <w:r>
        <w:rPr>
          <w:rFonts w:hint="eastAsia"/>
          <w:sz w:val="24"/>
        </w:rPr>
        <w:t>3.包装标准、包装物的供应与回收：厂家原包装，不回收包装，但是甲方必须将所有设备包装物完整无缺无损地保存至质保期满。</w:t>
      </w:r>
    </w:p>
    <w:p w14:paraId="251DF210">
      <w:pPr>
        <w:snapToGrid w:val="0"/>
        <w:spacing w:line="440" w:lineRule="exact"/>
        <w:ind w:firstLine="482" w:firstLineChars="200"/>
        <w:rPr>
          <w:rFonts w:eastAsiaTheme="minorEastAsia"/>
          <w:b/>
          <w:bCs/>
          <w:sz w:val="24"/>
        </w:rPr>
      </w:pPr>
      <w:r>
        <w:rPr>
          <w:rFonts w:hint="eastAsia"/>
          <w:b/>
          <w:bCs/>
          <w:sz w:val="24"/>
        </w:rPr>
        <w:t>八、工程验收标准</w:t>
      </w:r>
    </w:p>
    <w:p w14:paraId="4A2E0233">
      <w:pPr>
        <w:snapToGrid w:val="0"/>
        <w:spacing w:line="440" w:lineRule="exact"/>
        <w:ind w:firstLine="480" w:firstLineChars="200"/>
        <w:rPr>
          <w:sz w:val="24"/>
        </w:rPr>
      </w:pPr>
      <w:r>
        <w:rPr>
          <w:rFonts w:hint="eastAsia"/>
          <w:sz w:val="24"/>
        </w:rPr>
        <w:t>1.按照项目实施方案的要求，进行设计、安装、调试，由甲乙双方和监理方双方共同验收。</w:t>
      </w:r>
    </w:p>
    <w:p w14:paraId="452CD9FB">
      <w:pPr>
        <w:snapToGrid w:val="0"/>
        <w:spacing w:line="440" w:lineRule="exact"/>
        <w:ind w:firstLine="480" w:firstLineChars="200"/>
        <w:rPr>
          <w:sz w:val="24"/>
        </w:rPr>
      </w:pPr>
      <w:r>
        <w:rPr>
          <w:rFonts w:hint="eastAsia"/>
          <w:sz w:val="24"/>
        </w:rPr>
        <w:t>2.乙方提出书面验收报告之日起三日内甲方组织验收，否则，视同验收通过。</w:t>
      </w:r>
    </w:p>
    <w:p w14:paraId="164D6594">
      <w:pPr>
        <w:snapToGrid w:val="0"/>
        <w:spacing w:line="440" w:lineRule="exact"/>
        <w:ind w:firstLine="482" w:firstLineChars="200"/>
        <w:rPr>
          <w:rFonts w:eastAsiaTheme="minorEastAsia"/>
          <w:b/>
          <w:bCs/>
          <w:sz w:val="24"/>
        </w:rPr>
      </w:pPr>
      <w:r>
        <w:rPr>
          <w:rFonts w:hint="eastAsia"/>
          <w:b/>
          <w:bCs/>
          <w:sz w:val="24"/>
        </w:rPr>
        <w:t>九、售后服务标准</w:t>
      </w:r>
    </w:p>
    <w:p w14:paraId="6E658363">
      <w:pPr>
        <w:snapToGrid w:val="0"/>
        <w:spacing w:line="440" w:lineRule="exact"/>
        <w:ind w:firstLine="480" w:firstLineChars="200"/>
        <w:rPr>
          <w:sz w:val="24"/>
        </w:rPr>
      </w:pPr>
      <w:r>
        <w:rPr>
          <w:rFonts w:hint="eastAsia"/>
          <w:sz w:val="24"/>
        </w:rPr>
        <w:t>1.保质期一年，保质期满后提供免费维护，如需更换或维修，仅收取成本费。</w:t>
      </w:r>
    </w:p>
    <w:p w14:paraId="76228F8B">
      <w:pPr>
        <w:snapToGrid w:val="0"/>
        <w:spacing w:line="440" w:lineRule="exact"/>
        <w:ind w:firstLine="480" w:firstLineChars="200"/>
        <w:rPr>
          <w:rFonts w:eastAsiaTheme="minorEastAsia"/>
          <w:sz w:val="24"/>
        </w:rPr>
      </w:pPr>
      <w:r>
        <w:rPr>
          <w:rFonts w:hint="eastAsia"/>
          <w:sz w:val="24"/>
        </w:rPr>
        <w:t>2.由乙方专门的服务调度人员提供服务并做详细记录。客服上班时间为8：00--17：30。</w:t>
      </w:r>
    </w:p>
    <w:p w14:paraId="3E7B7DA3">
      <w:pPr>
        <w:snapToGrid w:val="0"/>
        <w:spacing w:line="440" w:lineRule="exact"/>
        <w:ind w:firstLine="482" w:firstLineChars="200"/>
        <w:rPr>
          <w:b/>
          <w:bCs/>
          <w:sz w:val="24"/>
        </w:rPr>
      </w:pPr>
      <w:r>
        <w:rPr>
          <w:rFonts w:hint="eastAsia"/>
          <w:b/>
          <w:bCs/>
          <w:sz w:val="24"/>
        </w:rPr>
        <w:t>十、技术培训：</w:t>
      </w:r>
    </w:p>
    <w:p w14:paraId="169BBEC4">
      <w:pPr>
        <w:snapToGrid w:val="0"/>
        <w:spacing w:line="440" w:lineRule="exact"/>
        <w:ind w:firstLine="480" w:firstLineChars="200"/>
        <w:rPr>
          <w:sz w:val="24"/>
        </w:rPr>
      </w:pPr>
      <w:r>
        <w:rPr>
          <w:rFonts w:hint="eastAsia"/>
          <w:sz w:val="24"/>
        </w:rPr>
        <w:t>自本合同签订以后，乙方必须为甲方提供使用技术培训，培训方式双方协商。</w:t>
      </w:r>
    </w:p>
    <w:p w14:paraId="14BCC57E">
      <w:pPr>
        <w:snapToGrid w:val="0"/>
        <w:spacing w:line="440" w:lineRule="exact"/>
        <w:ind w:firstLine="482" w:firstLineChars="200"/>
        <w:rPr>
          <w:rFonts w:eastAsiaTheme="minorEastAsia"/>
          <w:b/>
          <w:bCs/>
          <w:sz w:val="24"/>
        </w:rPr>
      </w:pPr>
      <w:r>
        <w:rPr>
          <w:rFonts w:hint="eastAsia"/>
          <w:b/>
          <w:bCs/>
          <w:sz w:val="24"/>
        </w:rPr>
        <w:t>十一、违约责任</w:t>
      </w:r>
    </w:p>
    <w:p w14:paraId="78E6A8D0">
      <w:pPr>
        <w:snapToGrid w:val="0"/>
        <w:spacing w:line="440" w:lineRule="exact"/>
        <w:ind w:left="420"/>
        <w:rPr>
          <w:sz w:val="24"/>
        </w:rPr>
      </w:pPr>
      <w:r>
        <w:rPr>
          <w:rFonts w:hint="eastAsia"/>
          <w:sz w:val="24"/>
        </w:rPr>
        <w:t>1.除不可抗拒因素外，甲，乙双方如有违约行为，违约方每天按合同总金额的5‰</w:t>
      </w:r>
    </w:p>
    <w:p w14:paraId="512549B8">
      <w:pPr>
        <w:snapToGrid w:val="0"/>
        <w:spacing w:line="440" w:lineRule="exact"/>
        <w:rPr>
          <w:sz w:val="24"/>
        </w:rPr>
      </w:pPr>
      <w:r>
        <w:rPr>
          <w:rFonts w:hint="eastAsia"/>
          <w:sz w:val="24"/>
        </w:rPr>
        <w:t>付给对方违约金。（双方另行协商同意者除外）</w:t>
      </w:r>
    </w:p>
    <w:p w14:paraId="29F56688">
      <w:pPr>
        <w:snapToGrid w:val="0"/>
        <w:spacing w:line="440" w:lineRule="exact"/>
        <w:ind w:firstLine="480" w:firstLineChars="200"/>
        <w:rPr>
          <w:rFonts w:eastAsiaTheme="minorEastAsia"/>
          <w:sz w:val="24"/>
        </w:rPr>
      </w:pPr>
      <w:r>
        <w:rPr>
          <w:rFonts w:hint="eastAsia"/>
          <w:sz w:val="24"/>
        </w:rPr>
        <w:t>2.甲方必须如期付清全部货款，如违反此约定，甲方须向乙方支付每天按合同总金额的5‰的违约赔偿金。直至连同货款付清为止。因财政拨付资金的原因，造成延期支付货款的情形除外。</w:t>
      </w:r>
    </w:p>
    <w:p w14:paraId="6AD5CAEB">
      <w:pPr>
        <w:snapToGrid w:val="0"/>
        <w:spacing w:line="440" w:lineRule="exact"/>
        <w:ind w:firstLine="480" w:firstLineChars="200"/>
        <w:rPr>
          <w:sz w:val="24"/>
        </w:rPr>
      </w:pPr>
      <w:r>
        <w:rPr>
          <w:rFonts w:hint="eastAsia"/>
          <w:sz w:val="24"/>
        </w:rPr>
        <w:t>3.若甲方未付款或到期没能付清全部货款，乙方有权收回机器，甲方须无条件配合。</w:t>
      </w:r>
    </w:p>
    <w:p w14:paraId="30672CA6">
      <w:pPr>
        <w:snapToGrid w:val="0"/>
        <w:spacing w:line="440" w:lineRule="exact"/>
        <w:ind w:firstLine="482" w:firstLineChars="200"/>
        <w:rPr>
          <w:b/>
          <w:bCs/>
          <w:sz w:val="24"/>
        </w:rPr>
      </w:pPr>
      <w:r>
        <w:rPr>
          <w:rFonts w:hint="eastAsia"/>
          <w:b/>
          <w:bCs/>
          <w:sz w:val="24"/>
        </w:rPr>
        <w:t>十二、注意事项:</w:t>
      </w:r>
    </w:p>
    <w:p w14:paraId="23C44105">
      <w:pPr>
        <w:snapToGrid w:val="0"/>
        <w:spacing w:line="440" w:lineRule="exact"/>
        <w:ind w:firstLine="480" w:firstLineChars="200"/>
        <w:rPr>
          <w:sz w:val="24"/>
        </w:rPr>
      </w:pPr>
      <w:r>
        <w:rPr>
          <w:rFonts w:hint="eastAsia"/>
          <w:sz w:val="24"/>
        </w:rPr>
        <w:t>出现下列情况，乙方有权拒绝继续为甲方保修设备或重新收取维修费：</w:t>
      </w:r>
    </w:p>
    <w:p w14:paraId="01EFEDEA">
      <w:pPr>
        <w:snapToGrid w:val="0"/>
        <w:spacing w:line="440" w:lineRule="exact"/>
        <w:ind w:firstLine="480" w:firstLineChars="200"/>
        <w:rPr>
          <w:sz w:val="24"/>
        </w:rPr>
      </w:pPr>
      <w:r>
        <w:rPr>
          <w:rFonts w:hint="eastAsia"/>
          <w:sz w:val="24"/>
        </w:rPr>
        <w:t>1.不按操作规则，由乙方以外维修人员进行维修、调整、改装而造成的故障和人</w:t>
      </w:r>
    </w:p>
    <w:p w14:paraId="666551CB">
      <w:pPr>
        <w:snapToGrid w:val="0"/>
        <w:spacing w:line="440" w:lineRule="exact"/>
        <w:rPr>
          <w:sz w:val="24"/>
        </w:rPr>
      </w:pPr>
      <w:r>
        <w:rPr>
          <w:rFonts w:hint="eastAsia"/>
          <w:sz w:val="24"/>
        </w:rPr>
        <w:t>为损坏。</w:t>
      </w:r>
    </w:p>
    <w:p w14:paraId="5E002231">
      <w:pPr>
        <w:snapToGrid w:val="0"/>
        <w:spacing w:line="440" w:lineRule="exact"/>
        <w:ind w:firstLine="480" w:firstLineChars="200"/>
        <w:rPr>
          <w:sz w:val="24"/>
        </w:rPr>
      </w:pPr>
      <w:r>
        <w:rPr>
          <w:rFonts w:hint="eastAsia"/>
          <w:sz w:val="24"/>
        </w:rPr>
        <w:t>2.因用户操作不当或因如火灾、水灾、地震、电压等人力不可抗拒因素造成的故障及损坏。</w:t>
      </w:r>
    </w:p>
    <w:p w14:paraId="5634C677">
      <w:pPr>
        <w:snapToGrid w:val="0"/>
        <w:spacing w:line="440" w:lineRule="exact"/>
        <w:ind w:firstLine="480" w:firstLineChars="200"/>
        <w:rPr>
          <w:sz w:val="24"/>
        </w:rPr>
      </w:pPr>
      <w:r>
        <w:rPr>
          <w:rFonts w:hint="eastAsia"/>
          <w:sz w:val="24"/>
        </w:rPr>
        <w:t>3.机器出现故障，在维修前，甲方应确认已做好文件和数据备份，如因甲方未做备份而导致文件和数据丢失，乙方不负重新录入或赔偿等责任。</w:t>
      </w:r>
    </w:p>
    <w:p w14:paraId="6A68ABE0">
      <w:pPr>
        <w:snapToGrid w:val="0"/>
        <w:spacing w:line="440" w:lineRule="exact"/>
        <w:ind w:firstLine="482" w:firstLineChars="200"/>
        <w:rPr>
          <w:b/>
          <w:bCs/>
          <w:sz w:val="24"/>
        </w:rPr>
      </w:pPr>
      <w:r>
        <w:rPr>
          <w:rFonts w:hint="eastAsia"/>
          <w:b/>
          <w:bCs/>
          <w:sz w:val="24"/>
        </w:rPr>
        <w:t>十三、争议处理方式</w:t>
      </w:r>
    </w:p>
    <w:p w14:paraId="1997C350">
      <w:pPr>
        <w:snapToGrid w:val="0"/>
        <w:spacing w:line="440" w:lineRule="exact"/>
        <w:ind w:firstLine="480" w:firstLineChars="200"/>
        <w:rPr>
          <w:sz w:val="24"/>
        </w:rPr>
      </w:pPr>
      <w:r>
        <w:rPr>
          <w:rFonts w:hint="eastAsia"/>
          <w:sz w:val="24"/>
        </w:rPr>
        <w:t>在履行本合同中，甲乙双方发生的争议，应通过友好协商解决。如不能协商解决，甲乙双方均有权向有管辖权的人民法院起诉。</w:t>
      </w:r>
    </w:p>
    <w:p w14:paraId="01C21038">
      <w:pPr>
        <w:snapToGrid w:val="0"/>
        <w:spacing w:line="440" w:lineRule="exact"/>
        <w:ind w:firstLine="482" w:firstLineChars="200"/>
        <w:rPr>
          <w:rFonts w:eastAsiaTheme="minorEastAsia"/>
          <w:b/>
          <w:bCs/>
          <w:sz w:val="24"/>
        </w:rPr>
      </w:pPr>
      <w:r>
        <w:rPr>
          <w:rFonts w:hint="eastAsia"/>
          <w:b/>
          <w:bCs/>
          <w:sz w:val="24"/>
        </w:rPr>
        <w:t>十四、合同的效力</w:t>
      </w:r>
    </w:p>
    <w:p w14:paraId="5A479749">
      <w:pPr>
        <w:spacing w:line="380" w:lineRule="exact"/>
        <w:ind w:firstLine="480"/>
        <w:rPr>
          <w:rFonts w:ascii="宋体" w:hAnsi="宋体"/>
          <w:sz w:val="24"/>
        </w:rPr>
      </w:pPr>
      <w:r>
        <w:rPr>
          <w:rFonts w:hint="eastAsia"/>
          <w:sz w:val="24"/>
        </w:rPr>
        <w:t>本合同一式伍份，甲方贰份、乙方壹份、政府采购管理科一份、政府采购代理机构壹份，自甲、乙双方代表签字盖章之日起生效。</w:t>
      </w:r>
      <w:r>
        <w:rPr>
          <w:rFonts w:hint="eastAsia" w:ascii="宋体" w:hAnsi="宋体"/>
          <w:sz w:val="24"/>
        </w:rPr>
        <w:t>未尽事宜，经双方协商一致，签订补充协议，补充协议与本合同具有同等效力。</w:t>
      </w:r>
    </w:p>
    <w:p w14:paraId="340E10C3">
      <w:pPr>
        <w:snapToGrid w:val="0"/>
        <w:spacing w:line="440" w:lineRule="exact"/>
        <w:rPr>
          <w:sz w:val="24"/>
        </w:rPr>
      </w:pPr>
    </w:p>
    <w:p w14:paraId="60AD95B2">
      <w:pPr>
        <w:snapToGrid w:val="0"/>
        <w:spacing w:line="440" w:lineRule="exact"/>
        <w:rPr>
          <w:sz w:val="24"/>
        </w:rPr>
      </w:pPr>
    </w:p>
    <w:p w14:paraId="3FE5B3B8">
      <w:pPr>
        <w:snapToGrid w:val="0"/>
        <w:spacing w:line="440" w:lineRule="exact"/>
        <w:rPr>
          <w:sz w:val="24"/>
        </w:rPr>
      </w:pPr>
    </w:p>
    <w:p w14:paraId="7B595F6A">
      <w:pPr>
        <w:snapToGrid w:val="0"/>
        <w:spacing w:line="440" w:lineRule="exact"/>
        <w:rPr>
          <w:sz w:val="24"/>
        </w:rPr>
      </w:pPr>
    </w:p>
    <w:p w14:paraId="4D1775D9">
      <w:pPr>
        <w:snapToGrid w:val="0"/>
        <w:spacing w:line="440" w:lineRule="exact"/>
        <w:rPr>
          <w:rFonts w:eastAsiaTheme="minorEastAsia"/>
          <w:sz w:val="24"/>
        </w:rPr>
      </w:pPr>
      <w:r>
        <w:rPr>
          <w:rFonts w:hint="eastAsia"/>
          <w:sz w:val="24"/>
        </w:rPr>
        <w:t>甲方：乙方：</w:t>
      </w:r>
    </w:p>
    <w:p w14:paraId="03B87288">
      <w:pPr>
        <w:snapToGrid w:val="0"/>
        <w:spacing w:line="440" w:lineRule="exact"/>
        <w:rPr>
          <w:sz w:val="24"/>
        </w:rPr>
      </w:pPr>
      <w:r>
        <w:rPr>
          <w:rFonts w:hint="eastAsia"/>
          <w:sz w:val="24"/>
        </w:rPr>
        <w:t>（公章）                          （公章）</w:t>
      </w:r>
    </w:p>
    <w:p w14:paraId="54FCDBFF">
      <w:pPr>
        <w:snapToGrid w:val="0"/>
        <w:spacing w:line="440" w:lineRule="exact"/>
        <w:jc w:val="center"/>
        <w:rPr>
          <w:sz w:val="24"/>
        </w:rPr>
      </w:pPr>
      <w:r>
        <w:rPr>
          <w:rFonts w:hint="eastAsia"/>
          <w:sz w:val="24"/>
        </w:rPr>
        <w:t>开户银行：</w:t>
      </w:r>
    </w:p>
    <w:p w14:paraId="4E32514A">
      <w:pPr>
        <w:snapToGrid w:val="0"/>
        <w:spacing w:line="440" w:lineRule="exact"/>
        <w:ind w:firstLine="4800" w:firstLineChars="2000"/>
        <w:rPr>
          <w:sz w:val="24"/>
        </w:rPr>
      </w:pPr>
    </w:p>
    <w:p w14:paraId="4C0F8EA3">
      <w:pPr>
        <w:snapToGrid w:val="0"/>
        <w:spacing w:line="440" w:lineRule="exact"/>
        <w:ind w:left="6000" w:hanging="6000" w:hangingChars="2500"/>
        <w:rPr>
          <w:rFonts w:ascii="宋体" w:hAnsi="宋体" w:cs="宋体"/>
          <w:spacing w:val="4"/>
          <w:sz w:val="24"/>
        </w:rPr>
      </w:pPr>
      <w:r>
        <w:rPr>
          <w:rFonts w:hint="eastAsia"/>
          <w:sz w:val="24"/>
        </w:rPr>
        <w:t xml:space="preserve">                                       公司地址：</w:t>
      </w:r>
    </w:p>
    <w:p w14:paraId="61E04FB8">
      <w:pPr>
        <w:snapToGrid w:val="0"/>
        <w:spacing w:line="440" w:lineRule="exact"/>
        <w:ind w:firstLine="4800" w:firstLineChars="2000"/>
        <w:rPr>
          <w:sz w:val="24"/>
        </w:rPr>
      </w:pPr>
      <w:r>
        <w:rPr>
          <w:rFonts w:hint="eastAsia"/>
          <w:sz w:val="24"/>
        </w:rPr>
        <w:t>联系方式：</w:t>
      </w:r>
    </w:p>
    <w:p w14:paraId="08F4797E">
      <w:pPr>
        <w:snapToGrid w:val="0"/>
        <w:spacing w:line="440" w:lineRule="exact"/>
        <w:rPr>
          <w:sz w:val="24"/>
        </w:rPr>
      </w:pPr>
      <w:r>
        <w:rPr>
          <w:rFonts w:hint="eastAsia"/>
          <w:sz w:val="24"/>
        </w:rPr>
        <w:t>法定代表人/委托人（签字）：              法定代表人/委托人（签字）：</w:t>
      </w:r>
    </w:p>
    <w:p w14:paraId="48537A37">
      <w:pPr>
        <w:pStyle w:val="42"/>
        <w:spacing w:line="440" w:lineRule="exact"/>
        <w:ind w:firstLine="0" w:firstLineChars="0"/>
      </w:pPr>
    </w:p>
    <w:p w14:paraId="575F8037">
      <w:pPr>
        <w:pStyle w:val="42"/>
        <w:spacing w:line="440" w:lineRule="exact"/>
        <w:ind w:firstLine="0" w:firstLineChars="0"/>
      </w:pPr>
    </w:p>
    <w:p w14:paraId="39EFBF4C">
      <w:pPr>
        <w:snapToGrid w:val="0"/>
        <w:spacing w:line="440" w:lineRule="exact"/>
        <w:rPr>
          <w:sz w:val="24"/>
        </w:rPr>
      </w:pPr>
      <w:r>
        <w:rPr>
          <w:rFonts w:hint="eastAsia"/>
          <w:sz w:val="24"/>
        </w:rPr>
        <w:t xml:space="preserve"> 签订时间：    年   月   日 </w:t>
      </w:r>
    </w:p>
    <w:p w14:paraId="03FCF56D">
      <w:pPr>
        <w:rPr>
          <w:rFonts w:asciiTheme="majorEastAsia" w:hAnsiTheme="majorEastAsia" w:eastAsiaTheme="majorEastAsia" w:cstheme="majorEastAsia"/>
          <w:b/>
          <w:bCs/>
          <w:sz w:val="36"/>
          <w:szCs w:val="36"/>
          <w:lang w:val="zh-CN"/>
        </w:rPr>
      </w:pPr>
      <w:r>
        <w:rPr>
          <w:rFonts w:hint="eastAsia" w:asciiTheme="majorEastAsia" w:hAnsiTheme="majorEastAsia" w:eastAsiaTheme="majorEastAsia" w:cstheme="majorEastAsia"/>
          <w:b/>
          <w:bCs/>
          <w:sz w:val="36"/>
          <w:szCs w:val="36"/>
          <w:lang w:val="zh-CN"/>
        </w:rPr>
        <w:br w:type="page"/>
      </w:r>
    </w:p>
    <w:p w14:paraId="520A9E5E">
      <w:pPr>
        <w:spacing w:line="360" w:lineRule="auto"/>
        <w:ind w:firstLine="723" w:firstLineChars="200"/>
        <w:jc w:val="center"/>
        <w:outlineLvl w:val="0"/>
        <w:rPr>
          <w:rFonts w:asciiTheme="majorEastAsia" w:hAnsiTheme="majorEastAsia" w:eastAsiaTheme="majorEastAsia" w:cstheme="majorEastAsia"/>
          <w:b/>
          <w:bCs/>
          <w:sz w:val="36"/>
          <w:szCs w:val="36"/>
          <w:lang w:val="zh-CN"/>
        </w:rPr>
      </w:pPr>
      <w:bookmarkStart w:id="149" w:name="_Toc21443"/>
      <w:r>
        <w:rPr>
          <w:rFonts w:hint="eastAsia" w:asciiTheme="majorEastAsia" w:hAnsiTheme="majorEastAsia" w:eastAsiaTheme="majorEastAsia" w:cstheme="majorEastAsia"/>
          <w:b/>
          <w:bCs/>
          <w:sz w:val="36"/>
          <w:szCs w:val="36"/>
          <w:lang w:val="zh-CN"/>
        </w:rPr>
        <w:t>第</w:t>
      </w:r>
      <w:r>
        <w:rPr>
          <w:rFonts w:hint="eastAsia" w:asciiTheme="majorEastAsia" w:hAnsiTheme="majorEastAsia" w:eastAsiaTheme="majorEastAsia" w:cstheme="majorEastAsia"/>
          <w:b/>
          <w:bCs/>
          <w:sz w:val="36"/>
          <w:szCs w:val="36"/>
        </w:rPr>
        <w:t>七</w:t>
      </w:r>
      <w:r>
        <w:rPr>
          <w:rFonts w:hint="eastAsia" w:asciiTheme="majorEastAsia" w:hAnsiTheme="majorEastAsia" w:eastAsiaTheme="majorEastAsia" w:cstheme="majorEastAsia"/>
          <w:b/>
          <w:bCs/>
          <w:sz w:val="36"/>
          <w:szCs w:val="36"/>
          <w:lang w:val="zh-CN"/>
        </w:rPr>
        <w:t>章</w:t>
      </w:r>
      <w:r>
        <w:rPr>
          <w:rFonts w:hint="eastAsia" w:asciiTheme="majorEastAsia" w:hAnsiTheme="majorEastAsia" w:eastAsiaTheme="majorEastAsia" w:cstheme="majorEastAsia"/>
          <w:b/>
          <w:bCs/>
          <w:sz w:val="36"/>
          <w:szCs w:val="36"/>
          <w:lang w:val="en-US" w:eastAsia="zh-CN"/>
        </w:rPr>
        <w:t xml:space="preserve">  </w:t>
      </w:r>
      <w:r>
        <w:rPr>
          <w:rFonts w:hint="eastAsia" w:asciiTheme="majorEastAsia" w:hAnsiTheme="majorEastAsia" w:eastAsiaTheme="majorEastAsia" w:cstheme="majorEastAsia"/>
          <w:b/>
          <w:bCs/>
          <w:sz w:val="36"/>
          <w:szCs w:val="36"/>
          <w:lang w:val="zh-CN"/>
        </w:rPr>
        <w:t>投标文件基本格式</w:t>
      </w:r>
      <w:bookmarkEnd w:id="149"/>
    </w:p>
    <w:p w14:paraId="4FA72C40">
      <w:pPr>
        <w:pStyle w:val="44"/>
        <w:snapToGrid w:val="0"/>
        <w:spacing w:line="360" w:lineRule="auto"/>
        <w:ind w:left="0" w:firstLine="0"/>
        <w:outlineLvl w:val="9"/>
        <w:rPr>
          <w:rFonts w:asciiTheme="majorEastAsia" w:hAnsiTheme="majorEastAsia" w:eastAsiaTheme="majorEastAsia" w:cstheme="majorEastAsia"/>
          <w:color w:val="auto"/>
          <w:sz w:val="24"/>
        </w:rPr>
      </w:pPr>
      <w:bookmarkStart w:id="150" w:name="_Toc86202633"/>
      <w:bookmarkStart w:id="151" w:name="_Toc174185202"/>
      <w:r>
        <w:rPr>
          <w:rFonts w:hint="eastAsia" w:asciiTheme="majorEastAsia" w:hAnsiTheme="majorEastAsia" w:eastAsiaTheme="majorEastAsia" w:cstheme="majorEastAsia"/>
          <w:color w:val="auto"/>
          <w:sz w:val="24"/>
        </w:rPr>
        <w:t>投标人提交文件须知</w:t>
      </w:r>
      <w:bookmarkEnd w:id="150"/>
      <w:bookmarkEnd w:id="151"/>
    </w:p>
    <w:p w14:paraId="17BF735A">
      <w:pPr>
        <w:numPr>
          <w:ilvl w:val="0"/>
          <w:numId w:val="3"/>
        </w:numPr>
        <w:tabs>
          <w:tab w:val="left" w:pos="0"/>
          <w:tab w:val="left" w:pos="806"/>
        </w:tabs>
        <w:snapToGrid w:val="0"/>
        <w:spacing w:line="360" w:lineRule="auto"/>
        <w:ind w:left="824" w:hanging="368"/>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投标人应严格按照招标文件填写和提交下述规定的全部格式文件以及其他有关资料，混乱的编排导致投标文件被误读或查找不到，后果由投标人承担。</w:t>
      </w:r>
    </w:p>
    <w:p w14:paraId="497EB01B">
      <w:pPr>
        <w:numPr>
          <w:ilvl w:val="0"/>
          <w:numId w:val="3"/>
        </w:numPr>
        <w:tabs>
          <w:tab w:val="left" w:pos="0"/>
          <w:tab w:val="left" w:pos="806"/>
        </w:tabs>
        <w:snapToGrid w:val="0"/>
        <w:spacing w:line="360" w:lineRule="auto"/>
        <w:ind w:left="824" w:hanging="368"/>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所附表格中要求回答的全部问题和信息都必须正面回答。</w:t>
      </w:r>
    </w:p>
    <w:p w14:paraId="1872BEC6">
      <w:pPr>
        <w:numPr>
          <w:ilvl w:val="0"/>
          <w:numId w:val="3"/>
        </w:numPr>
        <w:tabs>
          <w:tab w:val="left" w:pos="0"/>
          <w:tab w:val="left" w:pos="806"/>
        </w:tabs>
        <w:snapToGrid w:val="0"/>
        <w:spacing w:line="360" w:lineRule="auto"/>
        <w:ind w:left="824" w:hanging="368"/>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评标委员会将应用投标人提交的资料并根据自己的判断，决定投标人履行合同的合格性及能力。</w:t>
      </w:r>
    </w:p>
    <w:p w14:paraId="7EC8D23E">
      <w:pPr>
        <w:numPr>
          <w:ilvl w:val="0"/>
          <w:numId w:val="3"/>
        </w:numPr>
        <w:tabs>
          <w:tab w:val="left" w:pos="0"/>
          <w:tab w:val="left" w:pos="806"/>
        </w:tabs>
        <w:snapToGrid w:val="0"/>
        <w:spacing w:line="360" w:lineRule="auto"/>
        <w:ind w:left="824" w:hanging="368"/>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投标人提交的材料将被妥善保存，但不退还。</w:t>
      </w:r>
    </w:p>
    <w:p w14:paraId="4EC894E3">
      <w:pPr>
        <w:numPr>
          <w:ilvl w:val="0"/>
          <w:numId w:val="3"/>
        </w:numPr>
        <w:tabs>
          <w:tab w:val="left" w:pos="0"/>
          <w:tab w:val="left" w:pos="806"/>
        </w:tabs>
        <w:snapToGrid w:val="0"/>
        <w:spacing w:line="360" w:lineRule="auto"/>
        <w:ind w:left="824" w:hanging="368"/>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全部文件应按投标人须知中规定的语言和份数提交。</w:t>
      </w:r>
    </w:p>
    <w:p w14:paraId="096E6061">
      <w:pPr>
        <w:autoSpaceDE w:val="0"/>
        <w:autoSpaceDN w:val="0"/>
        <w:snapToGrid w:val="0"/>
        <w:spacing w:line="360" w:lineRule="auto"/>
        <w:jc w:val="right"/>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4"/>
        </w:rPr>
        <w:br w:type="page"/>
      </w:r>
    </w:p>
    <w:p w14:paraId="7D2988A7">
      <w:pP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项目编号：</w:t>
      </w:r>
    </w:p>
    <w:p w14:paraId="78CCAE15">
      <w:pPr>
        <w:pStyle w:val="42"/>
        <w:rPr>
          <w:rFonts w:asciiTheme="majorEastAsia" w:hAnsiTheme="majorEastAsia" w:eastAsiaTheme="majorEastAsia" w:cstheme="majorEastAsia"/>
        </w:rPr>
      </w:pPr>
    </w:p>
    <w:p w14:paraId="01CA94FC">
      <w:pPr>
        <w:autoSpaceDE w:val="0"/>
        <w:autoSpaceDN w:val="0"/>
        <w:snapToGrid w:val="0"/>
        <w:spacing w:line="360" w:lineRule="auto"/>
        <w:jc w:val="center"/>
        <w:rPr>
          <w:rFonts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 xml:space="preserve">                       正（副）本</w:t>
      </w:r>
    </w:p>
    <w:p w14:paraId="1D37AB2E">
      <w:pPr>
        <w:pStyle w:val="10"/>
        <w:rPr>
          <w:rFonts w:asciiTheme="majorEastAsia" w:hAnsiTheme="majorEastAsia" w:eastAsiaTheme="majorEastAsia" w:cstheme="majorEastAsia"/>
        </w:rPr>
      </w:pPr>
    </w:p>
    <w:p w14:paraId="2DAF2537">
      <w:pPr>
        <w:pStyle w:val="10"/>
        <w:rPr>
          <w:rFonts w:asciiTheme="majorEastAsia" w:hAnsiTheme="majorEastAsia" w:eastAsiaTheme="majorEastAsia" w:cstheme="majorEastAsia"/>
        </w:rPr>
      </w:pPr>
    </w:p>
    <w:p w14:paraId="1574B9CA">
      <w:pPr>
        <w:pStyle w:val="4"/>
        <w:ind w:firstLine="400"/>
        <w:rPr>
          <w:rFonts w:asciiTheme="majorEastAsia" w:hAnsiTheme="majorEastAsia" w:eastAsiaTheme="majorEastAsia" w:cstheme="majorEastAsia"/>
        </w:rPr>
      </w:pPr>
    </w:p>
    <w:p w14:paraId="292901F2">
      <w:pPr>
        <w:spacing w:line="20" w:lineRule="atLeast"/>
        <w:jc w:val="center"/>
        <w:rPr>
          <w:rFonts w:hint="eastAsia" w:asciiTheme="majorEastAsia" w:hAnsiTheme="majorEastAsia" w:eastAsiaTheme="majorEastAsia" w:cstheme="majorEastAsia"/>
          <w:b/>
          <w:bCs/>
          <w:sz w:val="36"/>
          <w:szCs w:val="36"/>
          <w:lang w:eastAsia="zh-CN"/>
        </w:rPr>
      </w:pPr>
      <w:r>
        <w:rPr>
          <w:rFonts w:hint="eastAsia" w:asciiTheme="majorEastAsia" w:hAnsiTheme="majorEastAsia" w:eastAsiaTheme="majorEastAsia" w:cstheme="majorEastAsia"/>
          <w:b/>
          <w:bCs/>
          <w:sz w:val="36"/>
          <w:szCs w:val="36"/>
          <w:lang w:eastAsia="zh-CN"/>
        </w:rPr>
        <w:t>清涧县清涧中学校园监控及防欺凌设备采购项目</w:t>
      </w:r>
    </w:p>
    <w:p w14:paraId="77566E0A">
      <w:pPr>
        <w:rPr>
          <w:rFonts w:asciiTheme="majorEastAsia" w:hAnsiTheme="majorEastAsia" w:eastAsiaTheme="majorEastAsia" w:cstheme="majorEastAsia"/>
        </w:rPr>
      </w:pPr>
    </w:p>
    <w:p w14:paraId="2D9752B4">
      <w:pPr>
        <w:pStyle w:val="42"/>
        <w:ind w:firstLine="1440"/>
        <w:rPr>
          <w:rFonts w:asciiTheme="majorEastAsia" w:hAnsiTheme="majorEastAsia" w:eastAsiaTheme="majorEastAsia" w:cstheme="majorEastAsia"/>
          <w:sz w:val="72"/>
          <w:szCs w:val="72"/>
        </w:rPr>
      </w:pPr>
    </w:p>
    <w:p w14:paraId="699BF0D8">
      <w:pPr>
        <w:pStyle w:val="42"/>
        <w:ind w:firstLine="1440"/>
        <w:rPr>
          <w:rFonts w:asciiTheme="majorEastAsia" w:hAnsiTheme="majorEastAsia" w:eastAsiaTheme="majorEastAsia" w:cstheme="majorEastAsia"/>
          <w:sz w:val="72"/>
          <w:szCs w:val="72"/>
        </w:rPr>
      </w:pPr>
    </w:p>
    <w:p w14:paraId="0A31A24B">
      <w:pPr>
        <w:pStyle w:val="4"/>
        <w:ind w:firstLine="400"/>
        <w:rPr>
          <w:rFonts w:asciiTheme="majorEastAsia" w:hAnsiTheme="majorEastAsia" w:eastAsiaTheme="majorEastAsia" w:cstheme="majorEastAsia"/>
        </w:rPr>
      </w:pPr>
    </w:p>
    <w:p w14:paraId="46116411">
      <w:pPr>
        <w:spacing w:line="20" w:lineRule="atLeast"/>
        <w:jc w:val="center"/>
        <w:rPr>
          <w:rFonts w:asciiTheme="majorEastAsia" w:hAnsiTheme="majorEastAsia" w:eastAsiaTheme="majorEastAsia" w:cstheme="majorEastAsia"/>
          <w:bCs/>
          <w:sz w:val="72"/>
          <w:szCs w:val="72"/>
        </w:rPr>
      </w:pPr>
      <w:r>
        <w:rPr>
          <w:rFonts w:hint="eastAsia" w:asciiTheme="majorEastAsia" w:hAnsiTheme="majorEastAsia" w:eastAsiaTheme="majorEastAsia" w:cstheme="majorEastAsia"/>
          <w:sz w:val="72"/>
          <w:szCs w:val="72"/>
        </w:rPr>
        <w:t>投 标 文 件</w:t>
      </w:r>
    </w:p>
    <w:p w14:paraId="726767C1">
      <w:pPr>
        <w:spacing w:line="20" w:lineRule="atLeast"/>
        <w:jc w:val="center"/>
        <w:rPr>
          <w:rFonts w:asciiTheme="majorEastAsia" w:hAnsiTheme="majorEastAsia" w:eastAsiaTheme="majorEastAsia" w:cstheme="majorEastAsia"/>
          <w:b/>
          <w:sz w:val="36"/>
        </w:rPr>
      </w:pPr>
    </w:p>
    <w:p w14:paraId="3706BB9D">
      <w:pPr>
        <w:spacing w:line="20" w:lineRule="atLeast"/>
        <w:jc w:val="center"/>
        <w:rPr>
          <w:rFonts w:asciiTheme="majorEastAsia" w:hAnsiTheme="majorEastAsia" w:eastAsiaTheme="majorEastAsia" w:cstheme="majorEastAsia"/>
          <w:b/>
          <w:sz w:val="36"/>
        </w:rPr>
      </w:pPr>
    </w:p>
    <w:p w14:paraId="4E562C78">
      <w:pPr>
        <w:spacing w:line="20" w:lineRule="atLeast"/>
        <w:rPr>
          <w:rFonts w:asciiTheme="majorEastAsia" w:hAnsiTheme="majorEastAsia" w:eastAsiaTheme="majorEastAsia" w:cstheme="majorEastAsia"/>
          <w:b/>
          <w:sz w:val="36"/>
        </w:rPr>
      </w:pPr>
    </w:p>
    <w:p w14:paraId="0EA0AA80">
      <w:pPr>
        <w:adjustRightInd w:val="0"/>
        <w:snapToGrid w:val="0"/>
        <w:spacing w:line="1000" w:lineRule="exact"/>
        <w:ind w:firstLine="1576"/>
        <w:rPr>
          <w:rFonts w:asciiTheme="majorEastAsia" w:hAnsiTheme="majorEastAsia" w:eastAsiaTheme="majorEastAsia" w:cstheme="majorEastAsia"/>
          <w:sz w:val="32"/>
          <w:szCs w:val="32"/>
          <w:u w:val="single"/>
        </w:rPr>
      </w:pPr>
      <w:r>
        <w:rPr>
          <w:rFonts w:hint="eastAsia" w:asciiTheme="majorEastAsia" w:hAnsiTheme="majorEastAsia" w:eastAsiaTheme="majorEastAsia" w:cstheme="majorEastAsia"/>
          <w:b/>
          <w:bCs/>
          <w:sz w:val="32"/>
          <w:szCs w:val="32"/>
        </w:rPr>
        <w:t>投 标 人（盖章）</w:t>
      </w:r>
      <w:r>
        <w:rPr>
          <w:rFonts w:hint="eastAsia" w:asciiTheme="majorEastAsia" w:hAnsiTheme="majorEastAsia" w:eastAsiaTheme="majorEastAsia" w:cstheme="majorEastAsia"/>
          <w:b/>
          <w:sz w:val="32"/>
          <w:szCs w:val="32"/>
        </w:rPr>
        <w:t>：</w:t>
      </w:r>
    </w:p>
    <w:p w14:paraId="0B13BEB9">
      <w:pPr>
        <w:adjustRightInd w:val="0"/>
        <w:snapToGrid w:val="0"/>
        <w:spacing w:line="1000" w:lineRule="exact"/>
        <w:ind w:firstLine="1576"/>
        <w:rPr>
          <w:rFonts w:asciiTheme="majorEastAsia" w:hAnsiTheme="majorEastAsia" w:eastAsiaTheme="majorEastAsia" w:cstheme="majorEastAsia"/>
          <w:sz w:val="32"/>
          <w:szCs w:val="32"/>
          <w:u w:val="single"/>
        </w:rPr>
      </w:pPr>
      <w:r>
        <w:rPr>
          <w:rFonts w:hint="eastAsia" w:asciiTheme="majorEastAsia" w:hAnsiTheme="majorEastAsia" w:eastAsiaTheme="majorEastAsia" w:cstheme="majorEastAsia"/>
          <w:b/>
          <w:bCs/>
          <w:sz w:val="32"/>
          <w:szCs w:val="32"/>
        </w:rPr>
        <w:t>法人或委托人（签字或盖章）：</w:t>
      </w:r>
    </w:p>
    <w:p w14:paraId="25E575B8">
      <w:pPr>
        <w:adjustRightInd w:val="0"/>
        <w:snapToGrid w:val="0"/>
        <w:spacing w:line="1000" w:lineRule="exact"/>
        <w:ind w:firstLine="1576"/>
        <w:rPr>
          <w:rFonts w:asciiTheme="majorEastAsia" w:hAnsiTheme="majorEastAsia" w:eastAsiaTheme="majorEastAsia" w:cstheme="majorEastAsia"/>
          <w:sz w:val="32"/>
          <w:szCs w:val="32"/>
        </w:rPr>
      </w:pPr>
      <w:r>
        <w:rPr>
          <w:rFonts w:hint="eastAsia" w:asciiTheme="majorEastAsia" w:hAnsiTheme="majorEastAsia" w:eastAsiaTheme="majorEastAsia" w:cstheme="majorEastAsia"/>
          <w:b/>
          <w:sz w:val="32"/>
          <w:szCs w:val="32"/>
        </w:rPr>
        <w:t>日    期</w:t>
      </w:r>
      <w:r>
        <w:rPr>
          <w:rFonts w:hint="eastAsia" w:asciiTheme="majorEastAsia" w:hAnsiTheme="majorEastAsia" w:eastAsiaTheme="majorEastAsia" w:cstheme="majorEastAsia"/>
          <w:sz w:val="32"/>
          <w:szCs w:val="32"/>
        </w:rPr>
        <w:t>：</w:t>
      </w:r>
    </w:p>
    <w:p w14:paraId="5AD5F3A5">
      <w:pPr>
        <w:rPr>
          <w:rFonts w:asciiTheme="majorEastAsia" w:hAnsiTheme="majorEastAsia" w:eastAsiaTheme="majorEastAsia" w:cstheme="majorEastAsia"/>
          <w:b/>
          <w:sz w:val="48"/>
          <w:szCs w:val="48"/>
        </w:rPr>
      </w:pPr>
    </w:p>
    <w:p w14:paraId="30C9035C">
      <w:pPr>
        <w:jc w:val="center"/>
        <w:rPr>
          <w:rFonts w:asciiTheme="majorEastAsia" w:hAnsiTheme="majorEastAsia" w:eastAsiaTheme="majorEastAsia" w:cstheme="majorEastAsia"/>
          <w:b/>
          <w:sz w:val="48"/>
          <w:szCs w:val="48"/>
        </w:rPr>
      </w:pPr>
    </w:p>
    <w:p w14:paraId="76811A2E">
      <w:pPr>
        <w:rPr>
          <w:rFonts w:asciiTheme="majorEastAsia" w:hAnsiTheme="majorEastAsia" w:eastAsiaTheme="majorEastAsia" w:cstheme="majorEastAsia"/>
          <w:b/>
          <w:sz w:val="48"/>
          <w:szCs w:val="48"/>
        </w:rPr>
      </w:pPr>
      <w:r>
        <w:rPr>
          <w:rFonts w:hint="eastAsia" w:asciiTheme="majorEastAsia" w:hAnsiTheme="majorEastAsia" w:eastAsiaTheme="majorEastAsia" w:cstheme="majorEastAsia"/>
          <w:b/>
          <w:sz w:val="48"/>
          <w:szCs w:val="48"/>
        </w:rPr>
        <w:br w:type="page"/>
      </w:r>
    </w:p>
    <w:p w14:paraId="552365CF">
      <w:pPr>
        <w:jc w:val="center"/>
        <w:rPr>
          <w:rFonts w:asciiTheme="majorEastAsia" w:hAnsiTheme="majorEastAsia" w:eastAsiaTheme="majorEastAsia" w:cstheme="majorEastAsia"/>
          <w:b/>
          <w:sz w:val="48"/>
          <w:szCs w:val="48"/>
        </w:rPr>
      </w:pPr>
      <w:r>
        <w:rPr>
          <w:rFonts w:hint="eastAsia" w:asciiTheme="majorEastAsia" w:hAnsiTheme="majorEastAsia" w:eastAsiaTheme="majorEastAsia" w:cstheme="majorEastAsia"/>
          <w:b/>
          <w:sz w:val="48"/>
          <w:szCs w:val="48"/>
        </w:rPr>
        <w:t>目  录</w:t>
      </w:r>
    </w:p>
    <w:p w14:paraId="64174CBA">
      <w:pPr>
        <w:adjustRightInd w:val="0"/>
        <w:spacing w:line="480" w:lineRule="exact"/>
        <w:ind w:firstLine="1606" w:firstLineChars="500"/>
        <w:textAlignment w:val="baseline"/>
        <w:rPr>
          <w:rFonts w:asciiTheme="majorEastAsia" w:hAnsiTheme="majorEastAsia" w:eastAsiaTheme="majorEastAsia" w:cstheme="majorEastAsia"/>
          <w:b/>
          <w:sz w:val="32"/>
          <w:szCs w:val="32"/>
        </w:rPr>
      </w:pPr>
    </w:p>
    <w:p w14:paraId="05CDB4A1">
      <w:pPr>
        <w:pStyle w:val="42"/>
        <w:ind w:firstLine="4080" w:firstLineChars="17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（自拟）</w:t>
      </w:r>
    </w:p>
    <w:p w14:paraId="488F80DB">
      <w:pPr>
        <w:pStyle w:val="17"/>
        <w:rPr>
          <w:rFonts w:asciiTheme="majorEastAsia" w:hAnsiTheme="majorEastAsia" w:eastAsiaTheme="majorEastAsia" w:cstheme="majorEastAsia"/>
          <w:b/>
          <w:bCs/>
          <w:kern w:val="2"/>
          <w:sz w:val="24"/>
          <w:szCs w:val="24"/>
        </w:rPr>
      </w:pPr>
    </w:p>
    <w:p w14:paraId="49D8AC7B">
      <w:pPr>
        <w:autoSpaceDE w:val="0"/>
        <w:autoSpaceDN w:val="0"/>
        <w:adjustRightInd w:val="0"/>
        <w:snapToGrid w:val="0"/>
        <w:spacing w:beforeLines="100" w:afterLines="50" w:line="480" w:lineRule="exact"/>
        <w:textAlignment w:val="baseline"/>
        <w:rPr>
          <w:rFonts w:asciiTheme="majorEastAsia" w:hAnsiTheme="majorEastAsia" w:eastAsiaTheme="majorEastAsia" w:cstheme="majorEastAsia"/>
          <w:b/>
          <w:bCs/>
          <w:sz w:val="32"/>
          <w:szCs w:val="32"/>
        </w:rPr>
      </w:pPr>
    </w:p>
    <w:p w14:paraId="58A06E55">
      <w:pPr>
        <w:autoSpaceDE w:val="0"/>
        <w:autoSpaceDN w:val="0"/>
        <w:snapToGrid w:val="0"/>
        <w:spacing w:beforeLines="100" w:afterLines="50" w:line="600" w:lineRule="exact"/>
        <w:rPr>
          <w:rFonts w:asciiTheme="majorEastAsia" w:hAnsiTheme="majorEastAsia" w:eastAsiaTheme="majorEastAsia" w:cstheme="majorEastAsia"/>
          <w:b/>
          <w:sz w:val="32"/>
          <w:szCs w:val="32"/>
        </w:rPr>
      </w:pPr>
    </w:p>
    <w:p w14:paraId="146291BE">
      <w:pPr>
        <w:autoSpaceDE w:val="0"/>
        <w:autoSpaceDN w:val="0"/>
        <w:snapToGrid w:val="0"/>
        <w:spacing w:beforeLines="100" w:afterLines="50" w:line="600" w:lineRule="exact"/>
        <w:rPr>
          <w:rFonts w:asciiTheme="majorEastAsia" w:hAnsiTheme="majorEastAsia" w:eastAsiaTheme="majorEastAsia" w:cstheme="majorEastAsia"/>
          <w:b/>
          <w:sz w:val="32"/>
          <w:szCs w:val="32"/>
        </w:rPr>
      </w:pPr>
    </w:p>
    <w:p w14:paraId="7E124971">
      <w:pPr>
        <w:autoSpaceDE w:val="0"/>
        <w:autoSpaceDN w:val="0"/>
        <w:snapToGrid w:val="0"/>
        <w:spacing w:beforeLines="100" w:afterLines="50" w:line="600" w:lineRule="exact"/>
        <w:rPr>
          <w:rFonts w:asciiTheme="majorEastAsia" w:hAnsiTheme="majorEastAsia" w:eastAsiaTheme="majorEastAsia" w:cstheme="majorEastAsia"/>
          <w:b/>
          <w:sz w:val="32"/>
          <w:szCs w:val="32"/>
        </w:rPr>
      </w:pPr>
    </w:p>
    <w:p w14:paraId="6FB3B3E3">
      <w:pPr>
        <w:autoSpaceDE w:val="0"/>
        <w:autoSpaceDN w:val="0"/>
        <w:snapToGrid w:val="0"/>
        <w:spacing w:beforeLines="100" w:afterLines="50" w:line="600" w:lineRule="exact"/>
        <w:rPr>
          <w:rFonts w:asciiTheme="majorEastAsia" w:hAnsiTheme="majorEastAsia" w:eastAsiaTheme="majorEastAsia" w:cstheme="majorEastAsia"/>
          <w:b/>
          <w:sz w:val="32"/>
          <w:szCs w:val="32"/>
        </w:rPr>
      </w:pPr>
    </w:p>
    <w:p w14:paraId="4FB2D9D0">
      <w:pPr>
        <w:autoSpaceDE w:val="0"/>
        <w:autoSpaceDN w:val="0"/>
        <w:snapToGrid w:val="0"/>
        <w:spacing w:beforeLines="100" w:afterLines="50" w:line="600" w:lineRule="exact"/>
        <w:jc w:val="center"/>
        <w:rPr>
          <w:rFonts w:asciiTheme="majorEastAsia" w:hAnsiTheme="majorEastAsia" w:eastAsiaTheme="majorEastAsia" w:cstheme="majorEastAsia"/>
          <w:b/>
          <w:sz w:val="32"/>
          <w:szCs w:val="32"/>
        </w:rPr>
      </w:pPr>
    </w:p>
    <w:p w14:paraId="5822ECEB">
      <w:pPr>
        <w:autoSpaceDE w:val="0"/>
        <w:autoSpaceDN w:val="0"/>
        <w:snapToGrid w:val="0"/>
        <w:spacing w:beforeLines="100" w:afterLines="50" w:line="600" w:lineRule="exact"/>
        <w:jc w:val="center"/>
        <w:rPr>
          <w:rFonts w:asciiTheme="majorEastAsia" w:hAnsiTheme="majorEastAsia" w:eastAsiaTheme="majorEastAsia" w:cstheme="majorEastAsia"/>
          <w:b/>
          <w:sz w:val="32"/>
          <w:szCs w:val="32"/>
        </w:rPr>
      </w:pPr>
    </w:p>
    <w:p w14:paraId="4C72C7E2">
      <w:pPr>
        <w:autoSpaceDE w:val="0"/>
        <w:autoSpaceDN w:val="0"/>
        <w:snapToGrid w:val="0"/>
        <w:spacing w:beforeLines="100" w:afterLines="50" w:line="600" w:lineRule="exact"/>
        <w:jc w:val="center"/>
        <w:rPr>
          <w:rFonts w:asciiTheme="majorEastAsia" w:hAnsiTheme="majorEastAsia" w:eastAsiaTheme="majorEastAsia" w:cstheme="majorEastAsia"/>
          <w:b/>
          <w:sz w:val="32"/>
          <w:szCs w:val="32"/>
        </w:rPr>
        <w:sectPr>
          <w:pgSz w:w="11906" w:h="16838"/>
          <w:pgMar w:top="1440" w:right="1449" w:bottom="1440" w:left="1417" w:header="851" w:footer="992" w:gutter="0"/>
          <w:cols w:space="720" w:num="1"/>
          <w:docGrid w:type="lines" w:linePitch="312" w:charSpace="0"/>
        </w:sectPr>
      </w:pPr>
    </w:p>
    <w:p w14:paraId="1BA3142C">
      <w:pPr>
        <w:autoSpaceDE w:val="0"/>
        <w:autoSpaceDN w:val="0"/>
        <w:snapToGrid w:val="0"/>
        <w:spacing w:beforeLines="100" w:afterLines="50" w:line="600" w:lineRule="exact"/>
        <w:jc w:val="center"/>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一、投标函</w:t>
      </w:r>
    </w:p>
    <w:p w14:paraId="5F4C5277">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陕西华旭晟信项目管理有限责任公司：</w:t>
      </w:r>
    </w:p>
    <w:p w14:paraId="3B4471EB">
      <w:pPr>
        <w:spacing w:line="360" w:lineRule="auto"/>
        <w:ind w:firstLine="496" w:firstLineChars="200"/>
        <w:rPr>
          <w:rFonts w:asciiTheme="majorEastAsia" w:hAnsiTheme="majorEastAsia" w:eastAsiaTheme="majorEastAsia" w:cstheme="majorEastAsia"/>
          <w:spacing w:val="4"/>
          <w:sz w:val="24"/>
        </w:rPr>
      </w:pPr>
      <w:r>
        <w:rPr>
          <w:rFonts w:hint="eastAsia" w:asciiTheme="majorEastAsia" w:hAnsiTheme="majorEastAsia" w:eastAsiaTheme="majorEastAsia" w:cstheme="majorEastAsia"/>
          <w:spacing w:val="4"/>
          <w:sz w:val="24"/>
        </w:rPr>
        <w:t>我们收到编号</w:t>
      </w:r>
      <w:r>
        <w:rPr>
          <w:rFonts w:hint="eastAsia" w:asciiTheme="majorEastAsia" w:hAnsiTheme="majorEastAsia" w:eastAsiaTheme="majorEastAsia" w:cstheme="majorEastAsia"/>
          <w:spacing w:val="4"/>
          <w:sz w:val="24"/>
          <w:lang w:val="en-US" w:eastAsia="zh-CN"/>
        </w:rPr>
        <w:t>为</w:t>
      </w:r>
      <w:r>
        <w:rPr>
          <w:rFonts w:hint="eastAsia" w:asciiTheme="majorEastAsia" w:hAnsiTheme="majorEastAsia" w:eastAsiaTheme="majorEastAsia" w:cstheme="majorEastAsia"/>
          <w:spacing w:val="4"/>
          <w:sz w:val="24"/>
          <w:u w:val="single"/>
          <w:lang w:val="en-US" w:eastAsia="zh-CN"/>
        </w:rPr>
        <w:t xml:space="preserve">          （项目编号） </w:t>
      </w:r>
      <w:r>
        <w:rPr>
          <w:rFonts w:hint="eastAsia" w:asciiTheme="majorEastAsia" w:hAnsiTheme="majorEastAsia" w:eastAsiaTheme="majorEastAsia" w:cstheme="majorEastAsia"/>
          <w:spacing w:val="4"/>
          <w:sz w:val="24"/>
        </w:rPr>
        <w:t>的招标文件，</w:t>
      </w:r>
      <w:r>
        <w:rPr>
          <w:rFonts w:hint="eastAsia" w:asciiTheme="majorEastAsia" w:hAnsiTheme="majorEastAsia" w:eastAsiaTheme="majorEastAsia" w:cstheme="majorEastAsia"/>
          <w:sz w:val="24"/>
        </w:rPr>
        <w:t>经过对施工现场的踏勘及澄清疑问，已充分理解并掌握了本项目招标的全部有关情况，我们同意接受招标文件的全部内容和条件，并按此确定本项目投标的要约内容，以本投标文件向你方发包</w:t>
      </w:r>
      <w:r>
        <w:rPr>
          <w:rFonts w:hint="eastAsia" w:asciiTheme="majorEastAsia" w:hAnsiTheme="majorEastAsia" w:eastAsiaTheme="majorEastAsia" w:cstheme="majorEastAsia"/>
          <w:spacing w:val="4"/>
          <w:sz w:val="24"/>
        </w:rPr>
        <w:t>的</w:t>
      </w:r>
      <w:r>
        <w:rPr>
          <w:rFonts w:hint="eastAsia" w:asciiTheme="majorEastAsia" w:hAnsiTheme="majorEastAsia" w:eastAsiaTheme="majorEastAsia" w:cstheme="majorEastAsia"/>
          <w:spacing w:val="4"/>
          <w:sz w:val="24"/>
          <w:u w:val="single"/>
          <w:lang w:val="en-US" w:eastAsia="zh-CN"/>
        </w:rPr>
        <w:t xml:space="preserve">         （项目名称）</w:t>
      </w:r>
      <w:r>
        <w:rPr>
          <w:rFonts w:hint="eastAsia" w:asciiTheme="majorEastAsia" w:hAnsiTheme="majorEastAsia" w:eastAsiaTheme="majorEastAsia" w:cstheme="majorEastAsia"/>
          <w:spacing w:val="4"/>
          <w:sz w:val="24"/>
        </w:rPr>
        <w:t>公开招标的全</w:t>
      </w:r>
      <w:r>
        <w:rPr>
          <w:rFonts w:hint="eastAsia" w:asciiTheme="majorEastAsia" w:hAnsiTheme="majorEastAsia" w:eastAsiaTheme="majorEastAsia" w:cstheme="majorEastAsia"/>
          <w:sz w:val="24"/>
        </w:rPr>
        <w:t>部内容进行投标。</w:t>
      </w:r>
    </w:p>
    <w:p w14:paraId="0169AD5C">
      <w:pPr>
        <w:spacing w:line="360" w:lineRule="auto"/>
        <w:ind w:firstLine="496" w:firstLineChars="200"/>
        <w:rPr>
          <w:rFonts w:asciiTheme="majorEastAsia" w:hAnsiTheme="majorEastAsia" w:eastAsiaTheme="majorEastAsia" w:cstheme="majorEastAsia"/>
          <w:spacing w:val="4"/>
          <w:sz w:val="24"/>
        </w:rPr>
      </w:pPr>
      <w:r>
        <w:rPr>
          <w:rFonts w:hint="eastAsia" w:asciiTheme="majorEastAsia" w:hAnsiTheme="majorEastAsia" w:eastAsiaTheme="majorEastAsia" w:cstheme="majorEastAsia"/>
          <w:spacing w:val="4"/>
          <w:sz w:val="24"/>
        </w:rPr>
        <w:t>1、本文件的所有内容，组成了我们的投标文件，并且该文件内的所有内容都是真实的。</w:t>
      </w:r>
    </w:p>
    <w:p w14:paraId="17CFECA0">
      <w:pPr>
        <w:spacing w:line="360" w:lineRule="auto"/>
        <w:ind w:firstLine="496" w:firstLineChars="200"/>
        <w:rPr>
          <w:rFonts w:asciiTheme="majorEastAsia" w:hAnsiTheme="majorEastAsia" w:eastAsiaTheme="majorEastAsia" w:cstheme="majorEastAsia"/>
          <w:spacing w:val="4"/>
          <w:sz w:val="24"/>
        </w:rPr>
      </w:pPr>
      <w:r>
        <w:rPr>
          <w:rFonts w:hint="eastAsia" w:asciiTheme="majorEastAsia" w:hAnsiTheme="majorEastAsia" w:eastAsiaTheme="majorEastAsia" w:cstheme="majorEastAsia"/>
          <w:spacing w:val="4"/>
          <w:sz w:val="24"/>
        </w:rPr>
        <w:t>2、我们与招标人不存在可能影响招标公正性的利害关系。我们单位负责人与其它投标人不是同一人，也不存在控股</w:t>
      </w: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spacing w:val="4"/>
          <w:sz w:val="24"/>
        </w:rPr>
        <w:t>管理关系。</w:t>
      </w:r>
    </w:p>
    <w:p w14:paraId="18B508A8">
      <w:pPr>
        <w:spacing w:line="360" w:lineRule="auto"/>
        <w:ind w:firstLine="496" w:firstLineChars="200"/>
        <w:rPr>
          <w:rFonts w:asciiTheme="majorEastAsia" w:hAnsiTheme="majorEastAsia" w:eastAsiaTheme="majorEastAsia" w:cstheme="majorEastAsia"/>
          <w:spacing w:val="4"/>
          <w:sz w:val="24"/>
        </w:rPr>
      </w:pPr>
      <w:r>
        <w:rPr>
          <w:rFonts w:hint="eastAsia" w:asciiTheme="majorEastAsia" w:hAnsiTheme="majorEastAsia" w:eastAsiaTheme="majorEastAsia" w:cstheme="majorEastAsia"/>
          <w:spacing w:val="4"/>
          <w:sz w:val="24"/>
        </w:rPr>
        <w:t>3、我们完全同意招标文件规定的招标程序及评标方法，我们完全接受并认同招标文件（包括合同条款）的全部内容，愿意遵守招标文件中的各项规定。</w:t>
      </w:r>
    </w:p>
    <w:p w14:paraId="71024069">
      <w:pPr>
        <w:spacing w:line="360" w:lineRule="auto"/>
        <w:ind w:firstLine="496" w:firstLineChars="200"/>
        <w:rPr>
          <w:rFonts w:asciiTheme="majorEastAsia" w:hAnsiTheme="majorEastAsia" w:eastAsiaTheme="majorEastAsia" w:cstheme="majorEastAsia"/>
          <w:spacing w:val="4"/>
          <w:sz w:val="24"/>
        </w:rPr>
      </w:pPr>
      <w:r>
        <w:rPr>
          <w:rFonts w:hint="eastAsia" w:asciiTheme="majorEastAsia" w:hAnsiTheme="majorEastAsia" w:eastAsiaTheme="majorEastAsia" w:cstheme="majorEastAsia"/>
          <w:spacing w:val="4"/>
          <w:sz w:val="24"/>
        </w:rPr>
        <w:t>4、我方将严格按照有关政府采购法规及招标文件的规定参加投标。如我方中标，我方保证在接到你方发出的中标通知书起</w:t>
      </w:r>
      <w:r>
        <w:rPr>
          <w:rFonts w:hint="eastAsia" w:asciiTheme="majorEastAsia" w:hAnsiTheme="majorEastAsia" w:eastAsiaTheme="majorEastAsia" w:cstheme="majorEastAsia"/>
          <w:spacing w:val="4"/>
          <w:sz w:val="24"/>
          <w:u w:val="single"/>
        </w:rPr>
        <w:t>10</w:t>
      </w:r>
      <w:r>
        <w:rPr>
          <w:rFonts w:hint="eastAsia" w:asciiTheme="majorEastAsia" w:hAnsiTheme="majorEastAsia" w:eastAsiaTheme="majorEastAsia" w:cstheme="majorEastAsia"/>
          <w:spacing w:val="4"/>
          <w:sz w:val="24"/>
        </w:rPr>
        <w:t>日内，按中标通知书、招标文件和本投标书的约定与招标人签订合同。</w:t>
      </w:r>
    </w:p>
    <w:p w14:paraId="4C011B7F">
      <w:pPr>
        <w:spacing w:line="360" w:lineRule="auto"/>
        <w:ind w:firstLine="496" w:firstLineChars="200"/>
        <w:rPr>
          <w:rFonts w:asciiTheme="majorEastAsia" w:hAnsiTheme="majorEastAsia" w:eastAsiaTheme="majorEastAsia" w:cstheme="majorEastAsia"/>
          <w:spacing w:val="4"/>
          <w:sz w:val="24"/>
        </w:rPr>
      </w:pPr>
      <w:r>
        <w:rPr>
          <w:rFonts w:hint="eastAsia" w:asciiTheme="majorEastAsia" w:hAnsiTheme="majorEastAsia" w:eastAsiaTheme="majorEastAsia" w:cstheme="majorEastAsia"/>
          <w:spacing w:val="4"/>
          <w:sz w:val="24"/>
        </w:rPr>
        <w:t>5、 经认真考虑和详细计算，我们在此报出最优惠的价格参与竞争(详见《投标报价表》)。</w:t>
      </w:r>
    </w:p>
    <w:p w14:paraId="0D01935D">
      <w:pPr>
        <w:spacing w:line="360" w:lineRule="auto"/>
        <w:ind w:firstLine="496" w:firstLineChars="200"/>
        <w:rPr>
          <w:rFonts w:asciiTheme="majorEastAsia" w:hAnsiTheme="majorEastAsia" w:eastAsiaTheme="majorEastAsia" w:cstheme="majorEastAsia"/>
          <w:spacing w:val="4"/>
          <w:sz w:val="24"/>
        </w:rPr>
      </w:pPr>
      <w:r>
        <w:rPr>
          <w:rFonts w:hint="eastAsia" w:asciiTheme="majorEastAsia" w:hAnsiTheme="majorEastAsia" w:eastAsiaTheme="majorEastAsia" w:cstheme="majorEastAsia"/>
          <w:spacing w:val="4"/>
          <w:sz w:val="24"/>
        </w:rPr>
        <w:t>6、对于招标人要求进一步提供的其它资料，我们愿意尽快提供或答复。</w:t>
      </w:r>
    </w:p>
    <w:p w14:paraId="5092D8D9">
      <w:pPr>
        <w:spacing w:line="360" w:lineRule="auto"/>
        <w:ind w:firstLine="496" w:firstLineChars="200"/>
        <w:rPr>
          <w:rFonts w:asciiTheme="majorEastAsia" w:hAnsiTheme="majorEastAsia" w:eastAsiaTheme="majorEastAsia" w:cstheme="majorEastAsia"/>
          <w:spacing w:val="4"/>
          <w:sz w:val="24"/>
          <w:u w:val="single"/>
        </w:rPr>
      </w:pPr>
      <w:r>
        <w:rPr>
          <w:rFonts w:hint="eastAsia" w:asciiTheme="majorEastAsia" w:hAnsiTheme="majorEastAsia" w:eastAsiaTheme="majorEastAsia" w:cstheme="majorEastAsia"/>
          <w:spacing w:val="4"/>
          <w:sz w:val="24"/>
        </w:rPr>
        <w:t>7、投标有效期为：</w:t>
      </w:r>
      <w:r>
        <w:rPr>
          <w:rFonts w:hint="eastAsia" w:asciiTheme="majorEastAsia" w:hAnsiTheme="majorEastAsia" w:eastAsiaTheme="majorEastAsia" w:cstheme="majorEastAsia"/>
          <w:spacing w:val="4"/>
          <w:sz w:val="24"/>
          <w:u w:val="single"/>
          <w:lang w:val="en-US" w:eastAsia="zh-CN"/>
        </w:rPr>
        <w:t xml:space="preserve">              </w:t>
      </w:r>
      <w:r>
        <w:rPr>
          <w:rFonts w:hint="eastAsia" w:asciiTheme="majorEastAsia" w:hAnsiTheme="majorEastAsia" w:eastAsiaTheme="majorEastAsia" w:cstheme="majorEastAsia"/>
          <w:spacing w:val="4"/>
          <w:sz w:val="24"/>
        </w:rPr>
        <w:t>天。</w:t>
      </w:r>
    </w:p>
    <w:p w14:paraId="6CCA6504">
      <w:pPr>
        <w:spacing w:line="360" w:lineRule="auto"/>
        <w:ind w:firstLine="496" w:firstLineChars="200"/>
        <w:rPr>
          <w:rFonts w:asciiTheme="majorEastAsia" w:hAnsiTheme="majorEastAsia" w:eastAsiaTheme="majorEastAsia" w:cstheme="majorEastAsia"/>
          <w:spacing w:val="4"/>
          <w:sz w:val="24"/>
        </w:rPr>
      </w:pPr>
      <w:r>
        <w:rPr>
          <w:rFonts w:hint="eastAsia" w:asciiTheme="majorEastAsia" w:hAnsiTheme="majorEastAsia" w:eastAsiaTheme="majorEastAsia" w:cstheme="majorEastAsia"/>
          <w:spacing w:val="4"/>
          <w:sz w:val="24"/>
        </w:rPr>
        <w:t>8、所有关于本次投标的函电联系，请寄到下列地址：</w:t>
      </w:r>
    </w:p>
    <w:p w14:paraId="226EE257">
      <w:pPr>
        <w:pStyle w:val="17"/>
        <w:rPr>
          <w:rFonts w:asciiTheme="majorEastAsia" w:hAnsiTheme="majorEastAsia" w:eastAsiaTheme="majorEastAsia" w:cstheme="majorEastAsia"/>
        </w:rPr>
      </w:pPr>
    </w:p>
    <w:p w14:paraId="3FE8CDCE">
      <w:pPr>
        <w:spacing w:line="400" w:lineRule="exact"/>
        <w:ind w:firstLine="620" w:firstLineChars="250"/>
        <w:rPr>
          <w:rFonts w:asciiTheme="majorEastAsia" w:hAnsiTheme="majorEastAsia" w:eastAsiaTheme="majorEastAsia" w:cstheme="majorEastAsia"/>
          <w:spacing w:val="4"/>
          <w:sz w:val="24"/>
          <w:u w:val="single"/>
        </w:rPr>
      </w:pPr>
      <w:r>
        <w:rPr>
          <w:rFonts w:hint="eastAsia" w:asciiTheme="majorEastAsia" w:hAnsiTheme="majorEastAsia" w:eastAsiaTheme="majorEastAsia" w:cstheme="majorEastAsia"/>
          <w:spacing w:val="4"/>
          <w:sz w:val="24"/>
        </w:rPr>
        <w:t>投 标 人 （公章）：</w:t>
      </w:r>
      <w:r>
        <w:rPr>
          <w:rFonts w:hint="eastAsia" w:asciiTheme="majorEastAsia" w:hAnsiTheme="majorEastAsia" w:eastAsiaTheme="majorEastAsia" w:cstheme="majorEastAsia"/>
          <w:spacing w:val="4"/>
          <w:sz w:val="24"/>
          <w:u w:val="single"/>
          <w:lang w:val="en-US" w:eastAsia="zh-CN"/>
        </w:rPr>
        <w:t xml:space="preserve">                             </w:t>
      </w:r>
    </w:p>
    <w:p w14:paraId="06C5DE8D">
      <w:pPr>
        <w:spacing w:line="400" w:lineRule="exact"/>
        <w:ind w:firstLine="620" w:firstLineChars="250"/>
        <w:rPr>
          <w:rFonts w:asciiTheme="majorEastAsia" w:hAnsiTheme="majorEastAsia" w:eastAsiaTheme="majorEastAsia" w:cstheme="majorEastAsia"/>
          <w:spacing w:val="4"/>
          <w:sz w:val="24"/>
        </w:rPr>
      </w:pPr>
      <w:r>
        <w:rPr>
          <w:rFonts w:hint="eastAsia" w:asciiTheme="majorEastAsia" w:hAnsiTheme="majorEastAsia" w:eastAsiaTheme="majorEastAsia" w:cstheme="majorEastAsia"/>
          <w:spacing w:val="4"/>
          <w:sz w:val="24"/>
        </w:rPr>
        <w:t>地   址 / 邮   编：</w:t>
      </w:r>
      <w:r>
        <w:rPr>
          <w:rFonts w:hint="eastAsia" w:asciiTheme="majorEastAsia" w:hAnsiTheme="majorEastAsia" w:eastAsiaTheme="majorEastAsia" w:cstheme="majorEastAsia"/>
          <w:spacing w:val="4"/>
          <w:sz w:val="24"/>
          <w:u w:val="single"/>
          <w:lang w:val="en-US" w:eastAsia="zh-CN"/>
        </w:rPr>
        <w:t xml:space="preserve">                             </w:t>
      </w:r>
    </w:p>
    <w:p w14:paraId="77EBB6E0">
      <w:pPr>
        <w:spacing w:line="400" w:lineRule="exact"/>
        <w:ind w:firstLine="620" w:firstLineChars="250"/>
        <w:rPr>
          <w:rFonts w:asciiTheme="majorEastAsia" w:hAnsiTheme="majorEastAsia" w:eastAsiaTheme="majorEastAsia" w:cstheme="majorEastAsia"/>
          <w:spacing w:val="4"/>
          <w:sz w:val="24"/>
        </w:rPr>
      </w:pPr>
      <w:r>
        <w:rPr>
          <w:rFonts w:hint="eastAsia" w:asciiTheme="majorEastAsia" w:hAnsiTheme="majorEastAsia" w:eastAsiaTheme="majorEastAsia" w:cstheme="majorEastAsia"/>
          <w:spacing w:val="4"/>
          <w:sz w:val="24"/>
        </w:rPr>
        <w:t>电             话：</w:t>
      </w:r>
      <w:r>
        <w:rPr>
          <w:rFonts w:hint="eastAsia" w:asciiTheme="majorEastAsia" w:hAnsiTheme="majorEastAsia" w:eastAsiaTheme="majorEastAsia" w:cstheme="majorEastAsia"/>
          <w:spacing w:val="4"/>
          <w:sz w:val="24"/>
          <w:u w:val="single"/>
          <w:lang w:val="en-US" w:eastAsia="zh-CN"/>
        </w:rPr>
        <w:t xml:space="preserve">                             </w:t>
      </w:r>
    </w:p>
    <w:p w14:paraId="048CAAE7">
      <w:pPr>
        <w:spacing w:line="400" w:lineRule="exact"/>
        <w:ind w:firstLine="620" w:firstLineChars="250"/>
        <w:rPr>
          <w:rFonts w:asciiTheme="majorEastAsia" w:hAnsiTheme="majorEastAsia" w:eastAsiaTheme="majorEastAsia" w:cstheme="majorEastAsia"/>
          <w:spacing w:val="4"/>
          <w:sz w:val="24"/>
        </w:rPr>
      </w:pPr>
      <w:r>
        <w:rPr>
          <w:rFonts w:hint="eastAsia" w:asciiTheme="majorEastAsia" w:hAnsiTheme="majorEastAsia" w:eastAsiaTheme="majorEastAsia" w:cstheme="majorEastAsia"/>
          <w:spacing w:val="4"/>
          <w:sz w:val="24"/>
        </w:rPr>
        <w:t>传             真：</w:t>
      </w:r>
      <w:r>
        <w:rPr>
          <w:rFonts w:hint="eastAsia" w:asciiTheme="majorEastAsia" w:hAnsiTheme="majorEastAsia" w:eastAsiaTheme="majorEastAsia" w:cstheme="majorEastAsia"/>
          <w:spacing w:val="4"/>
          <w:sz w:val="24"/>
          <w:u w:val="single"/>
          <w:lang w:val="en-US" w:eastAsia="zh-CN"/>
        </w:rPr>
        <w:t xml:space="preserve">                             </w:t>
      </w:r>
    </w:p>
    <w:p w14:paraId="452BAFA9">
      <w:pPr>
        <w:spacing w:line="400" w:lineRule="exact"/>
        <w:ind w:firstLine="620" w:firstLineChars="250"/>
        <w:rPr>
          <w:rFonts w:asciiTheme="majorEastAsia" w:hAnsiTheme="majorEastAsia" w:eastAsiaTheme="majorEastAsia" w:cstheme="majorEastAsia"/>
          <w:spacing w:val="4"/>
          <w:sz w:val="24"/>
        </w:rPr>
      </w:pPr>
      <w:r>
        <w:rPr>
          <w:rFonts w:hint="eastAsia" w:asciiTheme="majorEastAsia" w:hAnsiTheme="majorEastAsia" w:eastAsiaTheme="majorEastAsia" w:cstheme="majorEastAsia"/>
          <w:spacing w:val="4"/>
          <w:sz w:val="24"/>
        </w:rPr>
        <w:t>开   户   银   行：</w:t>
      </w:r>
      <w:r>
        <w:rPr>
          <w:rFonts w:hint="eastAsia" w:asciiTheme="majorEastAsia" w:hAnsiTheme="majorEastAsia" w:eastAsiaTheme="majorEastAsia" w:cstheme="majorEastAsia"/>
          <w:spacing w:val="4"/>
          <w:sz w:val="24"/>
          <w:u w:val="single"/>
          <w:lang w:val="en-US" w:eastAsia="zh-CN"/>
        </w:rPr>
        <w:t xml:space="preserve">                             </w:t>
      </w:r>
    </w:p>
    <w:p w14:paraId="5CF9C2F0">
      <w:pPr>
        <w:spacing w:line="400" w:lineRule="exact"/>
        <w:ind w:firstLine="620" w:firstLineChars="250"/>
        <w:rPr>
          <w:rFonts w:asciiTheme="majorEastAsia" w:hAnsiTheme="majorEastAsia" w:eastAsiaTheme="majorEastAsia" w:cstheme="majorEastAsia"/>
          <w:spacing w:val="4"/>
          <w:sz w:val="24"/>
        </w:rPr>
      </w:pPr>
      <w:r>
        <w:rPr>
          <w:rFonts w:hint="eastAsia" w:asciiTheme="majorEastAsia" w:hAnsiTheme="majorEastAsia" w:eastAsiaTheme="majorEastAsia" w:cstheme="majorEastAsia"/>
          <w:spacing w:val="4"/>
          <w:sz w:val="24"/>
        </w:rPr>
        <w:t>帐             号：</w:t>
      </w:r>
      <w:r>
        <w:rPr>
          <w:rFonts w:hint="eastAsia" w:asciiTheme="majorEastAsia" w:hAnsiTheme="majorEastAsia" w:eastAsiaTheme="majorEastAsia" w:cstheme="majorEastAsia"/>
          <w:spacing w:val="4"/>
          <w:sz w:val="24"/>
          <w:u w:val="single"/>
          <w:lang w:val="en-US" w:eastAsia="zh-CN"/>
        </w:rPr>
        <w:t xml:space="preserve">                             </w:t>
      </w:r>
    </w:p>
    <w:p w14:paraId="08B51474">
      <w:pPr>
        <w:spacing w:line="400" w:lineRule="exact"/>
        <w:ind w:firstLine="620" w:firstLineChars="250"/>
        <w:rPr>
          <w:rFonts w:asciiTheme="majorEastAsia" w:hAnsiTheme="majorEastAsia" w:eastAsiaTheme="majorEastAsia" w:cstheme="majorEastAsia"/>
          <w:spacing w:val="4"/>
          <w:sz w:val="24"/>
        </w:rPr>
      </w:pPr>
      <w:r>
        <w:rPr>
          <w:rFonts w:hint="eastAsia" w:asciiTheme="majorEastAsia" w:hAnsiTheme="majorEastAsia" w:eastAsiaTheme="majorEastAsia" w:cstheme="majorEastAsia"/>
          <w:spacing w:val="4"/>
          <w:sz w:val="24"/>
        </w:rPr>
        <w:t>法定代表人或委托代理人（签名或盖章）：</w:t>
      </w:r>
      <w:r>
        <w:rPr>
          <w:rFonts w:hint="eastAsia" w:asciiTheme="majorEastAsia" w:hAnsiTheme="majorEastAsia" w:eastAsiaTheme="majorEastAsia" w:cstheme="majorEastAsia"/>
          <w:spacing w:val="4"/>
          <w:sz w:val="24"/>
          <w:u w:val="single"/>
          <w:lang w:val="en-US" w:eastAsia="zh-CN"/>
        </w:rPr>
        <w:t xml:space="preserve">           </w:t>
      </w:r>
    </w:p>
    <w:p w14:paraId="12284BCD">
      <w:pPr>
        <w:spacing w:line="400" w:lineRule="exact"/>
        <w:ind w:firstLine="620" w:firstLineChars="250"/>
        <w:rPr>
          <w:rFonts w:asciiTheme="majorEastAsia" w:hAnsiTheme="majorEastAsia" w:eastAsiaTheme="majorEastAsia" w:cstheme="majorEastAsia"/>
          <w:spacing w:val="4"/>
          <w:sz w:val="24"/>
        </w:rPr>
      </w:pPr>
      <w:r>
        <w:rPr>
          <w:rFonts w:hint="eastAsia" w:asciiTheme="majorEastAsia" w:hAnsiTheme="majorEastAsia" w:eastAsiaTheme="majorEastAsia" w:cstheme="majorEastAsia"/>
          <w:spacing w:val="4"/>
          <w:sz w:val="24"/>
        </w:rPr>
        <w:t>日            期：</w:t>
      </w:r>
      <w:r>
        <w:rPr>
          <w:rFonts w:hint="eastAsia" w:asciiTheme="majorEastAsia" w:hAnsiTheme="majorEastAsia" w:eastAsiaTheme="majorEastAsia" w:cstheme="majorEastAsia"/>
          <w:spacing w:val="4"/>
          <w:sz w:val="24"/>
          <w:u w:val="single"/>
          <w:lang w:val="en-US" w:eastAsia="zh-CN"/>
        </w:rPr>
        <w:t xml:space="preserve">                              </w:t>
      </w:r>
    </w:p>
    <w:p w14:paraId="1F317482">
      <w:pPr>
        <w:wordWrap w:val="0"/>
        <w:autoSpaceDE w:val="0"/>
        <w:autoSpaceDN w:val="0"/>
        <w:spacing w:line="400" w:lineRule="exact"/>
        <w:ind w:right="480" w:firstLine="480" w:firstLineChars="200"/>
        <w:jc w:val="right"/>
        <w:rPr>
          <w:rFonts w:asciiTheme="majorEastAsia" w:hAnsiTheme="majorEastAsia" w:eastAsiaTheme="majorEastAsia" w:cstheme="majorEastAsia"/>
          <w:sz w:val="24"/>
        </w:rPr>
        <w:sectPr>
          <w:pgSz w:w="11906" w:h="16838"/>
          <w:pgMar w:top="1440" w:right="1417" w:bottom="1440" w:left="1531" w:header="851" w:footer="992" w:gutter="0"/>
          <w:cols w:space="0" w:num="1"/>
          <w:docGrid w:type="lines" w:linePitch="312" w:charSpace="0"/>
        </w:sectPr>
      </w:pPr>
    </w:p>
    <w:p w14:paraId="48B53D2E">
      <w:pPr>
        <w:autoSpaceDE w:val="0"/>
        <w:autoSpaceDN w:val="0"/>
        <w:snapToGrid w:val="0"/>
        <w:spacing w:line="360" w:lineRule="auto"/>
        <w:jc w:val="center"/>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二、开标一览表</w:t>
      </w:r>
    </w:p>
    <w:tbl>
      <w:tblPr>
        <w:tblStyle w:val="25"/>
        <w:tblpPr w:leftFromText="180" w:rightFromText="180" w:vertAnchor="text" w:horzAnchor="page" w:tblpX="1580" w:tblpY="736"/>
        <w:tblOverlap w:val="never"/>
        <w:tblW w:w="0" w:type="auto"/>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56"/>
        <w:gridCol w:w="6981"/>
      </w:tblGrid>
      <w:tr w14:paraId="0F3C40F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163" w:hRule="atLeast"/>
        </w:trPr>
        <w:tc>
          <w:tcPr>
            <w:tcW w:w="1956" w:type="dxa"/>
            <w:tcBorders>
              <w:bottom w:val="single" w:color="auto" w:sz="4" w:space="0"/>
            </w:tcBorders>
            <w:noWrap/>
            <w:vAlign w:val="center"/>
          </w:tcPr>
          <w:p w14:paraId="1D4FE86F">
            <w:pPr>
              <w:spacing w:line="360" w:lineRule="auto"/>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采购项目名称</w:t>
            </w:r>
          </w:p>
        </w:tc>
        <w:tc>
          <w:tcPr>
            <w:tcW w:w="6981" w:type="dxa"/>
            <w:noWrap/>
            <w:vAlign w:val="center"/>
          </w:tcPr>
          <w:p w14:paraId="0C391F2D">
            <w:pPr>
              <w:spacing w:line="360" w:lineRule="auto"/>
              <w:jc w:val="center"/>
              <w:rPr>
                <w:rFonts w:asciiTheme="majorEastAsia" w:hAnsiTheme="majorEastAsia" w:eastAsiaTheme="majorEastAsia" w:cstheme="majorEastAsia"/>
                <w:bCs/>
                <w:sz w:val="24"/>
              </w:rPr>
            </w:pPr>
          </w:p>
        </w:tc>
      </w:tr>
      <w:tr w14:paraId="26E670F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93" w:hRule="atLeast"/>
        </w:trPr>
        <w:tc>
          <w:tcPr>
            <w:tcW w:w="1956" w:type="dxa"/>
            <w:tcBorders>
              <w:bottom w:val="single" w:color="auto" w:sz="4" w:space="0"/>
            </w:tcBorders>
            <w:noWrap/>
            <w:vAlign w:val="center"/>
          </w:tcPr>
          <w:p w14:paraId="486A3D9C">
            <w:pPr>
              <w:spacing w:line="360" w:lineRule="auto"/>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采购项目编号</w:t>
            </w:r>
          </w:p>
        </w:tc>
        <w:tc>
          <w:tcPr>
            <w:tcW w:w="6981" w:type="dxa"/>
            <w:tcBorders>
              <w:bottom w:val="single" w:color="auto" w:sz="4" w:space="0"/>
            </w:tcBorders>
            <w:noWrap/>
            <w:vAlign w:val="center"/>
          </w:tcPr>
          <w:p w14:paraId="75B740A2">
            <w:pPr>
              <w:spacing w:line="360" w:lineRule="auto"/>
              <w:jc w:val="center"/>
              <w:rPr>
                <w:rFonts w:asciiTheme="majorEastAsia" w:hAnsiTheme="majorEastAsia" w:eastAsiaTheme="majorEastAsia" w:cstheme="majorEastAsia"/>
                <w:bCs/>
                <w:sz w:val="24"/>
              </w:rPr>
            </w:pPr>
          </w:p>
        </w:tc>
      </w:tr>
      <w:tr w14:paraId="4690931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137" w:hRule="atLeast"/>
        </w:trPr>
        <w:tc>
          <w:tcPr>
            <w:tcW w:w="1956" w:type="dxa"/>
            <w:noWrap/>
            <w:vAlign w:val="center"/>
          </w:tcPr>
          <w:p w14:paraId="508DAC78">
            <w:pPr>
              <w:spacing w:line="360" w:lineRule="auto"/>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供应商名称</w:t>
            </w:r>
          </w:p>
          <w:p w14:paraId="490A25CF">
            <w:pPr>
              <w:spacing w:line="360" w:lineRule="auto"/>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(单位名称)</w:t>
            </w:r>
          </w:p>
        </w:tc>
        <w:tc>
          <w:tcPr>
            <w:tcW w:w="6981" w:type="dxa"/>
            <w:noWrap/>
            <w:vAlign w:val="center"/>
          </w:tcPr>
          <w:p w14:paraId="717141D1">
            <w:pPr>
              <w:spacing w:line="360" w:lineRule="auto"/>
              <w:jc w:val="center"/>
              <w:rPr>
                <w:rFonts w:asciiTheme="majorEastAsia" w:hAnsiTheme="majorEastAsia" w:eastAsiaTheme="majorEastAsia" w:cstheme="majorEastAsia"/>
                <w:b/>
                <w:bCs/>
                <w:sz w:val="24"/>
              </w:rPr>
            </w:pPr>
          </w:p>
        </w:tc>
      </w:tr>
      <w:tr w14:paraId="69F9533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272" w:hRule="atLeast"/>
        </w:trPr>
        <w:tc>
          <w:tcPr>
            <w:tcW w:w="1956" w:type="dxa"/>
            <w:noWrap/>
            <w:vAlign w:val="center"/>
          </w:tcPr>
          <w:p w14:paraId="6118CD36">
            <w:pPr>
              <w:spacing w:line="360" w:lineRule="auto"/>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投标报价</w:t>
            </w:r>
          </w:p>
        </w:tc>
        <w:tc>
          <w:tcPr>
            <w:tcW w:w="6981" w:type="dxa"/>
            <w:noWrap/>
          </w:tcPr>
          <w:p w14:paraId="5DEDE4A0">
            <w:pPr>
              <w:spacing w:line="360" w:lineRule="auto"/>
              <w:jc w:val="center"/>
              <w:rPr>
                <w:rFonts w:asciiTheme="majorEastAsia" w:hAnsiTheme="majorEastAsia" w:eastAsiaTheme="majorEastAsia" w:cstheme="majorEastAsia"/>
                <w:b/>
                <w:bCs/>
                <w:sz w:val="11"/>
                <w:szCs w:val="11"/>
              </w:rPr>
            </w:pPr>
          </w:p>
          <w:p w14:paraId="4E19344A">
            <w:pPr>
              <w:spacing w:line="360" w:lineRule="auto"/>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人 民 币（大写）： 元</w:t>
            </w:r>
          </w:p>
          <w:p w14:paraId="081D1BBC">
            <w:pPr>
              <w:spacing w:line="360" w:lineRule="auto"/>
              <w:jc w:val="center"/>
              <w:rPr>
                <w:rFonts w:asciiTheme="majorEastAsia" w:hAnsiTheme="majorEastAsia" w:eastAsiaTheme="majorEastAsia" w:cstheme="majorEastAsia"/>
                <w:b/>
                <w:bCs/>
                <w:sz w:val="24"/>
              </w:rPr>
            </w:pPr>
          </w:p>
          <w:p w14:paraId="675D8AE2">
            <w:pPr>
              <w:spacing w:line="360" w:lineRule="auto"/>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人 民 币（小写）：元</w:t>
            </w:r>
          </w:p>
        </w:tc>
      </w:tr>
      <w:tr w14:paraId="75DA79D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87" w:hRule="atLeast"/>
        </w:trPr>
        <w:tc>
          <w:tcPr>
            <w:tcW w:w="1956" w:type="dxa"/>
            <w:noWrap/>
            <w:vAlign w:val="center"/>
          </w:tcPr>
          <w:p w14:paraId="32F8D6E0">
            <w:pPr>
              <w:spacing w:line="360" w:lineRule="auto"/>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交货期</w:t>
            </w:r>
          </w:p>
        </w:tc>
        <w:tc>
          <w:tcPr>
            <w:tcW w:w="6981" w:type="dxa"/>
            <w:noWrap/>
          </w:tcPr>
          <w:p w14:paraId="0DEFD8C8">
            <w:pPr>
              <w:spacing w:line="360" w:lineRule="auto"/>
              <w:rPr>
                <w:rFonts w:asciiTheme="majorEastAsia" w:hAnsiTheme="majorEastAsia" w:eastAsiaTheme="majorEastAsia" w:cstheme="majorEastAsia"/>
                <w:b/>
                <w:bCs/>
                <w:sz w:val="24"/>
              </w:rPr>
            </w:pPr>
          </w:p>
        </w:tc>
      </w:tr>
      <w:tr w14:paraId="6186CB0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87" w:hRule="atLeast"/>
        </w:trPr>
        <w:tc>
          <w:tcPr>
            <w:tcW w:w="1956" w:type="dxa"/>
            <w:noWrap/>
            <w:vAlign w:val="center"/>
          </w:tcPr>
          <w:p w14:paraId="61406D82">
            <w:pPr>
              <w:spacing w:line="360" w:lineRule="auto"/>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质保期</w:t>
            </w:r>
          </w:p>
        </w:tc>
        <w:tc>
          <w:tcPr>
            <w:tcW w:w="6981" w:type="dxa"/>
            <w:noWrap/>
          </w:tcPr>
          <w:p w14:paraId="00E6CBEE">
            <w:pPr>
              <w:spacing w:line="360" w:lineRule="auto"/>
              <w:rPr>
                <w:rFonts w:asciiTheme="majorEastAsia" w:hAnsiTheme="majorEastAsia" w:eastAsiaTheme="majorEastAsia" w:cstheme="majorEastAsia"/>
                <w:b/>
                <w:bCs/>
                <w:sz w:val="24"/>
              </w:rPr>
            </w:pPr>
          </w:p>
        </w:tc>
      </w:tr>
      <w:tr w14:paraId="4BAA139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92" w:hRule="atLeast"/>
        </w:trPr>
        <w:tc>
          <w:tcPr>
            <w:tcW w:w="1956" w:type="dxa"/>
            <w:noWrap/>
            <w:vAlign w:val="center"/>
          </w:tcPr>
          <w:p w14:paraId="62947BAA">
            <w:pPr>
              <w:spacing w:line="360" w:lineRule="auto"/>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备注</w:t>
            </w:r>
          </w:p>
        </w:tc>
        <w:tc>
          <w:tcPr>
            <w:tcW w:w="6981" w:type="dxa"/>
            <w:noWrap/>
          </w:tcPr>
          <w:p w14:paraId="297D7574">
            <w:pPr>
              <w:spacing w:line="360" w:lineRule="auto"/>
              <w:rPr>
                <w:rFonts w:asciiTheme="majorEastAsia" w:hAnsiTheme="majorEastAsia" w:eastAsiaTheme="majorEastAsia" w:cstheme="majorEastAsia"/>
                <w:b/>
                <w:bCs/>
                <w:sz w:val="24"/>
              </w:rPr>
            </w:pPr>
          </w:p>
        </w:tc>
      </w:tr>
    </w:tbl>
    <w:p w14:paraId="4A904CF8">
      <w:pPr>
        <w:rPr>
          <w:rFonts w:asciiTheme="majorEastAsia" w:hAnsiTheme="majorEastAsia" w:eastAsiaTheme="majorEastAsia" w:cstheme="majorEastAsia"/>
          <w:sz w:val="24"/>
        </w:rPr>
      </w:pPr>
    </w:p>
    <w:p w14:paraId="34D5EFD6">
      <w:pPr>
        <w:ind w:firstLine="240" w:firstLineChars="100"/>
        <w:rPr>
          <w:rFonts w:asciiTheme="majorEastAsia" w:hAnsiTheme="majorEastAsia" w:eastAsiaTheme="majorEastAsia" w:cstheme="majorEastAsia"/>
          <w:sz w:val="24"/>
        </w:rPr>
      </w:pPr>
    </w:p>
    <w:p w14:paraId="58B67119">
      <w:pPr>
        <w:ind w:firstLine="240" w:firstLineChars="100"/>
        <w:rPr>
          <w:rFonts w:asciiTheme="majorEastAsia" w:hAnsiTheme="majorEastAsia" w:eastAsiaTheme="majorEastAsia" w:cstheme="majorEastAsia"/>
          <w:sz w:val="24"/>
        </w:rPr>
      </w:pPr>
    </w:p>
    <w:p w14:paraId="6679E9D8">
      <w:pPr>
        <w:spacing w:line="480" w:lineRule="auto"/>
        <w:ind w:right="-161" w:firstLine="3120" w:firstLineChars="1300"/>
        <w:rPr>
          <w:rFonts w:asciiTheme="majorEastAsia" w:hAnsiTheme="majorEastAsia" w:eastAsiaTheme="majorEastAsia" w:cstheme="majorEastAsia"/>
          <w:sz w:val="24"/>
          <w:u w:val="single"/>
        </w:rPr>
      </w:pPr>
      <w:bookmarkStart w:id="152" w:name="_Toc2598"/>
      <w:r>
        <w:rPr>
          <w:rFonts w:hint="eastAsia" w:asciiTheme="majorEastAsia" w:hAnsiTheme="majorEastAsia" w:eastAsiaTheme="majorEastAsia" w:cstheme="majorEastAsia"/>
          <w:sz w:val="24"/>
        </w:rPr>
        <w:t>法人代表或被授权代表签字：</w:t>
      </w:r>
    </w:p>
    <w:p w14:paraId="35E37CEB">
      <w:pPr>
        <w:spacing w:line="480" w:lineRule="auto"/>
        <w:ind w:right="-161" w:firstLine="3120" w:firstLineChars="1300"/>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投   标   单  位  公  章：</w:t>
      </w:r>
    </w:p>
    <w:p w14:paraId="56AD1C0C">
      <w:pPr>
        <w:jc w:val="center"/>
        <w:rPr>
          <w:rFonts w:asciiTheme="majorEastAsia" w:hAnsiTheme="majorEastAsia" w:eastAsiaTheme="majorEastAsia" w:cstheme="majorEastAsia"/>
          <w:b/>
          <w:sz w:val="36"/>
        </w:rPr>
      </w:pP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日                    期：</w:t>
      </w:r>
    </w:p>
    <w:p w14:paraId="56DAF2CE">
      <w:pPr>
        <w:ind w:firstLine="562" w:firstLineChars="175"/>
        <w:jc w:val="center"/>
        <w:rPr>
          <w:rFonts w:asciiTheme="majorEastAsia" w:hAnsiTheme="majorEastAsia" w:eastAsiaTheme="majorEastAsia" w:cstheme="majorEastAsia"/>
          <w:b/>
          <w:sz w:val="32"/>
          <w:szCs w:val="32"/>
        </w:rPr>
        <w:sectPr>
          <w:pgSz w:w="11906" w:h="16838"/>
          <w:pgMar w:top="1440" w:right="1417" w:bottom="1440" w:left="1417" w:header="851" w:footer="992" w:gutter="0"/>
          <w:cols w:space="720" w:num="1"/>
          <w:docGrid w:type="lines" w:linePitch="312" w:charSpace="0"/>
        </w:sectPr>
      </w:pPr>
    </w:p>
    <w:p w14:paraId="28AB9332">
      <w:pPr>
        <w:ind w:firstLine="562" w:firstLineChars="175"/>
        <w:jc w:val="center"/>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分项报价表</w:t>
      </w:r>
      <w:bookmarkEnd w:id="152"/>
    </w:p>
    <w:p w14:paraId="01BC73CF">
      <w:pPr>
        <w:rPr>
          <w:rFonts w:asciiTheme="majorEastAsia" w:hAnsiTheme="majorEastAsia" w:eastAsiaTheme="majorEastAsia" w:cstheme="majorEastAsia"/>
        </w:rPr>
      </w:pPr>
    </w:p>
    <w:p w14:paraId="21F53208">
      <w:pPr>
        <w:rPr>
          <w:rFonts w:asciiTheme="majorEastAsia" w:hAnsiTheme="majorEastAsia" w:eastAsiaTheme="majorEastAsia" w:cstheme="majorEastAsia"/>
        </w:rPr>
      </w:pPr>
    </w:p>
    <w:p w14:paraId="4D9F2096">
      <w:pPr>
        <w:spacing w:line="246" w:lineRule="auto"/>
        <w:rPr>
          <w:rFonts w:asciiTheme="majorEastAsia" w:hAnsiTheme="majorEastAsia" w:eastAsiaTheme="majorEastAsia" w:cstheme="majorEastAsia"/>
        </w:rPr>
      </w:pPr>
    </w:p>
    <w:p w14:paraId="66748913">
      <w:pPr>
        <w:spacing w:line="247" w:lineRule="auto"/>
        <w:rPr>
          <w:rFonts w:asciiTheme="majorEastAsia" w:hAnsiTheme="majorEastAsia" w:eastAsiaTheme="majorEastAsia" w:cstheme="majorEastAsia"/>
        </w:rPr>
      </w:pPr>
    </w:p>
    <w:p w14:paraId="045A674F">
      <w:pPr>
        <w:rPr>
          <w:rFonts w:asciiTheme="majorEastAsia" w:hAnsiTheme="majorEastAsia" w:eastAsiaTheme="majorEastAsia" w:cstheme="majorEastAsia"/>
          <w:sz w:val="24"/>
          <w:szCs w:val="21"/>
        </w:rPr>
      </w:pPr>
    </w:p>
    <w:p w14:paraId="1F2B3969">
      <w:pPr>
        <w:jc w:val="center"/>
        <w:rPr>
          <w:rFonts w:asciiTheme="majorEastAsia" w:hAnsiTheme="majorEastAsia" w:eastAsiaTheme="majorEastAsia" w:cstheme="majorEastAsia"/>
          <w:sz w:val="24"/>
          <w:szCs w:val="21"/>
        </w:rPr>
      </w:pPr>
      <w:r>
        <w:rPr>
          <w:rFonts w:hint="eastAsia" w:asciiTheme="majorEastAsia" w:hAnsiTheme="majorEastAsia" w:eastAsiaTheme="majorEastAsia" w:cstheme="majorEastAsia"/>
          <w:sz w:val="24"/>
          <w:szCs w:val="21"/>
        </w:rPr>
        <w:t>（格式自拟）</w:t>
      </w:r>
    </w:p>
    <w:p w14:paraId="0AF1D4FD">
      <w:pPr>
        <w:pStyle w:val="17"/>
        <w:rPr>
          <w:rFonts w:asciiTheme="majorEastAsia" w:hAnsiTheme="majorEastAsia" w:eastAsiaTheme="majorEastAsia" w:cstheme="majorEastAsia"/>
          <w:sz w:val="24"/>
          <w:szCs w:val="21"/>
        </w:rPr>
      </w:pPr>
    </w:p>
    <w:p w14:paraId="33E7A6C9">
      <w:pPr>
        <w:rPr>
          <w:rFonts w:asciiTheme="majorEastAsia" w:hAnsiTheme="majorEastAsia" w:eastAsiaTheme="majorEastAsia" w:cstheme="majorEastAsia"/>
          <w:sz w:val="24"/>
          <w:szCs w:val="21"/>
        </w:rPr>
      </w:pPr>
    </w:p>
    <w:p w14:paraId="1103E705">
      <w:pPr>
        <w:pStyle w:val="17"/>
        <w:rPr>
          <w:rFonts w:asciiTheme="majorEastAsia" w:hAnsiTheme="majorEastAsia" w:eastAsiaTheme="majorEastAsia" w:cstheme="majorEastAsia"/>
          <w:sz w:val="24"/>
          <w:szCs w:val="21"/>
        </w:rPr>
      </w:pPr>
    </w:p>
    <w:p w14:paraId="75C297B8">
      <w:pPr>
        <w:rPr>
          <w:rFonts w:asciiTheme="majorEastAsia" w:hAnsiTheme="majorEastAsia" w:eastAsiaTheme="majorEastAsia" w:cstheme="majorEastAsia"/>
          <w:sz w:val="24"/>
          <w:szCs w:val="21"/>
        </w:rPr>
      </w:pPr>
    </w:p>
    <w:p w14:paraId="63EDD4B5">
      <w:pPr>
        <w:pStyle w:val="17"/>
        <w:rPr>
          <w:rFonts w:asciiTheme="majorEastAsia" w:hAnsiTheme="majorEastAsia" w:eastAsiaTheme="majorEastAsia" w:cstheme="majorEastAsia"/>
          <w:sz w:val="24"/>
          <w:szCs w:val="21"/>
        </w:rPr>
      </w:pPr>
    </w:p>
    <w:p w14:paraId="1CBEB538">
      <w:pPr>
        <w:rPr>
          <w:rFonts w:asciiTheme="majorEastAsia" w:hAnsiTheme="majorEastAsia" w:eastAsiaTheme="majorEastAsia" w:cstheme="majorEastAsia"/>
          <w:sz w:val="24"/>
          <w:szCs w:val="21"/>
        </w:rPr>
      </w:pPr>
    </w:p>
    <w:p w14:paraId="53FF9539">
      <w:pPr>
        <w:pStyle w:val="17"/>
        <w:rPr>
          <w:rFonts w:asciiTheme="majorEastAsia" w:hAnsiTheme="majorEastAsia" w:eastAsiaTheme="majorEastAsia" w:cstheme="majorEastAsia"/>
          <w:sz w:val="24"/>
          <w:szCs w:val="21"/>
        </w:rPr>
      </w:pPr>
    </w:p>
    <w:p w14:paraId="345EF3E0">
      <w:pPr>
        <w:rPr>
          <w:rFonts w:asciiTheme="majorEastAsia" w:hAnsiTheme="majorEastAsia" w:eastAsiaTheme="majorEastAsia" w:cstheme="majorEastAsia"/>
          <w:sz w:val="24"/>
          <w:szCs w:val="21"/>
        </w:rPr>
      </w:pPr>
    </w:p>
    <w:p w14:paraId="2A7A8E1A">
      <w:pPr>
        <w:pStyle w:val="17"/>
        <w:rPr>
          <w:rFonts w:asciiTheme="majorEastAsia" w:hAnsiTheme="majorEastAsia" w:eastAsiaTheme="majorEastAsia" w:cstheme="majorEastAsia"/>
          <w:sz w:val="24"/>
          <w:szCs w:val="21"/>
        </w:rPr>
      </w:pPr>
    </w:p>
    <w:p w14:paraId="4FCD2B72">
      <w:pPr>
        <w:rPr>
          <w:rFonts w:asciiTheme="majorEastAsia" w:hAnsiTheme="majorEastAsia" w:eastAsiaTheme="majorEastAsia" w:cstheme="majorEastAsia"/>
          <w:sz w:val="24"/>
          <w:szCs w:val="21"/>
        </w:rPr>
      </w:pPr>
    </w:p>
    <w:p w14:paraId="06BD33B7">
      <w:pPr>
        <w:pStyle w:val="17"/>
        <w:rPr>
          <w:rFonts w:asciiTheme="majorEastAsia" w:hAnsiTheme="majorEastAsia" w:eastAsiaTheme="majorEastAsia" w:cstheme="majorEastAsia"/>
          <w:sz w:val="24"/>
          <w:szCs w:val="21"/>
        </w:rPr>
      </w:pPr>
    </w:p>
    <w:p w14:paraId="10E349D5">
      <w:pPr>
        <w:rPr>
          <w:rFonts w:asciiTheme="majorEastAsia" w:hAnsiTheme="majorEastAsia" w:eastAsiaTheme="majorEastAsia" w:cstheme="majorEastAsia"/>
          <w:sz w:val="24"/>
          <w:szCs w:val="21"/>
        </w:rPr>
      </w:pPr>
    </w:p>
    <w:p w14:paraId="5F03C285">
      <w:pPr>
        <w:pStyle w:val="17"/>
        <w:rPr>
          <w:rFonts w:asciiTheme="majorEastAsia" w:hAnsiTheme="majorEastAsia" w:eastAsiaTheme="majorEastAsia" w:cstheme="majorEastAsia"/>
          <w:sz w:val="24"/>
          <w:szCs w:val="21"/>
        </w:rPr>
      </w:pPr>
    </w:p>
    <w:p w14:paraId="03EEF48A">
      <w:pPr>
        <w:rPr>
          <w:rFonts w:asciiTheme="majorEastAsia" w:hAnsiTheme="majorEastAsia" w:eastAsiaTheme="majorEastAsia" w:cstheme="majorEastAsia"/>
          <w:sz w:val="24"/>
          <w:szCs w:val="21"/>
        </w:rPr>
      </w:pPr>
    </w:p>
    <w:p w14:paraId="30E72381">
      <w:pPr>
        <w:pStyle w:val="17"/>
        <w:rPr>
          <w:rFonts w:asciiTheme="majorEastAsia" w:hAnsiTheme="majorEastAsia" w:eastAsiaTheme="majorEastAsia" w:cstheme="majorEastAsia"/>
        </w:rPr>
      </w:pPr>
    </w:p>
    <w:p w14:paraId="5EB20A09">
      <w:pPr>
        <w:pStyle w:val="17"/>
        <w:rPr>
          <w:rFonts w:asciiTheme="majorEastAsia" w:hAnsiTheme="majorEastAsia" w:eastAsiaTheme="majorEastAsia" w:cstheme="majorEastAsia"/>
          <w:sz w:val="24"/>
          <w:szCs w:val="21"/>
        </w:rPr>
      </w:pPr>
    </w:p>
    <w:p w14:paraId="4FD04143">
      <w:pPr>
        <w:rPr>
          <w:rFonts w:asciiTheme="majorEastAsia" w:hAnsiTheme="majorEastAsia" w:eastAsiaTheme="majorEastAsia" w:cstheme="majorEastAsia"/>
          <w:sz w:val="24"/>
          <w:szCs w:val="21"/>
        </w:rPr>
      </w:pPr>
    </w:p>
    <w:p w14:paraId="3F60BDB3">
      <w:pPr>
        <w:pStyle w:val="17"/>
        <w:rPr>
          <w:rFonts w:asciiTheme="majorEastAsia" w:hAnsiTheme="majorEastAsia" w:eastAsiaTheme="majorEastAsia" w:cstheme="majorEastAsia"/>
        </w:rPr>
      </w:pPr>
    </w:p>
    <w:p w14:paraId="598F1B53">
      <w:pPr>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注：1. 供应商须按照招标文件“采购内容及要求”中涉及的采购清单进行报价。</w:t>
      </w:r>
    </w:p>
    <w:p w14:paraId="1D2D9121">
      <w:pPr>
        <w:adjustRightInd w:val="0"/>
        <w:snapToGrid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 如果按单价计算的结果与总价不一致，以单价为准修正总价。</w:t>
      </w:r>
    </w:p>
    <w:p w14:paraId="75549F06">
      <w:pPr>
        <w:adjustRightInd w:val="0"/>
        <w:snapToGrid w:val="0"/>
        <w:spacing w:line="360" w:lineRule="auto"/>
        <w:ind w:left="792" w:leftChars="225" w:hanging="319" w:hangingChars="133"/>
        <w:rPr>
          <w:rFonts w:asciiTheme="majorEastAsia" w:hAnsiTheme="majorEastAsia" w:eastAsiaTheme="majorEastAsia" w:cstheme="majorEastAsia"/>
        </w:rPr>
      </w:pPr>
      <w:r>
        <w:rPr>
          <w:rFonts w:hint="eastAsia" w:asciiTheme="majorEastAsia" w:hAnsiTheme="majorEastAsia" w:eastAsiaTheme="majorEastAsia" w:cstheme="majorEastAsia"/>
          <w:sz w:val="24"/>
        </w:rPr>
        <w:t>3. 上述投标总报价包含了供应商为此项目所支付的的一切费用，在整个合同期内不做调整。</w:t>
      </w:r>
    </w:p>
    <w:p w14:paraId="073A2F24">
      <w:pPr>
        <w:spacing w:line="480" w:lineRule="auto"/>
        <w:ind w:right="-161" w:firstLine="3120" w:firstLineChars="1300"/>
        <w:rPr>
          <w:rFonts w:asciiTheme="majorEastAsia" w:hAnsiTheme="majorEastAsia" w:eastAsiaTheme="majorEastAsia" w:cstheme="majorEastAsia"/>
          <w:sz w:val="24"/>
        </w:rPr>
      </w:pPr>
    </w:p>
    <w:p w14:paraId="28C30FB3">
      <w:pPr>
        <w:spacing w:line="480" w:lineRule="auto"/>
        <w:ind w:right="-161" w:firstLine="3120" w:firstLineChars="1300"/>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法人代表或被授权代表签字：</w:t>
      </w:r>
    </w:p>
    <w:p w14:paraId="7399C3FC">
      <w:pPr>
        <w:spacing w:line="480" w:lineRule="auto"/>
        <w:ind w:right="-161" w:firstLine="3120" w:firstLineChars="1300"/>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投   标   单  位  公  章：</w:t>
      </w:r>
    </w:p>
    <w:p w14:paraId="450C1627">
      <w:pPr>
        <w:jc w:val="center"/>
        <w:rPr>
          <w:rFonts w:asciiTheme="majorEastAsia" w:hAnsiTheme="majorEastAsia" w:eastAsiaTheme="majorEastAsia" w:cstheme="majorEastAsia"/>
          <w:b/>
          <w:sz w:val="36"/>
        </w:rPr>
      </w:pP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日                    期：</w:t>
      </w:r>
    </w:p>
    <w:p w14:paraId="0FCA1768">
      <w:pPr>
        <w:jc w:val="center"/>
        <w:rPr>
          <w:rFonts w:asciiTheme="majorEastAsia" w:hAnsiTheme="majorEastAsia" w:eastAsiaTheme="majorEastAsia" w:cstheme="majorEastAsia"/>
          <w:b/>
          <w:sz w:val="36"/>
        </w:rPr>
        <w:sectPr>
          <w:headerReference r:id="rId7" w:type="first"/>
          <w:footerReference r:id="rId9" w:type="first"/>
          <w:headerReference r:id="rId6" w:type="default"/>
          <w:footerReference r:id="rId8" w:type="default"/>
          <w:pgSz w:w="11907" w:h="16840"/>
          <w:pgMar w:top="1440" w:right="1800" w:bottom="1440" w:left="1800" w:header="907" w:footer="654" w:gutter="0"/>
          <w:cols w:space="720" w:num="1"/>
          <w:titlePg/>
          <w:docGrid w:linePitch="312" w:charSpace="0"/>
        </w:sectPr>
      </w:pPr>
    </w:p>
    <w:p w14:paraId="05847006">
      <w:pPr>
        <w:numPr>
          <w:ilvl w:val="0"/>
          <w:numId w:val="4"/>
        </w:numPr>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偏离表</w:t>
      </w:r>
    </w:p>
    <w:p w14:paraId="77E8BB90">
      <w:pPr>
        <w:pStyle w:val="10"/>
        <w:rPr>
          <w:rFonts w:asciiTheme="majorEastAsia" w:hAnsiTheme="majorEastAsia" w:eastAsiaTheme="majorEastAsia" w:cstheme="majorEastAsia"/>
        </w:rPr>
      </w:pPr>
    </w:p>
    <w:p w14:paraId="6569F457">
      <w:pPr>
        <w:spacing w:afterLines="200"/>
        <w:jc w:val="center"/>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bCs/>
          <w:sz w:val="24"/>
        </w:rPr>
        <w:t>3-1、商务偏离表</w:t>
      </w:r>
    </w:p>
    <w:tbl>
      <w:tblPr>
        <w:tblStyle w:val="25"/>
        <w:tblW w:w="985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36"/>
        <w:gridCol w:w="3266"/>
        <w:gridCol w:w="3599"/>
        <w:gridCol w:w="1062"/>
        <w:gridCol w:w="1087"/>
      </w:tblGrid>
      <w:tr w14:paraId="2E327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37" w:hRule="atLeast"/>
          <w:jc w:val="center"/>
        </w:trPr>
        <w:tc>
          <w:tcPr>
            <w:tcW w:w="836" w:type="dxa"/>
            <w:noWrap/>
            <w:vAlign w:val="center"/>
          </w:tcPr>
          <w:p w14:paraId="76C0AD16">
            <w:pPr>
              <w:spacing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序号</w:t>
            </w:r>
          </w:p>
        </w:tc>
        <w:tc>
          <w:tcPr>
            <w:tcW w:w="3266" w:type="dxa"/>
            <w:noWrap/>
            <w:vAlign w:val="center"/>
          </w:tcPr>
          <w:p w14:paraId="4C47AC66">
            <w:pPr>
              <w:spacing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招标文件商务要求</w:t>
            </w:r>
          </w:p>
        </w:tc>
        <w:tc>
          <w:tcPr>
            <w:tcW w:w="3599" w:type="dxa"/>
            <w:noWrap/>
            <w:vAlign w:val="center"/>
          </w:tcPr>
          <w:p w14:paraId="3593D868">
            <w:pPr>
              <w:spacing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投标文件商务响应</w:t>
            </w:r>
          </w:p>
        </w:tc>
        <w:tc>
          <w:tcPr>
            <w:tcW w:w="1062" w:type="dxa"/>
            <w:noWrap/>
            <w:vAlign w:val="center"/>
          </w:tcPr>
          <w:p w14:paraId="0B4E7519">
            <w:pPr>
              <w:spacing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偏离情况</w:t>
            </w:r>
          </w:p>
        </w:tc>
        <w:tc>
          <w:tcPr>
            <w:tcW w:w="1087" w:type="dxa"/>
            <w:noWrap/>
            <w:vAlign w:val="center"/>
          </w:tcPr>
          <w:p w14:paraId="5F172A63">
            <w:pPr>
              <w:spacing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备注</w:t>
            </w:r>
          </w:p>
        </w:tc>
      </w:tr>
      <w:tr w14:paraId="6527E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ign w:val="center"/>
          </w:tcPr>
          <w:p w14:paraId="136564AD">
            <w:pPr>
              <w:spacing w:line="360" w:lineRule="auto"/>
              <w:jc w:val="center"/>
              <w:rPr>
                <w:rFonts w:asciiTheme="majorEastAsia" w:hAnsiTheme="majorEastAsia" w:eastAsiaTheme="majorEastAsia" w:cstheme="majorEastAsia"/>
                <w:sz w:val="24"/>
              </w:rPr>
            </w:pPr>
          </w:p>
        </w:tc>
        <w:tc>
          <w:tcPr>
            <w:tcW w:w="3266" w:type="dxa"/>
            <w:noWrap/>
            <w:vAlign w:val="center"/>
          </w:tcPr>
          <w:p w14:paraId="7F6C1309">
            <w:pPr>
              <w:spacing w:line="360" w:lineRule="auto"/>
              <w:jc w:val="center"/>
              <w:rPr>
                <w:rFonts w:asciiTheme="majorEastAsia" w:hAnsiTheme="majorEastAsia" w:eastAsiaTheme="majorEastAsia" w:cstheme="majorEastAsia"/>
                <w:sz w:val="24"/>
              </w:rPr>
            </w:pPr>
          </w:p>
        </w:tc>
        <w:tc>
          <w:tcPr>
            <w:tcW w:w="3599" w:type="dxa"/>
            <w:noWrap/>
            <w:vAlign w:val="center"/>
          </w:tcPr>
          <w:p w14:paraId="785A9917">
            <w:pPr>
              <w:spacing w:line="360" w:lineRule="auto"/>
              <w:jc w:val="center"/>
              <w:rPr>
                <w:rFonts w:asciiTheme="majorEastAsia" w:hAnsiTheme="majorEastAsia" w:eastAsiaTheme="majorEastAsia" w:cstheme="majorEastAsia"/>
                <w:sz w:val="24"/>
              </w:rPr>
            </w:pPr>
          </w:p>
        </w:tc>
        <w:tc>
          <w:tcPr>
            <w:tcW w:w="1062" w:type="dxa"/>
            <w:noWrap/>
            <w:vAlign w:val="center"/>
          </w:tcPr>
          <w:p w14:paraId="119717FF">
            <w:pPr>
              <w:spacing w:line="360" w:lineRule="auto"/>
              <w:jc w:val="center"/>
              <w:rPr>
                <w:rFonts w:asciiTheme="majorEastAsia" w:hAnsiTheme="majorEastAsia" w:eastAsiaTheme="majorEastAsia" w:cstheme="majorEastAsia"/>
                <w:sz w:val="24"/>
              </w:rPr>
            </w:pPr>
          </w:p>
        </w:tc>
        <w:tc>
          <w:tcPr>
            <w:tcW w:w="1087" w:type="dxa"/>
            <w:noWrap/>
            <w:vAlign w:val="center"/>
          </w:tcPr>
          <w:p w14:paraId="0F62D9B2">
            <w:pPr>
              <w:spacing w:line="360" w:lineRule="auto"/>
              <w:jc w:val="center"/>
              <w:rPr>
                <w:rFonts w:asciiTheme="majorEastAsia" w:hAnsiTheme="majorEastAsia" w:eastAsiaTheme="majorEastAsia" w:cstheme="majorEastAsia"/>
                <w:sz w:val="24"/>
              </w:rPr>
            </w:pPr>
          </w:p>
        </w:tc>
      </w:tr>
      <w:tr w14:paraId="3233F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ign w:val="center"/>
          </w:tcPr>
          <w:p w14:paraId="0BCA3B58">
            <w:pPr>
              <w:spacing w:line="360" w:lineRule="auto"/>
              <w:jc w:val="center"/>
              <w:rPr>
                <w:rFonts w:asciiTheme="majorEastAsia" w:hAnsiTheme="majorEastAsia" w:eastAsiaTheme="majorEastAsia" w:cstheme="majorEastAsia"/>
                <w:sz w:val="24"/>
              </w:rPr>
            </w:pPr>
          </w:p>
        </w:tc>
        <w:tc>
          <w:tcPr>
            <w:tcW w:w="3266" w:type="dxa"/>
            <w:noWrap/>
            <w:vAlign w:val="center"/>
          </w:tcPr>
          <w:p w14:paraId="7E71F872">
            <w:pPr>
              <w:spacing w:line="360" w:lineRule="auto"/>
              <w:jc w:val="center"/>
              <w:rPr>
                <w:rFonts w:asciiTheme="majorEastAsia" w:hAnsiTheme="majorEastAsia" w:eastAsiaTheme="majorEastAsia" w:cstheme="majorEastAsia"/>
                <w:sz w:val="24"/>
              </w:rPr>
            </w:pPr>
          </w:p>
        </w:tc>
        <w:tc>
          <w:tcPr>
            <w:tcW w:w="3599" w:type="dxa"/>
            <w:noWrap/>
            <w:vAlign w:val="center"/>
          </w:tcPr>
          <w:p w14:paraId="172FA730">
            <w:pPr>
              <w:spacing w:line="360" w:lineRule="auto"/>
              <w:jc w:val="center"/>
              <w:rPr>
                <w:rFonts w:asciiTheme="majorEastAsia" w:hAnsiTheme="majorEastAsia" w:eastAsiaTheme="majorEastAsia" w:cstheme="majorEastAsia"/>
                <w:sz w:val="24"/>
              </w:rPr>
            </w:pPr>
          </w:p>
        </w:tc>
        <w:tc>
          <w:tcPr>
            <w:tcW w:w="1062" w:type="dxa"/>
            <w:noWrap/>
            <w:vAlign w:val="center"/>
          </w:tcPr>
          <w:p w14:paraId="178A84B3">
            <w:pPr>
              <w:spacing w:line="360" w:lineRule="auto"/>
              <w:jc w:val="center"/>
              <w:rPr>
                <w:rFonts w:asciiTheme="majorEastAsia" w:hAnsiTheme="majorEastAsia" w:eastAsiaTheme="majorEastAsia" w:cstheme="majorEastAsia"/>
                <w:sz w:val="24"/>
              </w:rPr>
            </w:pPr>
          </w:p>
        </w:tc>
        <w:tc>
          <w:tcPr>
            <w:tcW w:w="1087" w:type="dxa"/>
            <w:noWrap/>
            <w:vAlign w:val="center"/>
          </w:tcPr>
          <w:p w14:paraId="6010D333">
            <w:pPr>
              <w:spacing w:line="360" w:lineRule="auto"/>
              <w:jc w:val="center"/>
              <w:rPr>
                <w:rFonts w:asciiTheme="majorEastAsia" w:hAnsiTheme="majorEastAsia" w:eastAsiaTheme="majorEastAsia" w:cstheme="majorEastAsia"/>
                <w:sz w:val="24"/>
              </w:rPr>
            </w:pPr>
          </w:p>
        </w:tc>
      </w:tr>
      <w:tr w14:paraId="505C1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ign w:val="center"/>
          </w:tcPr>
          <w:p w14:paraId="1F545594">
            <w:pPr>
              <w:spacing w:line="360" w:lineRule="auto"/>
              <w:jc w:val="center"/>
              <w:rPr>
                <w:rFonts w:asciiTheme="majorEastAsia" w:hAnsiTheme="majorEastAsia" w:eastAsiaTheme="majorEastAsia" w:cstheme="majorEastAsia"/>
                <w:sz w:val="24"/>
              </w:rPr>
            </w:pPr>
          </w:p>
        </w:tc>
        <w:tc>
          <w:tcPr>
            <w:tcW w:w="3266" w:type="dxa"/>
            <w:noWrap/>
            <w:vAlign w:val="center"/>
          </w:tcPr>
          <w:p w14:paraId="0D46E311">
            <w:pPr>
              <w:spacing w:line="360" w:lineRule="auto"/>
              <w:jc w:val="center"/>
              <w:rPr>
                <w:rFonts w:asciiTheme="majorEastAsia" w:hAnsiTheme="majorEastAsia" w:eastAsiaTheme="majorEastAsia" w:cstheme="majorEastAsia"/>
                <w:sz w:val="24"/>
              </w:rPr>
            </w:pPr>
          </w:p>
        </w:tc>
        <w:tc>
          <w:tcPr>
            <w:tcW w:w="3599" w:type="dxa"/>
            <w:noWrap/>
            <w:vAlign w:val="center"/>
          </w:tcPr>
          <w:p w14:paraId="0DBE6252">
            <w:pPr>
              <w:spacing w:line="360" w:lineRule="auto"/>
              <w:jc w:val="center"/>
              <w:rPr>
                <w:rFonts w:asciiTheme="majorEastAsia" w:hAnsiTheme="majorEastAsia" w:eastAsiaTheme="majorEastAsia" w:cstheme="majorEastAsia"/>
                <w:sz w:val="24"/>
              </w:rPr>
            </w:pPr>
          </w:p>
        </w:tc>
        <w:tc>
          <w:tcPr>
            <w:tcW w:w="1062" w:type="dxa"/>
            <w:noWrap/>
            <w:vAlign w:val="center"/>
          </w:tcPr>
          <w:p w14:paraId="10BC0277">
            <w:pPr>
              <w:spacing w:line="360" w:lineRule="auto"/>
              <w:jc w:val="center"/>
              <w:rPr>
                <w:rFonts w:asciiTheme="majorEastAsia" w:hAnsiTheme="majorEastAsia" w:eastAsiaTheme="majorEastAsia" w:cstheme="majorEastAsia"/>
                <w:sz w:val="24"/>
              </w:rPr>
            </w:pPr>
          </w:p>
        </w:tc>
        <w:tc>
          <w:tcPr>
            <w:tcW w:w="1087" w:type="dxa"/>
            <w:noWrap/>
            <w:vAlign w:val="center"/>
          </w:tcPr>
          <w:p w14:paraId="56020389">
            <w:pPr>
              <w:spacing w:line="360" w:lineRule="auto"/>
              <w:jc w:val="center"/>
              <w:rPr>
                <w:rFonts w:asciiTheme="majorEastAsia" w:hAnsiTheme="majorEastAsia" w:eastAsiaTheme="majorEastAsia" w:cstheme="majorEastAsia"/>
                <w:sz w:val="24"/>
              </w:rPr>
            </w:pPr>
          </w:p>
        </w:tc>
      </w:tr>
      <w:tr w14:paraId="46053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ign w:val="center"/>
          </w:tcPr>
          <w:p w14:paraId="04E260B3">
            <w:pPr>
              <w:spacing w:line="360" w:lineRule="auto"/>
              <w:jc w:val="center"/>
              <w:rPr>
                <w:rFonts w:asciiTheme="majorEastAsia" w:hAnsiTheme="majorEastAsia" w:eastAsiaTheme="majorEastAsia" w:cstheme="majorEastAsia"/>
                <w:sz w:val="24"/>
              </w:rPr>
            </w:pPr>
          </w:p>
        </w:tc>
        <w:tc>
          <w:tcPr>
            <w:tcW w:w="3266" w:type="dxa"/>
            <w:noWrap/>
            <w:vAlign w:val="center"/>
          </w:tcPr>
          <w:p w14:paraId="30ABC195">
            <w:pPr>
              <w:spacing w:line="360" w:lineRule="auto"/>
              <w:jc w:val="center"/>
              <w:rPr>
                <w:rFonts w:asciiTheme="majorEastAsia" w:hAnsiTheme="majorEastAsia" w:eastAsiaTheme="majorEastAsia" w:cstheme="majorEastAsia"/>
                <w:sz w:val="24"/>
              </w:rPr>
            </w:pPr>
          </w:p>
        </w:tc>
        <w:tc>
          <w:tcPr>
            <w:tcW w:w="3599" w:type="dxa"/>
            <w:noWrap/>
            <w:vAlign w:val="center"/>
          </w:tcPr>
          <w:p w14:paraId="28E422D8">
            <w:pPr>
              <w:spacing w:line="360" w:lineRule="auto"/>
              <w:jc w:val="center"/>
              <w:rPr>
                <w:rFonts w:asciiTheme="majorEastAsia" w:hAnsiTheme="majorEastAsia" w:eastAsiaTheme="majorEastAsia" w:cstheme="majorEastAsia"/>
                <w:sz w:val="24"/>
              </w:rPr>
            </w:pPr>
          </w:p>
        </w:tc>
        <w:tc>
          <w:tcPr>
            <w:tcW w:w="1062" w:type="dxa"/>
            <w:noWrap/>
            <w:vAlign w:val="center"/>
          </w:tcPr>
          <w:p w14:paraId="50E5217B">
            <w:pPr>
              <w:spacing w:line="360" w:lineRule="auto"/>
              <w:jc w:val="center"/>
              <w:rPr>
                <w:rFonts w:asciiTheme="majorEastAsia" w:hAnsiTheme="majorEastAsia" w:eastAsiaTheme="majorEastAsia" w:cstheme="majorEastAsia"/>
                <w:sz w:val="24"/>
              </w:rPr>
            </w:pPr>
          </w:p>
        </w:tc>
        <w:tc>
          <w:tcPr>
            <w:tcW w:w="1087" w:type="dxa"/>
            <w:noWrap/>
            <w:vAlign w:val="center"/>
          </w:tcPr>
          <w:p w14:paraId="5A131334">
            <w:pPr>
              <w:spacing w:line="360" w:lineRule="auto"/>
              <w:jc w:val="center"/>
              <w:rPr>
                <w:rFonts w:asciiTheme="majorEastAsia" w:hAnsiTheme="majorEastAsia" w:eastAsiaTheme="majorEastAsia" w:cstheme="majorEastAsia"/>
                <w:sz w:val="24"/>
              </w:rPr>
            </w:pPr>
          </w:p>
        </w:tc>
      </w:tr>
      <w:tr w14:paraId="07A6F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ign w:val="center"/>
          </w:tcPr>
          <w:p w14:paraId="082A95D5">
            <w:pPr>
              <w:spacing w:line="360" w:lineRule="auto"/>
              <w:jc w:val="center"/>
              <w:rPr>
                <w:rFonts w:asciiTheme="majorEastAsia" w:hAnsiTheme="majorEastAsia" w:eastAsiaTheme="majorEastAsia" w:cstheme="majorEastAsia"/>
                <w:sz w:val="24"/>
              </w:rPr>
            </w:pPr>
          </w:p>
        </w:tc>
        <w:tc>
          <w:tcPr>
            <w:tcW w:w="3266" w:type="dxa"/>
            <w:noWrap/>
            <w:vAlign w:val="center"/>
          </w:tcPr>
          <w:p w14:paraId="2B66BDE8">
            <w:pPr>
              <w:spacing w:line="360" w:lineRule="auto"/>
              <w:jc w:val="center"/>
              <w:rPr>
                <w:rFonts w:asciiTheme="majorEastAsia" w:hAnsiTheme="majorEastAsia" w:eastAsiaTheme="majorEastAsia" w:cstheme="majorEastAsia"/>
                <w:sz w:val="24"/>
              </w:rPr>
            </w:pPr>
          </w:p>
        </w:tc>
        <w:tc>
          <w:tcPr>
            <w:tcW w:w="3599" w:type="dxa"/>
            <w:noWrap/>
            <w:vAlign w:val="center"/>
          </w:tcPr>
          <w:p w14:paraId="60E428A2">
            <w:pPr>
              <w:spacing w:line="360" w:lineRule="auto"/>
              <w:jc w:val="center"/>
              <w:rPr>
                <w:rFonts w:asciiTheme="majorEastAsia" w:hAnsiTheme="majorEastAsia" w:eastAsiaTheme="majorEastAsia" w:cstheme="majorEastAsia"/>
                <w:sz w:val="24"/>
              </w:rPr>
            </w:pPr>
          </w:p>
        </w:tc>
        <w:tc>
          <w:tcPr>
            <w:tcW w:w="1062" w:type="dxa"/>
            <w:noWrap/>
            <w:vAlign w:val="center"/>
          </w:tcPr>
          <w:p w14:paraId="78AA9B9F">
            <w:pPr>
              <w:spacing w:line="360" w:lineRule="auto"/>
              <w:jc w:val="center"/>
              <w:rPr>
                <w:rFonts w:asciiTheme="majorEastAsia" w:hAnsiTheme="majorEastAsia" w:eastAsiaTheme="majorEastAsia" w:cstheme="majorEastAsia"/>
                <w:sz w:val="24"/>
              </w:rPr>
            </w:pPr>
          </w:p>
        </w:tc>
        <w:tc>
          <w:tcPr>
            <w:tcW w:w="1087" w:type="dxa"/>
            <w:noWrap/>
            <w:vAlign w:val="center"/>
          </w:tcPr>
          <w:p w14:paraId="177FFA58">
            <w:pPr>
              <w:spacing w:line="360" w:lineRule="auto"/>
              <w:jc w:val="center"/>
              <w:rPr>
                <w:rFonts w:asciiTheme="majorEastAsia" w:hAnsiTheme="majorEastAsia" w:eastAsiaTheme="majorEastAsia" w:cstheme="majorEastAsia"/>
                <w:sz w:val="24"/>
              </w:rPr>
            </w:pPr>
          </w:p>
        </w:tc>
      </w:tr>
      <w:tr w14:paraId="4AA77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ign w:val="center"/>
          </w:tcPr>
          <w:p w14:paraId="04C21F47">
            <w:pPr>
              <w:spacing w:line="360" w:lineRule="auto"/>
              <w:jc w:val="center"/>
              <w:rPr>
                <w:rFonts w:asciiTheme="majorEastAsia" w:hAnsiTheme="majorEastAsia" w:eastAsiaTheme="majorEastAsia" w:cstheme="majorEastAsia"/>
                <w:sz w:val="24"/>
              </w:rPr>
            </w:pPr>
          </w:p>
        </w:tc>
        <w:tc>
          <w:tcPr>
            <w:tcW w:w="3266" w:type="dxa"/>
            <w:noWrap/>
            <w:vAlign w:val="center"/>
          </w:tcPr>
          <w:p w14:paraId="69445781">
            <w:pPr>
              <w:spacing w:line="360" w:lineRule="auto"/>
              <w:jc w:val="center"/>
              <w:rPr>
                <w:rFonts w:asciiTheme="majorEastAsia" w:hAnsiTheme="majorEastAsia" w:eastAsiaTheme="majorEastAsia" w:cstheme="majorEastAsia"/>
                <w:sz w:val="24"/>
              </w:rPr>
            </w:pPr>
          </w:p>
        </w:tc>
        <w:tc>
          <w:tcPr>
            <w:tcW w:w="3599" w:type="dxa"/>
            <w:noWrap/>
            <w:vAlign w:val="center"/>
          </w:tcPr>
          <w:p w14:paraId="4B5B79E5">
            <w:pPr>
              <w:spacing w:line="360" w:lineRule="auto"/>
              <w:jc w:val="center"/>
              <w:rPr>
                <w:rFonts w:asciiTheme="majorEastAsia" w:hAnsiTheme="majorEastAsia" w:eastAsiaTheme="majorEastAsia" w:cstheme="majorEastAsia"/>
                <w:sz w:val="24"/>
              </w:rPr>
            </w:pPr>
          </w:p>
        </w:tc>
        <w:tc>
          <w:tcPr>
            <w:tcW w:w="1062" w:type="dxa"/>
            <w:noWrap/>
            <w:vAlign w:val="center"/>
          </w:tcPr>
          <w:p w14:paraId="013C5371">
            <w:pPr>
              <w:spacing w:line="360" w:lineRule="auto"/>
              <w:jc w:val="center"/>
              <w:rPr>
                <w:rFonts w:asciiTheme="majorEastAsia" w:hAnsiTheme="majorEastAsia" w:eastAsiaTheme="majorEastAsia" w:cstheme="majorEastAsia"/>
                <w:sz w:val="24"/>
              </w:rPr>
            </w:pPr>
          </w:p>
        </w:tc>
        <w:tc>
          <w:tcPr>
            <w:tcW w:w="1087" w:type="dxa"/>
            <w:noWrap/>
            <w:vAlign w:val="center"/>
          </w:tcPr>
          <w:p w14:paraId="6784384E">
            <w:pPr>
              <w:spacing w:line="360" w:lineRule="auto"/>
              <w:jc w:val="center"/>
              <w:rPr>
                <w:rFonts w:asciiTheme="majorEastAsia" w:hAnsiTheme="majorEastAsia" w:eastAsiaTheme="majorEastAsia" w:cstheme="majorEastAsia"/>
                <w:sz w:val="24"/>
              </w:rPr>
            </w:pPr>
          </w:p>
        </w:tc>
      </w:tr>
      <w:tr w14:paraId="69052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ign w:val="center"/>
          </w:tcPr>
          <w:p w14:paraId="1AF48A88">
            <w:pPr>
              <w:spacing w:line="360" w:lineRule="auto"/>
              <w:jc w:val="center"/>
              <w:rPr>
                <w:rFonts w:asciiTheme="majorEastAsia" w:hAnsiTheme="majorEastAsia" w:eastAsiaTheme="majorEastAsia" w:cstheme="majorEastAsia"/>
                <w:sz w:val="24"/>
              </w:rPr>
            </w:pPr>
          </w:p>
        </w:tc>
        <w:tc>
          <w:tcPr>
            <w:tcW w:w="3266" w:type="dxa"/>
            <w:noWrap/>
            <w:vAlign w:val="center"/>
          </w:tcPr>
          <w:p w14:paraId="42454616">
            <w:pPr>
              <w:spacing w:line="360" w:lineRule="auto"/>
              <w:jc w:val="center"/>
              <w:rPr>
                <w:rFonts w:asciiTheme="majorEastAsia" w:hAnsiTheme="majorEastAsia" w:eastAsiaTheme="majorEastAsia" w:cstheme="majorEastAsia"/>
                <w:sz w:val="24"/>
              </w:rPr>
            </w:pPr>
          </w:p>
        </w:tc>
        <w:tc>
          <w:tcPr>
            <w:tcW w:w="3599" w:type="dxa"/>
            <w:noWrap/>
            <w:vAlign w:val="center"/>
          </w:tcPr>
          <w:p w14:paraId="0916F778">
            <w:pPr>
              <w:spacing w:line="360" w:lineRule="auto"/>
              <w:jc w:val="center"/>
              <w:rPr>
                <w:rFonts w:asciiTheme="majorEastAsia" w:hAnsiTheme="majorEastAsia" w:eastAsiaTheme="majorEastAsia" w:cstheme="majorEastAsia"/>
                <w:sz w:val="24"/>
              </w:rPr>
            </w:pPr>
          </w:p>
        </w:tc>
        <w:tc>
          <w:tcPr>
            <w:tcW w:w="1062" w:type="dxa"/>
            <w:noWrap/>
            <w:vAlign w:val="center"/>
          </w:tcPr>
          <w:p w14:paraId="46ACDB75">
            <w:pPr>
              <w:spacing w:line="360" w:lineRule="auto"/>
              <w:jc w:val="center"/>
              <w:rPr>
                <w:rFonts w:asciiTheme="majorEastAsia" w:hAnsiTheme="majorEastAsia" w:eastAsiaTheme="majorEastAsia" w:cstheme="majorEastAsia"/>
                <w:sz w:val="24"/>
              </w:rPr>
            </w:pPr>
          </w:p>
        </w:tc>
        <w:tc>
          <w:tcPr>
            <w:tcW w:w="1087" w:type="dxa"/>
            <w:noWrap/>
            <w:vAlign w:val="center"/>
          </w:tcPr>
          <w:p w14:paraId="62B12F0B">
            <w:pPr>
              <w:spacing w:line="360" w:lineRule="auto"/>
              <w:jc w:val="center"/>
              <w:rPr>
                <w:rFonts w:asciiTheme="majorEastAsia" w:hAnsiTheme="majorEastAsia" w:eastAsiaTheme="majorEastAsia" w:cstheme="majorEastAsia"/>
                <w:sz w:val="24"/>
              </w:rPr>
            </w:pPr>
          </w:p>
        </w:tc>
      </w:tr>
      <w:tr w14:paraId="0B6F8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ign w:val="center"/>
          </w:tcPr>
          <w:p w14:paraId="4D5B70D5">
            <w:pPr>
              <w:spacing w:line="360" w:lineRule="auto"/>
              <w:jc w:val="center"/>
              <w:rPr>
                <w:rFonts w:asciiTheme="majorEastAsia" w:hAnsiTheme="majorEastAsia" w:eastAsiaTheme="majorEastAsia" w:cstheme="majorEastAsia"/>
                <w:sz w:val="24"/>
              </w:rPr>
            </w:pPr>
          </w:p>
        </w:tc>
        <w:tc>
          <w:tcPr>
            <w:tcW w:w="3266" w:type="dxa"/>
            <w:noWrap/>
            <w:vAlign w:val="center"/>
          </w:tcPr>
          <w:p w14:paraId="0375F107">
            <w:pPr>
              <w:spacing w:line="360" w:lineRule="auto"/>
              <w:jc w:val="center"/>
              <w:rPr>
                <w:rFonts w:asciiTheme="majorEastAsia" w:hAnsiTheme="majorEastAsia" w:eastAsiaTheme="majorEastAsia" w:cstheme="majorEastAsia"/>
                <w:sz w:val="24"/>
              </w:rPr>
            </w:pPr>
          </w:p>
        </w:tc>
        <w:tc>
          <w:tcPr>
            <w:tcW w:w="3599" w:type="dxa"/>
            <w:noWrap/>
            <w:vAlign w:val="center"/>
          </w:tcPr>
          <w:p w14:paraId="60B3DBF1">
            <w:pPr>
              <w:spacing w:line="360" w:lineRule="auto"/>
              <w:jc w:val="center"/>
              <w:rPr>
                <w:rFonts w:asciiTheme="majorEastAsia" w:hAnsiTheme="majorEastAsia" w:eastAsiaTheme="majorEastAsia" w:cstheme="majorEastAsia"/>
                <w:sz w:val="24"/>
              </w:rPr>
            </w:pPr>
          </w:p>
        </w:tc>
        <w:tc>
          <w:tcPr>
            <w:tcW w:w="1062" w:type="dxa"/>
            <w:noWrap/>
            <w:vAlign w:val="center"/>
          </w:tcPr>
          <w:p w14:paraId="699E78C0">
            <w:pPr>
              <w:spacing w:line="360" w:lineRule="auto"/>
              <w:jc w:val="center"/>
              <w:rPr>
                <w:rFonts w:asciiTheme="majorEastAsia" w:hAnsiTheme="majorEastAsia" w:eastAsiaTheme="majorEastAsia" w:cstheme="majorEastAsia"/>
                <w:sz w:val="24"/>
              </w:rPr>
            </w:pPr>
          </w:p>
        </w:tc>
        <w:tc>
          <w:tcPr>
            <w:tcW w:w="1087" w:type="dxa"/>
            <w:noWrap/>
            <w:vAlign w:val="center"/>
          </w:tcPr>
          <w:p w14:paraId="56908C75">
            <w:pPr>
              <w:spacing w:line="360" w:lineRule="auto"/>
              <w:jc w:val="center"/>
              <w:rPr>
                <w:rFonts w:asciiTheme="majorEastAsia" w:hAnsiTheme="majorEastAsia" w:eastAsiaTheme="majorEastAsia" w:cstheme="majorEastAsia"/>
                <w:sz w:val="24"/>
              </w:rPr>
            </w:pPr>
          </w:p>
        </w:tc>
      </w:tr>
      <w:tr w14:paraId="3185A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ign w:val="center"/>
          </w:tcPr>
          <w:p w14:paraId="1077E822">
            <w:pPr>
              <w:spacing w:line="360" w:lineRule="auto"/>
              <w:jc w:val="center"/>
              <w:rPr>
                <w:rFonts w:asciiTheme="majorEastAsia" w:hAnsiTheme="majorEastAsia" w:eastAsiaTheme="majorEastAsia" w:cstheme="majorEastAsia"/>
                <w:sz w:val="24"/>
              </w:rPr>
            </w:pPr>
          </w:p>
        </w:tc>
        <w:tc>
          <w:tcPr>
            <w:tcW w:w="3266" w:type="dxa"/>
            <w:noWrap/>
            <w:vAlign w:val="center"/>
          </w:tcPr>
          <w:p w14:paraId="3AF41589">
            <w:pPr>
              <w:spacing w:line="360" w:lineRule="auto"/>
              <w:jc w:val="center"/>
              <w:rPr>
                <w:rFonts w:asciiTheme="majorEastAsia" w:hAnsiTheme="majorEastAsia" w:eastAsiaTheme="majorEastAsia" w:cstheme="majorEastAsia"/>
                <w:sz w:val="24"/>
              </w:rPr>
            </w:pPr>
          </w:p>
        </w:tc>
        <w:tc>
          <w:tcPr>
            <w:tcW w:w="3599" w:type="dxa"/>
            <w:noWrap/>
            <w:vAlign w:val="center"/>
          </w:tcPr>
          <w:p w14:paraId="691F73E6">
            <w:pPr>
              <w:spacing w:line="360" w:lineRule="auto"/>
              <w:jc w:val="center"/>
              <w:rPr>
                <w:rFonts w:asciiTheme="majorEastAsia" w:hAnsiTheme="majorEastAsia" w:eastAsiaTheme="majorEastAsia" w:cstheme="majorEastAsia"/>
                <w:sz w:val="24"/>
              </w:rPr>
            </w:pPr>
          </w:p>
        </w:tc>
        <w:tc>
          <w:tcPr>
            <w:tcW w:w="1062" w:type="dxa"/>
            <w:noWrap/>
            <w:vAlign w:val="center"/>
          </w:tcPr>
          <w:p w14:paraId="06A76FAC">
            <w:pPr>
              <w:spacing w:line="360" w:lineRule="auto"/>
              <w:jc w:val="center"/>
              <w:rPr>
                <w:rFonts w:asciiTheme="majorEastAsia" w:hAnsiTheme="majorEastAsia" w:eastAsiaTheme="majorEastAsia" w:cstheme="majorEastAsia"/>
                <w:sz w:val="24"/>
              </w:rPr>
            </w:pPr>
          </w:p>
        </w:tc>
        <w:tc>
          <w:tcPr>
            <w:tcW w:w="1087" w:type="dxa"/>
            <w:noWrap/>
            <w:vAlign w:val="center"/>
          </w:tcPr>
          <w:p w14:paraId="65C44F3C">
            <w:pPr>
              <w:spacing w:line="360" w:lineRule="auto"/>
              <w:jc w:val="center"/>
              <w:rPr>
                <w:rFonts w:asciiTheme="majorEastAsia" w:hAnsiTheme="majorEastAsia" w:eastAsiaTheme="majorEastAsia" w:cstheme="majorEastAsia"/>
                <w:sz w:val="24"/>
              </w:rPr>
            </w:pPr>
          </w:p>
        </w:tc>
      </w:tr>
      <w:tr w14:paraId="1DB07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ign w:val="center"/>
          </w:tcPr>
          <w:p w14:paraId="7EBD4D52">
            <w:pPr>
              <w:spacing w:line="360" w:lineRule="auto"/>
              <w:jc w:val="center"/>
              <w:rPr>
                <w:rFonts w:asciiTheme="majorEastAsia" w:hAnsiTheme="majorEastAsia" w:eastAsiaTheme="majorEastAsia" w:cstheme="majorEastAsia"/>
                <w:sz w:val="24"/>
              </w:rPr>
            </w:pPr>
          </w:p>
        </w:tc>
        <w:tc>
          <w:tcPr>
            <w:tcW w:w="3266" w:type="dxa"/>
            <w:noWrap/>
            <w:vAlign w:val="center"/>
          </w:tcPr>
          <w:p w14:paraId="6817300B">
            <w:pPr>
              <w:spacing w:line="360" w:lineRule="auto"/>
              <w:jc w:val="center"/>
              <w:rPr>
                <w:rFonts w:asciiTheme="majorEastAsia" w:hAnsiTheme="majorEastAsia" w:eastAsiaTheme="majorEastAsia" w:cstheme="majorEastAsia"/>
                <w:sz w:val="24"/>
              </w:rPr>
            </w:pPr>
          </w:p>
        </w:tc>
        <w:tc>
          <w:tcPr>
            <w:tcW w:w="3599" w:type="dxa"/>
            <w:noWrap/>
            <w:vAlign w:val="center"/>
          </w:tcPr>
          <w:p w14:paraId="221E3908">
            <w:pPr>
              <w:spacing w:line="360" w:lineRule="auto"/>
              <w:jc w:val="center"/>
              <w:rPr>
                <w:rFonts w:asciiTheme="majorEastAsia" w:hAnsiTheme="majorEastAsia" w:eastAsiaTheme="majorEastAsia" w:cstheme="majorEastAsia"/>
                <w:sz w:val="24"/>
              </w:rPr>
            </w:pPr>
          </w:p>
        </w:tc>
        <w:tc>
          <w:tcPr>
            <w:tcW w:w="1062" w:type="dxa"/>
            <w:noWrap/>
            <w:vAlign w:val="center"/>
          </w:tcPr>
          <w:p w14:paraId="40159F08">
            <w:pPr>
              <w:spacing w:line="360" w:lineRule="auto"/>
              <w:jc w:val="center"/>
              <w:rPr>
                <w:rFonts w:asciiTheme="majorEastAsia" w:hAnsiTheme="majorEastAsia" w:eastAsiaTheme="majorEastAsia" w:cstheme="majorEastAsia"/>
                <w:sz w:val="24"/>
              </w:rPr>
            </w:pPr>
          </w:p>
        </w:tc>
        <w:tc>
          <w:tcPr>
            <w:tcW w:w="1087" w:type="dxa"/>
            <w:noWrap/>
            <w:vAlign w:val="center"/>
          </w:tcPr>
          <w:p w14:paraId="2E262986">
            <w:pPr>
              <w:spacing w:line="360" w:lineRule="auto"/>
              <w:jc w:val="center"/>
              <w:rPr>
                <w:rFonts w:asciiTheme="majorEastAsia" w:hAnsiTheme="majorEastAsia" w:eastAsiaTheme="majorEastAsia" w:cstheme="majorEastAsia"/>
                <w:sz w:val="24"/>
              </w:rPr>
            </w:pPr>
          </w:p>
        </w:tc>
      </w:tr>
      <w:tr w14:paraId="013AC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37" w:hRule="atLeast"/>
          <w:jc w:val="center"/>
        </w:trPr>
        <w:tc>
          <w:tcPr>
            <w:tcW w:w="836" w:type="dxa"/>
            <w:noWrap/>
            <w:vAlign w:val="center"/>
          </w:tcPr>
          <w:p w14:paraId="339AE9E2">
            <w:pPr>
              <w:spacing w:line="360" w:lineRule="auto"/>
              <w:jc w:val="center"/>
              <w:rPr>
                <w:rFonts w:asciiTheme="majorEastAsia" w:hAnsiTheme="majorEastAsia" w:eastAsiaTheme="majorEastAsia" w:cstheme="majorEastAsia"/>
                <w:sz w:val="24"/>
              </w:rPr>
            </w:pPr>
          </w:p>
        </w:tc>
        <w:tc>
          <w:tcPr>
            <w:tcW w:w="3266" w:type="dxa"/>
            <w:noWrap/>
            <w:vAlign w:val="center"/>
          </w:tcPr>
          <w:p w14:paraId="63DBA8C5">
            <w:pPr>
              <w:spacing w:line="360" w:lineRule="auto"/>
              <w:jc w:val="center"/>
              <w:rPr>
                <w:rFonts w:asciiTheme="majorEastAsia" w:hAnsiTheme="majorEastAsia" w:eastAsiaTheme="majorEastAsia" w:cstheme="majorEastAsia"/>
                <w:sz w:val="24"/>
              </w:rPr>
            </w:pPr>
          </w:p>
        </w:tc>
        <w:tc>
          <w:tcPr>
            <w:tcW w:w="3599" w:type="dxa"/>
            <w:noWrap/>
            <w:vAlign w:val="center"/>
          </w:tcPr>
          <w:p w14:paraId="3DCF588B">
            <w:pPr>
              <w:spacing w:line="360" w:lineRule="auto"/>
              <w:jc w:val="center"/>
              <w:rPr>
                <w:rFonts w:asciiTheme="majorEastAsia" w:hAnsiTheme="majorEastAsia" w:eastAsiaTheme="majorEastAsia" w:cstheme="majorEastAsia"/>
                <w:sz w:val="24"/>
              </w:rPr>
            </w:pPr>
          </w:p>
        </w:tc>
        <w:tc>
          <w:tcPr>
            <w:tcW w:w="1062" w:type="dxa"/>
            <w:noWrap/>
            <w:vAlign w:val="center"/>
          </w:tcPr>
          <w:p w14:paraId="66D455C2">
            <w:pPr>
              <w:spacing w:line="360" w:lineRule="auto"/>
              <w:jc w:val="center"/>
              <w:rPr>
                <w:rFonts w:asciiTheme="majorEastAsia" w:hAnsiTheme="majorEastAsia" w:eastAsiaTheme="majorEastAsia" w:cstheme="majorEastAsia"/>
                <w:sz w:val="24"/>
              </w:rPr>
            </w:pPr>
          </w:p>
        </w:tc>
        <w:tc>
          <w:tcPr>
            <w:tcW w:w="1087" w:type="dxa"/>
            <w:noWrap/>
            <w:vAlign w:val="center"/>
          </w:tcPr>
          <w:p w14:paraId="46E66450">
            <w:pPr>
              <w:spacing w:line="360" w:lineRule="auto"/>
              <w:jc w:val="center"/>
              <w:rPr>
                <w:rFonts w:asciiTheme="majorEastAsia" w:hAnsiTheme="majorEastAsia" w:eastAsiaTheme="majorEastAsia" w:cstheme="majorEastAsia"/>
                <w:sz w:val="24"/>
              </w:rPr>
            </w:pPr>
          </w:p>
        </w:tc>
      </w:tr>
    </w:tbl>
    <w:p w14:paraId="425B0375">
      <w:pPr>
        <w:autoSpaceDE w:val="0"/>
        <w:autoSpaceDN w:val="0"/>
        <w:adjustRightInd w:val="0"/>
        <w:spacing w:line="360" w:lineRule="auto"/>
        <w:rPr>
          <w:rFonts w:asciiTheme="majorEastAsia" w:hAnsiTheme="majorEastAsia" w:eastAsiaTheme="majorEastAsia" w:cstheme="majorEastAsia"/>
          <w:sz w:val="24"/>
        </w:rPr>
      </w:pPr>
    </w:p>
    <w:p w14:paraId="781250EF">
      <w:pPr>
        <w:adjustRightInd w:val="0"/>
        <w:snapToGrid w:val="0"/>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说明：</w:t>
      </w:r>
    </w:p>
    <w:p w14:paraId="39920C2C">
      <w:pPr>
        <w:numPr>
          <w:ilvl w:val="0"/>
          <w:numId w:val="5"/>
        </w:numPr>
        <w:spacing w:line="360" w:lineRule="auto"/>
        <w:ind w:firstLine="720" w:firstLineChars="3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投标文件根据招标文件商务要求填写。</w:t>
      </w:r>
    </w:p>
    <w:p w14:paraId="7384C354">
      <w:pPr>
        <w:spacing w:line="360" w:lineRule="auto"/>
        <w:ind w:firstLine="720" w:firstLineChars="3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2、偏离情况填写：正偏离、无偏离、负偏离。响应说明填写：对偏离情况做出详细说明。</w:t>
      </w:r>
    </w:p>
    <w:p w14:paraId="57C5B193">
      <w:pPr>
        <w:spacing w:line="360" w:lineRule="auto"/>
        <w:ind w:firstLine="720" w:firstLineChars="300"/>
        <w:rPr>
          <w:rFonts w:asciiTheme="majorEastAsia" w:hAnsiTheme="majorEastAsia" w:eastAsiaTheme="majorEastAsia" w:cstheme="majorEastAsia"/>
          <w:sz w:val="24"/>
        </w:rPr>
      </w:pPr>
    </w:p>
    <w:p w14:paraId="56433F62">
      <w:pPr>
        <w:spacing w:line="480" w:lineRule="auto"/>
        <w:ind w:right="-161" w:firstLine="3120" w:firstLineChars="1300"/>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法人代表或被授权代表签字：</w:t>
      </w:r>
    </w:p>
    <w:p w14:paraId="58731147">
      <w:pPr>
        <w:spacing w:line="480" w:lineRule="auto"/>
        <w:ind w:right="-161" w:firstLine="3120" w:firstLineChars="1300"/>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投   标   单  位  公  章：</w:t>
      </w:r>
    </w:p>
    <w:p w14:paraId="271F2476">
      <w:pPr>
        <w:jc w:val="center"/>
        <w:rPr>
          <w:rFonts w:asciiTheme="majorEastAsia" w:hAnsiTheme="majorEastAsia" w:eastAsiaTheme="majorEastAsia" w:cstheme="majorEastAsia"/>
          <w:b/>
          <w:sz w:val="36"/>
        </w:rPr>
      </w:pP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日                    期：</w:t>
      </w:r>
    </w:p>
    <w:p w14:paraId="47E4B747">
      <w:pPr>
        <w:spacing w:afterLines="200"/>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3-2、技术参数偏离表</w:t>
      </w:r>
    </w:p>
    <w:tbl>
      <w:tblPr>
        <w:tblStyle w:val="25"/>
        <w:tblW w:w="9247" w:type="dxa"/>
        <w:tblInd w:w="-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474"/>
        <w:gridCol w:w="1865"/>
        <w:gridCol w:w="2542"/>
        <w:gridCol w:w="1255"/>
        <w:gridCol w:w="1270"/>
      </w:tblGrid>
      <w:tr w14:paraId="72D78A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841" w:type="dxa"/>
            <w:noWrap/>
            <w:vAlign w:val="center"/>
          </w:tcPr>
          <w:p w14:paraId="6C3CBCE5">
            <w:pPr>
              <w:adjustRightInd w:val="0"/>
              <w:snapToGrid w:val="0"/>
              <w:ind w:right="23"/>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序号</w:t>
            </w:r>
          </w:p>
        </w:tc>
        <w:tc>
          <w:tcPr>
            <w:tcW w:w="1474" w:type="dxa"/>
            <w:noWrap/>
            <w:vAlign w:val="center"/>
          </w:tcPr>
          <w:p w14:paraId="45901DCF">
            <w:pPr>
              <w:adjustRightInd w:val="0"/>
              <w:snapToGrid w:val="0"/>
              <w:ind w:right="23"/>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名称</w:t>
            </w:r>
          </w:p>
        </w:tc>
        <w:tc>
          <w:tcPr>
            <w:tcW w:w="1865" w:type="dxa"/>
            <w:noWrap/>
            <w:vAlign w:val="center"/>
          </w:tcPr>
          <w:p w14:paraId="7E94DD12">
            <w:pPr>
              <w:adjustRightInd w:val="0"/>
              <w:snapToGrid w:val="0"/>
              <w:ind w:right="23"/>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sz w:val="24"/>
              </w:rPr>
              <w:t>招标文件技术要求</w:t>
            </w:r>
          </w:p>
        </w:tc>
        <w:tc>
          <w:tcPr>
            <w:tcW w:w="2542" w:type="dxa"/>
            <w:noWrap/>
            <w:vAlign w:val="center"/>
          </w:tcPr>
          <w:p w14:paraId="3A676231">
            <w:pPr>
              <w:adjustRightInd w:val="0"/>
              <w:snapToGrid w:val="0"/>
              <w:ind w:right="23"/>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sz w:val="24"/>
              </w:rPr>
              <w:t>投标文件技术响应</w:t>
            </w:r>
          </w:p>
        </w:tc>
        <w:tc>
          <w:tcPr>
            <w:tcW w:w="1255" w:type="dxa"/>
            <w:noWrap/>
            <w:vAlign w:val="center"/>
          </w:tcPr>
          <w:p w14:paraId="7BD02F09">
            <w:pPr>
              <w:adjustRightInd w:val="0"/>
              <w:snapToGrid w:val="0"/>
              <w:ind w:right="23"/>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偏离情况</w:t>
            </w:r>
          </w:p>
        </w:tc>
        <w:tc>
          <w:tcPr>
            <w:tcW w:w="1270" w:type="dxa"/>
            <w:noWrap/>
            <w:vAlign w:val="center"/>
          </w:tcPr>
          <w:p w14:paraId="1C969F9A">
            <w:pPr>
              <w:adjustRightInd w:val="0"/>
              <w:snapToGrid w:val="0"/>
              <w:ind w:right="23"/>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备注</w:t>
            </w:r>
          </w:p>
        </w:tc>
      </w:tr>
      <w:tr w14:paraId="6A130E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tcPr>
          <w:p w14:paraId="26BF3EC7">
            <w:pPr>
              <w:adjustRightInd w:val="0"/>
              <w:snapToGrid w:val="0"/>
              <w:spacing w:line="360" w:lineRule="auto"/>
              <w:ind w:right="24"/>
              <w:rPr>
                <w:rFonts w:asciiTheme="majorEastAsia" w:hAnsiTheme="majorEastAsia" w:eastAsiaTheme="majorEastAsia" w:cstheme="majorEastAsia"/>
                <w:bCs/>
                <w:sz w:val="24"/>
              </w:rPr>
            </w:pPr>
          </w:p>
        </w:tc>
        <w:tc>
          <w:tcPr>
            <w:tcW w:w="1474" w:type="dxa"/>
            <w:noWrap/>
          </w:tcPr>
          <w:p w14:paraId="53043087">
            <w:pPr>
              <w:adjustRightInd w:val="0"/>
              <w:snapToGrid w:val="0"/>
              <w:spacing w:line="360" w:lineRule="auto"/>
              <w:ind w:right="24"/>
              <w:rPr>
                <w:rFonts w:asciiTheme="majorEastAsia" w:hAnsiTheme="majorEastAsia" w:eastAsiaTheme="majorEastAsia" w:cstheme="majorEastAsia"/>
                <w:bCs/>
                <w:sz w:val="24"/>
              </w:rPr>
            </w:pPr>
          </w:p>
        </w:tc>
        <w:tc>
          <w:tcPr>
            <w:tcW w:w="1865" w:type="dxa"/>
            <w:noWrap/>
          </w:tcPr>
          <w:p w14:paraId="59D11DB9">
            <w:pPr>
              <w:adjustRightInd w:val="0"/>
              <w:snapToGrid w:val="0"/>
              <w:spacing w:line="360" w:lineRule="auto"/>
              <w:ind w:right="24"/>
              <w:rPr>
                <w:rFonts w:asciiTheme="majorEastAsia" w:hAnsiTheme="majorEastAsia" w:eastAsiaTheme="majorEastAsia" w:cstheme="majorEastAsia"/>
                <w:bCs/>
                <w:sz w:val="24"/>
              </w:rPr>
            </w:pPr>
          </w:p>
        </w:tc>
        <w:tc>
          <w:tcPr>
            <w:tcW w:w="2542" w:type="dxa"/>
            <w:noWrap/>
          </w:tcPr>
          <w:p w14:paraId="7151F6F6">
            <w:pPr>
              <w:adjustRightInd w:val="0"/>
              <w:snapToGrid w:val="0"/>
              <w:spacing w:line="360" w:lineRule="auto"/>
              <w:ind w:right="24"/>
              <w:rPr>
                <w:rFonts w:asciiTheme="majorEastAsia" w:hAnsiTheme="majorEastAsia" w:eastAsiaTheme="majorEastAsia" w:cstheme="majorEastAsia"/>
                <w:bCs/>
                <w:sz w:val="24"/>
              </w:rPr>
            </w:pPr>
          </w:p>
        </w:tc>
        <w:tc>
          <w:tcPr>
            <w:tcW w:w="1255" w:type="dxa"/>
            <w:noWrap/>
          </w:tcPr>
          <w:p w14:paraId="21332D76">
            <w:pPr>
              <w:adjustRightInd w:val="0"/>
              <w:snapToGrid w:val="0"/>
              <w:spacing w:line="360" w:lineRule="auto"/>
              <w:ind w:right="24"/>
              <w:rPr>
                <w:rFonts w:asciiTheme="majorEastAsia" w:hAnsiTheme="majorEastAsia" w:eastAsiaTheme="majorEastAsia" w:cstheme="majorEastAsia"/>
                <w:bCs/>
                <w:sz w:val="24"/>
              </w:rPr>
            </w:pPr>
          </w:p>
        </w:tc>
        <w:tc>
          <w:tcPr>
            <w:tcW w:w="1270" w:type="dxa"/>
            <w:noWrap/>
          </w:tcPr>
          <w:p w14:paraId="2EB7A818">
            <w:pPr>
              <w:adjustRightInd w:val="0"/>
              <w:snapToGrid w:val="0"/>
              <w:spacing w:line="360" w:lineRule="auto"/>
              <w:ind w:right="24"/>
              <w:rPr>
                <w:rFonts w:asciiTheme="majorEastAsia" w:hAnsiTheme="majorEastAsia" w:eastAsiaTheme="majorEastAsia" w:cstheme="majorEastAsia"/>
                <w:bCs/>
                <w:sz w:val="24"/>
              </w:rPr>
            </w:pPr>
          </w:p>
        </w:tc>
      </w:tr>
      <w:tr w14:paraId="7C9092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tcPr>
          <w:p w14:paraId="3DF4ED12">
            <w:pPr>
              <w:adjustRightInd w:val="0"/>
              <w:snapToGrid w:val="0"/>
              <w:spacing w:line="360" w:lineRule="auto"/>
              <w:ind w:right="24"/>
              <w:rPr>
                <w:rFonts w:asciiTheme="majorEastAsia" w:hAnsiTheme="majorEastAsia" w:eastAsiaTheme="majorEastAsia" w:cstheme="majorEastAsia"/>
                <w:bCs/>
                <w:sz w:val="24"/>
              </w:rPr>
            </w:pPr>
          </w:p>
        </w:tc>
        <w:tc>
          <w:tcPr>
            <w:tcW w:w="1474" w:type="dxa"/>
            <w:noWrap/>
          </w:tcPr>
          <w:p w14:paraId="1AF5A341">
            <w:pPr>
              <w:adjustRightInd w:val="0"/>
              <w:snapToGrid w:val="0"/>
              <w:spacing w:line="360" w:lineRule="auto"/>
              <w:ind w:right="24"/>
              <w:rPr>
                <w:rFonts w:asciiTheme="majorEastAsia" w:hAnsiTheme="majorEastAsia" w:eastAsiaTheme="majorEastAsia" w:cstheme="majorEastAsia"/>
                <w:bCs/>
                <w:sz w:val="24"/>
              </w:rPr>
            </w:pPr>
          </w:p>
        </w:tc>
        <w:tc>
          <w:tcPr>
            <w:tcW w:w="1865" w:type="dxa"/>
            <w:noWrap/>
          </w:tcPr>
          <w:p w14:paraId="5F0FE59D">
            <w:pPr>
              <w:adjustRightInd w:val="0"/>
              <w:snapToGrid w:val="0"/>
              <w:spacing w:line="360" w:lineRule="auto"/>
              <w:ind w:right="24"/>
              <w:rPr>
                <w:rFonts w:asciiTheme="majorEastAsia" w:hAnsiTheme="majorEastAsia" w:eastAsiaTheme="majorEastAsia" w:cstheme="majorEastAsia"/>
                <w:bCs/>
                <w:sz w:val="24"/>
              </w:rPr>
            </w:pPr>
          </w:p>
        </w:tc>
        <w:tc>
          <w:tcPr>
            <w:tcW w:w="2542" w:type="dxa"/>
            <w:noWrap/>
          </w:tcPr>
          <w:p w14:paraId="5B035D5B">
            <w:pPr>
              <w:adjustRightInd w:val="0"/>
              <w:snapToGrid w:val="0"/>
              <w:spacing w:line="360" w:lineRule="auto"/>
              <w:ind w:right="24"/>
              <w:rPr>
                <w:rFonts w:asciiTheme="majorEastAsia" w:hAnsiTheme="majorEastAsia" w:eastAsiaTheme="majorEastAsia" w:cstheme="majorEastAsia"/>
                <w:bCs/>
                <w:sz w:val="24"/>
              </w:rPr>
            </w:pPr>
          </w:p>
        </w:tc>
        <w:tc>
          <w:tcPr>
            <w:tcW w:w="1255" w:type="dxa"/>
            <w:noWrap/>
          </w:tcPr>
          <w:p w14:paraId="13EC636F">
            <w:pPr>
              <w:adjustRightInd w:val="0"/>
              <w:snapToGrid w:val="0"/>
              <w:spacing w:line="360" w:lineRule="auto"/>
              <w:ind w:right="24"/>
              <w:rPr>
                <w:rFonts w:asciiTheme="majorEastAsia" w:hAnsiTheme="majorEastAsia" w:eastAsiaTheme="majorEastAsia" w:cstheme="majorEastAsia"/>
                <w:bCs/>
                <w:sz w:val="24"/>
              </w:rPr>
            </w:pPr>
          </w:p>
        </w:tc>
        <w:tc>
          <w:tcPr>
            <w:tcW w:w="1270" w:type="dxa"/>
            <w:noWrap/>
          </w:tcPr>
          <w:p w14:paraId="2AC2AFC3">
            <w:pPr>
              <w:adjustRightInd w:val="0"/>
              <w:snapToGrid w:val="0"/>
              <w:spacing w:line="360" w:lineRule="auto"/>
              <w:ind w:right="24"/>
              <w:rPr>
                <w:rFonts w:asciiTheme="majorEastAsia" w:hAnsiTheme="majorEastAsia" w:eastAsiaTheme="majorEastAsia" w:cstheme="majorEastAsia"/>
                <w:bCs/>
                <w:sz w:val="24"/>
              </w:rPr>
            </w:pPr>
          </w:p>
        </w:tc>
      </w:tr>
      <w:tr w14:paraId="55AD9A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tcPr>
          <w:p w14:paraId="40C20E63">
            <w:pPr>
              <w:adjustRightInd w:val="0"/>
              <w:snapToGrid w:val="0"/>
              <w:spacing w:line="360" w:lineRule="auto"/>
              <w:ind w:right="24"/>
              <w:rPr>
                <w:rFonts w:asciiTheme="majorEastAsia" w:hAnsiTheme="majorEastAsia" w:eastAsiaTheme="majorEastAsia" w:cstheme="majorEastAsia"/>
                <w:bCs/>
                <w:sz w:val="24"/>
              </w:rPr>
            </w:pPr>
          </w:p>
        </w:tc>
        <w:tc>
          <w:tcPr>
            <w:tcW w:w="1474" w:type="dxa"/>
            <w:noWrap/>
          </w:tcPr>
          <w:p w14:paraId="14B2A8E2">
            <w:pPr>
              <w:adjustRightInd w:val="0"/>
              <w:snapToGrid w:val="0"/>
              <w:spacing w:line="360" w:lineRule="auto"/>
              <w:ind w:right="24"/>
              <w:rPr>
                <w:rFonts w:asciiTheme="majorEastAsia" w:hAnsiTheme="majorEastAsia" w:eastAsiaTheme="majorEastAsia" w:cstheme="majorEastAsia"/>
                <w:bCs/>
                <w:sz w:val="24"/>
              </w:rPr>
            </w:pPr>
          </w:p>
        </w:tc>
        <w:tc>
          <w:tcPr>
            <w:tcW w:w="1865" w:type="dxa"/>
            <w:noWrap/>
          </w:tcPr>
          <w:p w14:paraId="2ABD9034">
            <w:pPr>
              <w:adjustRightInd w:val="0"/>
              <w:snapToGrid w:val="0"/>
              <w:spacing w:line="360" w:lineRule="auto"/>
              <w:ind w:right="24"/>
              <w:rPr>
                <w:rFonts w:asciiTheme="majorEastAsia" w:hAnsiTheme="majorEastAsia" w:eastAsiaTheme="majorEastAsia" w:cstheme="majorEastAsia"/>
                <w:bCs/>
                <w:sz w:val="24"/>
              </w:rPr>
            </w:pPr>
          </w:p>
        </w:tc>
        <w:tc>
          <w:tcPr>
            <w:tcW w:w="2542" w:type="dxa"/>
            <w:noWrap/>
          </w:tcPr>
          <w:p w14:paraId="48241AD8">
            <w:pPr>
              <w:adjustRightInd w:val="0"/>
              <w:snapToGrid w:val="0"/>
              <w:spacing w:line="360" w:lineRule="auto"/>
              <w:ind w:right="24"/>
              <w:rPr>
                <w:rFonts w:asciiTheme="majorEastAsia" w:hAnsiTheme="majorEastAsia" w:eastAsiaTheme="majorEastAsia" w:cstheme="majorEastAsia"/>
                <w:bCs/>
                <w:sz w:val="24"/>
              </w:rPr>
            </w:pPr>
          </w:p>
        </w:tc>
        <w:tc>
          <w:tcPr>
            <w:tcW w:w="1255" w:type="dxa"/>
            <w:noWrap/>
          </w:tcPr>
          <w:p w14:paraId="748EB1D5">
            <w:pPr>
              <w:adjustRightInd w:val="0"/>
              <w:snapToGrid w:val="0"/>
              <w:spacing w:line="360" w:lineRule="auto"/>
              <w:ind w:right="24"/>
              <w:rPr>
                <w:rFonts w:asciiTheme="majorEastAsia" w:hAnsiTheme="majorEastAsia" w:eastAsiaTheme="majorEastAsia" w:cstheme="majorEastAsia"/>
                <w:bCs/>
                <w:sz w:val="24"/>
              </w:rPr>
            </w:pPr>
          </w:p>
        </w:tc>
        <w:tc>
          <w:tcPr>
            <w:tcW w:w="1270" w:type="dxa"/>
            <w:noWrap/>
          </w:tcPr>
          <w:p w14:paraId="214D4408">
            <w:pPr>
              <w:adjustRightInd w:val="0"/>
              <w:snapToGrid w:val="0"/>
              <w:spacing w:line="360" w:lineRule="auto"/>
              <w:ind w:right="24"/>
              <w:rPr>
                <w:rFonts w:asciiTheme="majorEastAsia" w:hAnsiTheme="majorEastAsia" w:eastAsiaTheme="majorEastAsia" w:cstheme="majorEastAsia"/>
                <w:bCs/>
                <w:sz w:val="24"/>
              </w:rPr>
            </w:pPr>
          </w:p>
        </w:tc>
      </w:tr>
      <w:tr w14:paraId="509789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tcPr>
          <w:p w14:paraId="7EB03495">
            <w:pPr>
              <w:adjustRightInd w:val="0"/>
              <w:snapToGrid w:val="0"/>
              <w:spacing w:line="360" w:lineRule="auto"/>
              <w:ind w:right="24"/>
              <w:rPr>
                <w:rFonts w:asciiTheme="majorEastAsia" w:hAnsiTheme="majorEastAsia" w:eastAsiaTheme="majorEastAsia" w:cstheme="majorEastAsia"/>
                <w:bCs/>
                <w:sz w:val="24"/>
              </w:rPr>
            </w:pPr>
          </w:p>
        </w:tc>
        <w:tc>
          <w:tcPr>
            <w:tcW w:w="1474" w:type="dxa"/>
            <w:noWrap/>
          </w:tcPr>
          <w:p w14:paraId="42F2B38F">
            <w:pPr>
              <w:adjustRightInd w:val="0"/>
              <w:snapToGrid w:val="0"/>
              <w:spacing w:line="360" w:lineRule="auto"/>
              <w:ind w:right="24"/>
              <w:rPr>
                <w:rFonts w:asciiTheme="majorEastAsia" w:hAnsiTheme="majorEastAsia" w:eastAsiaTheme="majorEastAsia" w:cstheme="majorEastAsia"/>
                <w:bCs/>
                <w:sz w:val="24"/>
              </w:rPr>
            </w:pPr>
          </w:p>
        </w:tc>
        <w:tc>
          <w:tcPr>
            <w:tcW w:w="1865" w:type="dxa"/>
            <w:noWrap/>
          </w:tcPr>
          <w:p w14:paraId="767B5D68">
            <w:pPr>
              <w:adjustRightInd w:val="0"/>
              <w:snapToGrid w:val="0"/>
              <w:spacing w:line="360" w:lineRule="auto"/>
              <w:ind w:right="24"/>
              <w:rPr>
                <w:rFonts w:asciiTheme="majorEastAsia" w:hAnsiTheme="majorEastAsia" w:eastAsiaTheme="majorEastAsia" w:cstheme="majorEastAsia"/>
                <w:bCs/>
                <w:sz w:val="24"/>
              </w:rPr>
            </w:pPr>
          </w:p>
        </w:tc>
        <w:tc>
          <w:tcPr>
            <w:tcW w:w="2542" w:type="dxa"/>
            <w:noWrap/>
          </w:tcPr>
          <w:p w14:paraId="07641D55">
            <w:pPr>
              <w:adjustRightInd w:val="0"/>
              <w:snapToGrid w:val="0"/>
              <w:spacing w:line="360" w:lineRule="auto"/>
              <w:ind w:right="24"/>
              <w:rPr>
                <w:rFonts w:asciiTheme="majorEastAsia" w:hAnsiTheme="majorEastAsia" w:eastAsiaTheme="majorEastAsia" w:cstheme="majorEastAsia"/>
                <w:bCs/>
                <w:sz w:val="24"/>
              </w:rPr>
            </w:pPr>
          </w:p>
        </w:tc>
        <w:tc>
          <w:tcPr>
            <w:tcW w:w="1255" w:type="dxa"/>
            <w:noWrap/>
          </w:tcPr>
          <w:p w14:paraId="6743F662">
            <w:pPr>
              <w:adjustRightInd w:val="0"/>
              <w:snapToGrid w:val="0"/>
              <w:spacing w:line="360" w:lineRule="auto"/>
              <w:ind w:right="24"/>
              <w:rPr>
                <w:rFonts w:asciiTheme="majorEastAsia" w:hAnsiTheme="majorEastAsia" w:eastAsiaTheme="majorEastAsia" w:cstheme="majorEastAsia"/>
                <w:bCs/>
                <w:sz w:val="24"/>
              </w:rPr>
            </w:pPr>
          </w:p>
        </w:tc>
        <w:tc>
          <w:tcPr>
            <w:tcW w:w="1270" w:type="dxa"/>
            <w:noWrap/>
          </w:tcPr>
          <w:p w14:paraId="1A164AE3">
            <w:pPr>
              <w:adjustRightInd w:val="0"/>
              <w:snapToGrid w:val="0"/>
              <w:spacing w:line="360" w:lineRule="auto"/>
              <w:ind w:right="24"/>
              <w:rPr>
                <w:rFonts w:asciiTheme="majorEastAsia" w:hAnsiTheme="majorEastAsia" w:eastAsiaTheme="majorEastAsia" w:cstheme="majorEastAsia"/>
                <w:bCs/>
                <w:sz w:val="24"/>
              </w:rPr>
            </w:pPr>
          </w:p>
        </w:tc>
      </w:tr>
      <w:tr w14:paraId="78FAB3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tcPr>
          <w:p w14:paraId="647689C7">
            <w:pPr>
              <w:adjustRightInd w:val="0"/>
              <w:snapToGrid w:val="0"/>
              <w:spacing w:line="360" w:lineRule="auto"/>
              <w:ind w:right="24"/>
              <w:rPr>
                <w:rFonts w:asciiTheme="majorEastAsia" w:hAnsiTheme="majorEastAsia" w:eastAsiaTheme="majorEastAsia" w:cstheme="majorEastAsia"/>
                <w:bCs/>
                <w:sz w:val="24"/>
              </w:rPr>
            </w:pPr>
          </w:p>
        </w:tc>
        <w:tc>
          <w:tcPr>
            <w:tcW w:w="1474" w:type="dxa"/>
            <w:noWrap/>
          </w:tcPr>
          <w:p w14:paraId="3AC76623">
            <w:pPr>
              <w:adjustRightInd w:val="0"/>
              <w:snapToGrid w:val="0"/>
              <w:spacing w:line="360" w:lineRule="auto"/>
              <w:ind w:right="24"/>
              <w:rPr>
                <w:rFonts w:asciiTheme="majorEastAsia" w:hAnsiTheme="majorEastAsia" w:eastAsiaTheme="majorEastAsia" w:cstheme="majorEastAsia"/>
                <w:bCs/>
                <w:sz w:val="24"/>
              </w:rPr>
            </w:pPr>
          </w:p>
        </w:tc>
        <w:tc>
          <w:tcPr>
            <w:tcW w:w="1865" w:type="dxa"/>
            <w:noWrap/>
          </w:tcPr>
          <w:p w14:paraId="09CB1710">
            <w:pPr>
              <w:adjustRightInd w:val="0"/>
              <w:snapToGrid w:val="0"/>
              <w:spacing w:line="360" w:lineRule="auto"/>
              <w:ind w:right="24"/>
              <w:rPr>
                <w:rFonts w:asciiTheme="majorEastAsia" w:hAnsiTheme="majorEastAsia" w:eastAsiaTheme="majorEastAsia" w:cstheme="majorEastAsia"/>
                <w:bCs/>
                <w:sz w:val="24"/>
              </w:rPr>
            </w:pPr>
          </w:p>
        </w:tc>
        <w:tc>
          <w:tcPr>
            <w:tcW w:w="2542" w:type="dxa"/>
            <w:noWrap/>
          </w:tcPr>
          <w:p w14:paraId="63115ADE">
            <w:pPr>
              <w:adjustRightInd w:val="0"/>
              <w:snapToGrid w:val="0"/>
              <w:spacing w:line="360" w:lineRule="auto"/>
              <w:ind w:right="24"/>
              <w:rPr>
                <w:rFonts w:asciiTheme="majorEastAsia" w:hAnsiTheme="majorEastAsia" w:eastAsiaTheme="majorEastAsia" w:cstheme="majorEastAsia"/>
                <w:bCs/>
                <w:sz w:val="24"/>
              </w:rPr>
            </w:pPr>
          </w:p>
        </w:tc>
        <w:tc>
          <w:tcPr>
            <w:tcW w:w="1255" w:type="dxa"/>
            <w:noWrap/>
          </w:tcPr>
          <w:p w14:paraId="783521FF">
            <w:pPr>
              <w:adjustRightInd w:val="0"/>
              <w:snapToGrid w:val="0"/>
              <w:spacing w:line="360" w:lineRule="auto"/>
              <w:ind w:right="24"/>
              <w:rPr>
                <w:rFonts w:asciiTheme="majorEastAsia" w:hAnsiTheme="majorEastAsia" w:eastAsiaTheme="majorEastAsia" w:cstheme="majorEastAsia"/>
                <w:bCs/>
                <w:sz w:val="24"/>
              </w:rPr>
            </w:pPr>
          </w:p>
        </w:tc>
        <w:tc>
          <w:tcPr>
            <w:tcW w:w="1270" w:type="dxa"/>
            <w:noWrap/>
          </w:tcPr>
          <w:p w14:paraId="5E475D85">
            <w:pPr>
              <w:adjustRightInd w:val="0"/>
              <w:snapToGrid w:val="0"/>
              <w:spacing w:line="360" w:lineRule="auto"/>
              <w:ind w:right="24"/>
              <w:rPr>
                <w:rFonts w:asciiTheme="majorEastAsia" w:hAnsiTheme="majorEastAsia" w:eastAsiaTheme="majorEastAsia" w:cstheme="majorEastAsia"/>
                <w:bCs/>
                <w:sz w:val="24"/>
              </w:rPr>
            </w:pPr>
          </w:p>
        </w:tc>
      </w:tr>
      <w:tr w14:paraId="4E90BA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tcPr>
          <w:p w14:paraId="32D92D86">
            <w:pPr>
              <w:adjustRightInd w:val="0"/>
              <w:snapToGrid w:val="0"/>
              <w:spacing w:line="360" w:lineRule="auto"/>
              <w:ind w:right="24"/>
              <w:rPr>
                <w:rFonts w:asciiTheme="majorEastAsia" w:hAnsiTheme="majorEastAsia" w:eastAsiaTheme="majorEastAsia" w:cstheme="majorEastAsia"/>
                <w:bCs/>
                <w:sz w:val="24"/>
              </w:rPr>
            </w:pPr>
          </w:p>
        </w:tc>
        <w:tc>
          <w:tcPr>
            <w:tcW w:w="1474" w:type="dxa"/>
            <w:noWrap/>
          </w:tcPr>
          <w:p w14:paraId="52BDBF63">
            <w:pPr>
              <w:adjustRightInd w:val="0"/>
              <w:snapToGrid w:val="0"/>
              <w:spacing w:line="360" w:lineRule="auto"/>
              <w:ind w:right="24"/>
              <w:rPr>
                <w:rFonts w:asciiTheme="majorEastAsia" w:hAnsiTheme="majorEastAsia" w:eastAsiaTheme="majorEastAsia" w:cstheme="majorEastAsia"/>
                <w:bCs/>
                <w:sz w:val="24"/>
              </w:rPr>
            </w:pPr>
          </w:p>
        </w:tc>
        <w:tc>
          <w:tcPr>
            <w:tcW w:w="1865" w:type="dxa"/>
            <w:noWrap/>
          </w:tcPr>
          <w:p w14:paraId="006E48F2">
            <w:pPr>
              <w:adjustRightInd w:val="0"/>
              <w:snapToGrid w:val="0"/>
              <w:spacing w:line="360" w:lineRule="auto"/>
              <w:ind w:right="24"/>
              <w:rPr>
                <w:rFonts w:asciiTheme="majorEastAsia" w:hAnsiTheme="majorEastAsia" w:eastAsiaTheme="majorEastAsia" w:cstheme="majorEastAsia"/>
                <w:bCs/>
                <w:sz w:val="24"/>
              </w:rPr>
            </w:pPr>
          </w:p>
        </w:tc>
        <w:tc>
          <w:tcPr>
            <w:tcW w:w="2542" w:type="dxa"/>
            <w:noWrap/>
          </w:tcPr>
          <w:p w14:paraId="46FD9574">
            <w:pPr>
              <w:adjustRightInd w:val="0"/>
              <w:snapToGrid w:val="0"/>
              <w:spacing w:line="360" w:lineRule="auto"/>
              <w:ind w:right="24"/>
              <w:rPr>
                <w:rFonts w:asciiTheme="majorEastAsia" w:hAnsiTheme="majorEastAsia" w:eastAsiaTheme="majorEastAsia" w:cstheme="majorEastAsia"/>
                <w:bCs/>
                <w:sz w:val="24"/>
              </w:rPr>
            </w:pPr>
          </w:p>
        </w:tc>
        <w:tc>
          <w:tcPr>
            <w:tcW w:w="1255" w:type="dxa"/>
            <w:noWrap/>
          </w:tcPr>
          <w:p w14:paraId="75245625">
            <w:pPr>
              <w:adjustRightInd w:val="0"/>
              <w:snapToGrid w:val="0"/>
              <w:spacing w:line="360" w:lineRule="auto"/>
              <w:ind w:right="24"/>
              <w:rPr>
                <w:rFonts w:asciiTheme="majorEastAsia" w:hAnsiTheme="majorEastAsia" w:eastAsiaTheme="majorEastAsia" w:cstheme="majorEastAsia"/>
                <w:bCs/>
                <w:sz w:val="24"/>
              </w:rPr>
            </w:pPr>
          </w:p>
        </w:tc>
        <w:tc>
          <w:tcPr>
            <w:tcW w:w="1270" w:type="dxa"/>
            <w:noWrap/>
          </w:tcPr>
          <w:p w14:paraId="581CBCBC">
            <w:pPr>
              <w:adjustRightInd w:val="0"/>
              <w:snapToGrid w:val="0"/>
              <w:spacing w:line="360" w:lineRule="auto"/>
              <w:ind w:right="24"/>
              <w:rPr>
                <w:rFonts w:asciiTheme="majorEastAsia" w:hAnsiTheme="majorEastAsia" w:eastAsiaTheme="majorEastAsia" w:cstheme="majorEastAsia"/>
                <w:bCs/>
                <w:sz w:val="24"/>
              </w:rPr>
            </w:pPr>
          </w:p>
        </w:tc>
      </w:tr>
      <w:tr w14:paraId="69DF9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tcPr>
          <w:p w14:paraId="07F0E3C9">
            <w:pPr>
              <w:adjustRightInd w:val="0"/>
              <w:snapToGrid w:val="0"/>
              <w:spacing w:line="360" w:lineRule="auto"/>
              <w:ind w:right="24"/>
              <w:rPr>
                <w:rFonts w:asciiTheme="majorEastAsia" w:hAnsiTheme="majorEastAsia" w:eastAsiaTheme="majorEastAsia" w:cstheme="majorEastAsia"/>
                <w:bCs/>
                <w:sz w:val="24"/>
              </w:rPr>
            </w:pPr>
          </w:p>
        </w:tc>
        <w:tc>
          <w:tcPr>
            <w:tcW w:w="1474" w:type="dxa"/>
            <w:noWrap/>
          </w:tcPr>
          <w:p w14:paraId="37EA4BCA">
            <w:pPr>
              <w:adjustRightInd w:val="0"/>
              <w:snapToGrid w:val="0"/>
              <w:spacing w:line="360" w:lineRule="auto"/>
              <w:ind w:right="24"/>
              <w:rPr>
                <w:rFonts w:asciiTheme="majorEastAsia" w:hAnsiTheme="majorEastAsia" w:eastAsiaTheme="majorEastAsia" w:cstheme="majorEastAsia"/>
                <w:bCs/>
                <w:sz w:val="24"/>
              </w:rPr>
            </w:pPr>
          </w:p>
        </w:tc>
        <w:tc>
          <w:tcPr>
            <w:tcW w:w="1865" w:type="dxa"/>
            <w:noWrap/>
          </w:tcPr>
          <w:p w14:paraId="29D61BF0">
            <w:pPr>
              <w:adjustRightInd w:val="0"/>
              <w:snapToGrid w:val="0"/>
              <w:spacing w:line="360" w:lineRule="auto"/>
              <w:ind w:right="24"/>
              <w:rPr>
                <w:rFonts w:asciiTheme="majorEastAsia" w:hAnsiTheme="majorEastAsia" w:eastAsiaTheme="majorEastAsia" w:cstheme="majorEastAsia"/>
                <w:bCs/>
                <w:sz w:val="24"/>
              </w:rPr>
            </w:pPr>
          </w:p>
        </w:tc>
        <w:tc>
          <w:tcPr>
            <w:tcW w:w="2542" w:type="dxa"/>
            <w:noWrap/>
          </w:tcPr>
          <w:p w14:paraId="03376D0A">
            <w:pPr>
              <w:adjustRightInd w:val="0"/>
              <w:snapToGrid w:val="0"/>
              <w:spacing w:line="360" w:lineRule="auto"/>
              <w:ind w:right="24"/>
              <w:rPr>
                <w:rFonts w:asciiTheme="majorEastAsia" w:hAnsiTheme="majorEastAsia" w:eastAsiaTheme="majorEastAsia" w:cstheme="majorEastAsia"/>
                <w:bCs/>
                <w:sz w:val="24"/>
              </w:rPr>
            </w:pPr>
          </w:p>
        </w:tc>
        <w:tc>
          <w:tcPr>
            <w:tcW w:w="1255" w:type="dxa"/>
            <w:noWrap/>
          </w:tcPr>
          <w:p w14:paraId="0BB6B1B2">
            <w:pPr>
              <w:adjustRightInd w:val="0"/>
              <w:snapToGrid w:val="0"/>
              <w:spacing w:line="360" w:lineRule="auto"/>
              <w:ind w:right="24"/>
              <w:rPr>
                <w:rFonts w:asciiTheme="majorEastAsia" w:hAnsiTheme="majorEastAsia" w:eastAsiaTheme="majorEastAsia" w:cstheme="majorEastAsia"/>
                <w:bCs/>
                <w:sz w:val="24"/>
              </w:rPr>
            </w:pPr>
          </w:p>
        </w:tc>
        <w:tc>
          <w:tcPr>
            <w:tcW w:w="1270" w:type="dxa"/>
            <w:noWrap/>
          </w:tcPr>
          <w:p w14:paraId="48B252F5">
            <w:pPr>
              <w:adjustRightInd w:val="0"/>
              <w:snapToGrid w:val="0"/>
              <w:spacing w:line="360" w:lineRule="auto"/>
              <w:ind w:right="24"/>
              <w:rPr>
                <w:rFonts w:asciiTheme="majorEastAsia" w:hAnsiTheme="majorEastAsia" w:eastAsiaTheme="majorEastAsia" w:cstheme="majorEastAsia"/>
                <w:bCs/>
                <w:sz w:val="24"/>
              </w:rPr>
            </w:pPr>
          </w:p>
        </w:tc>
      </w:tr>
      <w:tr w14:paraId="2CCCD1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tcPr>
          <w:p w14:paraId="502B2B48">
            <w:pPr>
              <w:adjustRightInd w:val="0"/>
              <w:snapToGrid w:val="0"/>
              <w:spacing w:line="360" w:lineRule="auto"/>
              <w:ind w:right="24"/>
              <w:rPr>
                <w:rFonts w:asciiTheme="majorEastAsia" w:hAnsiTheme="majorEastAsia" w:eastAsiaTheme="majorEastAsia" w:cstheme="majorEastAsia"/>
                <w:bCs/>
                <w:sz w:val="24"/>
              </w:rPr>
            </w:pPr>
          </w:p>
        </w:tc>
        <w:tc>
          <w:tcPr>
            <w:tcW w:w="1474" w:type="dxa"/>
            <w:noWrap/>
          </w:tcPr>
          <w:p w14:paraId="45915B4D">
            <w:pPr>
              <w:adjustRightInd w:val="0"/>
              <w:snapToGrid w:val="0"/>
              <w:spacing w:line="360" w:lineRule="auto"/>
              <w:ind w:right="24"/>
              <w:rPr>
                <w:rFonts w:asciiTheme="majorEastAsia" w:hAnsiTheme="majorEastAsia" w:eastAsiaTheme="majorEastAsia" w:cstheme="majorEastAsia"/>
                <w:bCs/>
                <w:sz w:val="24"/>
              </w:rPr>
            </w:pPr>
          </w:p>
        </w:tc>
        <w:tc>
          <w:tcPr>
            <w:tcW w:w="1865" w:type="dxa"/>
            <w:noWrap/>
          </w:tcPr>
          <w:p w14:paraId="224C0EFE">
            <w:pPr>
              <w:adjustRightInd w:val="0"/>
              <w:snapToGrid w:val="0"/>
              <w:spacing w:line="360" w:lineRule="auto"/>
              <w:ind w:right="24"/>
              <w:rPr>
                <w:rFonts w:asciiTheme="majorEastAsia" w:hAnsiTheme="majorEastAsia" w:eastAsiaTheme="majorEastAsia" w:cstheme="majorEastAsia"/>
                <w:bCs/>
                <w:sz w:val="24"/>
              </w:rPr>
            </w:pPr>
          </w:p>
        </w:tc>
        <w:tc>
          <w:tcPr>
            <w:tcW w:w="2542" w:type="dxa"/>
            <w:noWrap/>
          </w:tcPr>
          <w:p w14:paraId="02EF46B9">
            <w:pPr>
              <w:adjustRightInd w:val="0"/>
              <w:snapToGrid w:val="0"/>
              <w:spacing w:line="360" w:lineRule="auto"/>
              <w:ind w:right="24"/>
              <w:rPr>
                <w:rFonts w:asciiTheme="majorEastAsia" w:hAnsiTheme="majorEastAsia" w:eastAsiaTheme="majorEastAsia" w:cstheme="majorEastAsia"/>
                <w:bCs/>
                <w:sz w:val="24"/>
              </w:rPr>
            </w:pPr>
          </w:p>
        </w:tc>
        <w:tc>
          <w:tcPr>
            <w:tcW w:w="1255" w:type="dxa"/>
            <w:noWrap/>
          </w:tcPr>
          <w:p w14:paraId="123E4518">
            <w:pPr>
              <w:adjustRightInd w:val="0"/>
              <w:snapToGrid w:val="0"/>
              <w:spacing w:line="360" w:lineRule="auto"/>
              <w:ind w:right="24"/>
              <w:rPr>
                <w:rFonts w:asciiTheme="majorEastAsia" w:hAnsiTheme="majorEastAsia" w:eastAsiaTheme="majorEastAsia" w:cstheme="majorEastAsia"/>
                <w:bCs/>
                <w:sz w:val="24"/>
              </w:rPr>
            </w:pPr>
          </w:p>
        </w:tc>
        <w:tc>
          <w:tcPr>
            <w:tcW w:w="1270" w:type="dxa"/>
            <w:noWrap/>
          </w:tcPr>
          <w:p w14:paraId="4B51A5C1">
            <w:pPr>
              <w:adjustRightInd w:val="0"/>
              <w:snapToGrid w:val="0"/>
              <w:spacing w:line="360" w:lineRule="auto"/>
              <w:ind w:right="24"/>
              <w:rPr>
                <w:rFonts w:asciiTheme="majorEastAsia" w:hAnsiTheme="majorEastAsia" w:eastAsiaTheme="majorEastAsia" w:cstheme="majorEastAsia"/>
                <w:bCs/>
                <w:sz w:val="24"/>
              </w:rPr>
            </w:pPr>
          </w:p>
        </w:tc>
      </w:tr>
      <w:tr w14:paraId="4F2E64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tcPr>
          <w:p w14:paraId="68971833">
            <w:pPr>
              <w:adjustRightInd w:val="0"/>
              <w:snapToGrid w:val="0"/>
              <w:spacing w:line="360" w:lineRule="auto"/>
              <w:ind w:right="24"/>
              <w:rPr>
                <w:rFonts w:asciiTheme="majorEastAsia" w:hAnsiTheme="majorEastAsia" w:eastAsiaTheme="majorEastAsia" w:cstheme="majorEastAsia"/>
                <w:bCs/>
                <w:sz w:val="24"/>
              </w:rPr>
            </w:pPr>
          </w:p>
        </w:tc>
        <w:tc>
          <w:tcPr>
            <w:tcW w:w="1474" w:type="dxa"/>
            <w:noWrap/>
          </w:tcPr>
          <w:p w14:paraId="43FE256A">
            <w:pPr>
              <w:adjustRightInd w:val="0"/>
              <w:snapToGrid w:val="0"/>
              <w:spacing w:line="360" w:lineRule="auto"/>
              <w:ind w:right="24"/>
              <w:rPr>
                <w:rFonts w:asciiTheme="majorEastAsia" w:hAnsiTheme="majorEastAsia" w:eastAsiaTheme="majorEastAsia" w:cstheme="majorEastAsia"/>
                <w:bCs/>
                <w:sz w:val="24"/>
              </w:rPr>
            </w:pPr>
          </w:p>
        </w:tc>
        <w:tc>
          <w:tcPr>
            <w:tcW w:w="1865" w:type="dxa"/>
            <w:noWrap/>
          </w:tcPr>
          <w:p w14:paraId="6EC09CD7">
            <w:pPr>
              <w:adjustRightInd w:val="0"/>
              <w:snapToGrid w:val="0"/>
              <w:spacing w:line="360" w:lineRule="auto"/>
              <w:ind w:right="24"/>
              <w:rPr>
                <w:rFonts w:asciiTheme="majorEastAsia" w:hAnsiTheme="majorEastAsia" w:eastAsiaTheme="majorEastAsia" w:cstheme="majorEastAsia"/>
                <w:bCs/>
                <w:sz w:val="24"/>
              </w:rPr>
            </w:pPr>
          </w:p>
        </w:tc>
        <w:tc>
          <w:tcPr>
            <w:tcW w:w="2542" w:type="dxa"/>
            <w:noWrap/>
          </w:tcPr>
          <w:p w14:paraId="4694A788">
            <w:pPr>
              <w:adjustRightInd w:val="0"/>
              <w:snapToGrid w:val="0"/>
              <w:spacing w:line="360" w:lineRule="auto"/>
              <w:ind w:right="24"/>
              <w:rPr>
                <w:rFonts w:asciiTheme="majorEastAsia" w:hAnsiTheme="majorEastAsia" w:eastAsiaTheme="majorEastAsia" w:cstheme="majorEastAsia"/>
                <w:bCs/>
                <w:sz w:val="24"/>
              </w:rPr>
            </w:pPr>
          </w:p>
        </w:tc>
        <w:tc>
          <w:tcPr>
            <w:tcW w:w="1255" w:type="dxa"/>
            <w:noWrap/>
          </w:tcPr>
          <w:p w14:paraId="52AE91B9">
            <w:pPr>
              <w:adjustRightInd w:val="0"/>
              <w:snapToGrid w:val="0"/>
              <w:spacing w:line="360" w:lineRule="auto"/>
              <w:ind w:right="24"/>
              <w:rPr>
                <w:rFonts w:asciiTheme="majorEastAsia" w:hAnsiTheme="majorEastAsia" w:eastAsiaTheme="majorEastAsia" w:cstheme="majorEastAsia"/>
                <w:bCs/>
                <w:sz w:val="24"/>
              </w:rPr>
            </w:pPr>
          </w:p>
        </w:tc>
        <w:tc>
          <w:tcPr>
            <w:tcW w:w="1270" w:type="dxa"/>
            <w:noWrap/>
          </w:tcPr>
          <w:p w14:paraId="0314B7D8">
            <w:pPr>
              <w:adjustRightInd w:val="0"/>
              <w:snapToGrid w:val="0"/>
              <w:spacing w:line="360" w:lineRule="auto"/>
              <w:ind w:right="24"/>
              <w:rPr>
                <w:rFonts w:asciiTheme="majorEastAsia" w:hAnsiTheme="majorEastAsia" w:eastAsiaTheme="majorEastAsia" w:cstheme="majorEastAsia"/>
                <w:bCs/>
                <w:sz w:val="24"/>
              </w:rPr>
            </w:pPr>
          </w:p>
        </w:tc>
      </w:tr>
      <w:tr w14:paraId="5AFCE4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tcPr>
          <w:p w14:paraId="49F8A159">
            <w:pPr>
              <w:adjustRightInd w:val="0"/>
              <w:snapToGrid w:val="0"/>
              <w:spacing w:line="360" w:lineRule="auto"/>
              <w:ind w:right="24"/>
              <w:rPr>
                <w:rFonts w:asciiTheme="majorEastAsia" w:hAnsiTheme="majorEastAsia" w:eastAsiaTheme="majorEastAsia" w:cstheme="majorEastAsia"/>
                <w:bCs/>
                <w:sz w:val="24"/>
              </w:rPr>
            </w:pPr>
          </w:p>
        </w:tc>
        <w:tc>
          <w:tcPr>
            <w:tcW w:w="1474" w:type="dxa"/>
            <w:noWrap/>
          </w:tcPr>
          <w:p w14:paraId="26828F77">
            <w:pPr>
              <w:adjustRightInd w:val="0"/>
              <w:snapToGrid w:val="0"/>
              <w:spacing w:line="360" w:lineRule="auto"/>
              <w:ind w:right="24"/>
              <w:rPr>
                <w:rFonts w:asciiTheme="majorEastAsia" w:hAnsiTheme="majorEastAsia" w:eastAsiaTheme="majorEastAsia" w:cstheme="majorEastAsia"/>
                <w:bCs/>
                <w:sz w:val="24"/>
              </w:rPr>
            </w:pPr>
          </w:p>
        </w:tc>
        <w:tc>
          <w:tcPr>
            <w:tcW w:w="1865" w:type="dxa"/>
            <w:noWrap/>
          </w:tcPr>
          <w:p w14:paraId="663E3A8B">
            <w:pPr>
              <w:adjustRightInd w:val="0"/>
              <w:snapToGrid w:val="0"/>
              <w:spacing w:line="360" w:lineRule="auto"/>
              <w:ind w:right="24"/>
              <w:rPr>
                <w:rFonts w:asciiTheme="majorEastAsia" w:hAnsiTheme="majorEastAsia" w:eastAsiaTheme="majorEastAsia" w:cstheme="majorEastAsia"/>
                <w:bCs/>
                <w:sz w:val="24"/>
              </w:rPr>
            </w:pPr>
          </w:p>
        </w:tc>
        <w:tc>
          <w:tcPr>
            <w:tcW w:w="2542" w:type="dxa"/>
            <w:noWrap/>
          </w:tcPr>
          <w:p w14:paraId="55A746D2">
            <w:pPr>
              <w:adjustRightInd w:val="0"/>
              <w:snapToGrid w:val="0"/>
              <w:spacing w:line="360" w:lineRule="auto"/>
              <w:ind w:right="24"/>
              <w:rPr>
                <w:rFonts w:asciiTheme="majorEastAsia" w:hAnsiTheme="majorEastAsia" w:eastAsiaTheme="majorEastAsia" w:cstheme="majorEastAsia"/>
                <w:bCs/>
                <w:sz w:val="24"/>
              </w:rPr>
            </w:pPr>
          </w:p>
        </w:tc>
        <w:tc>
          <w:tcPr>
            <w:tcW w:w="1255" w:type="dxa"/>
            <w:noWrap/>
          </w:tcPr>
          <w:p w14:paraId="7BD3C089">
            <w:pPr>
              <w:adjustRightInd w:val="0"/>
              <w:snapToGrid w:val="0"/>
              <w:spacing w:line="360" w:lineRule="auto"/>
              <w:ind w:right="24"/>
              <w:rPr>
                <w:rFonts w:asciiTheme="majorEastAsia" w:hAnsiTheme="majorEastAsia" w:eastAsiaTheme="majorEastAsia" w:cstheme="majorEastAsia"/>
                <w:bCs/>
                <w:sz w:val="24"/>
              </w:rPr>
            </w:pPr>
          </w:p>
        </w:tc>
        <w:tc>
          <w:tcPr>
            <w:tcW w:w="1270" w:type="dxa"/>
            <w:noWrap/>
          </w:tcPr>
          <w:p w14:paraId="78F53B85">
            <w:pPr>
              <w:adjustRightInd w:val="0"/>
              <w:snapToGrid w:val="0"/>
              <w:spacing w:line="360" w:lineRule="auto"/>
              <w:ind w:right="24"/>
              <w:rPr>
                <w:rFonts w:asciiTheme="majorEastAsia" w:hAnsiTheme="majorEastAsia" w:eastAsiaTheme="majorEastAsia" w:cstheme="majorEastAsia"/>
                <w:bCs/>
                <w:sz w:val="24"/>
              </w:rPr>
            </w:pPr>
          </w:p>
        </w:tc>
      </w:tr>
      <w:tr w14:paraId="30F48C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tcPr>
          <w:p w14:paraId="7DEE48DE">
            <w:pPr>
              <w:adjustRightInd w:val="0"/>
              <w:snapToGrid w:val="0"/>
              <w:spacing w:line="360" w:lineRule="auto"/>
              <w:ind w:right="24"/>
              <w:rPr>
                <w:rFonts w:asciiTheme="majorEastAsia" w:hAnsiTheme="majorEastAsia" w:eastAsiaTheme="majorEastAsia" w:cstheme="majorEastAsia"/>
                <w:bCs/>
                <w:sz w:val="24"/>
              </w:rPr>
            </w:pPr>
          </w:p>
        </w:tc>
        <w:tc>
          <w:tcPr>
            <w:tcW w:w="1474" w:type="dxa"/>
            <w:noWrap/>
          </w:tcPr>
          <w:p w14:paraId="3871E7C5">
            <w:pPr>
              <w:adjustRightInd w:val="0"/>
              <w:snapToGrid w:val="0"/>
              <w:spacing w:line="360" w:lineRule="auto"/>
              <w:ind w:right="24"/>
              <w:rPr>
                <w:rFonts w:asciiTheme="majorEastAsia" w:hAnsiTheme="majorEastAsia" w:eastAsiaTheme="majorEastAsia" w:cstheme="majorEastAsia"/>
                <w:bCs/>
                <w:sz w:val="24"/>
              </w:rPr>
            </w:pPr>
          </w:p>
        </w:tc>
        <w:tc>
          <w:tcPr>
            <w:tcW w:w="1865" w:type="dxa"/>
            <w:noWrap/>
          </w:tcPr>
          <w:p w14:paraId="7FAE98BC">
            <w:pPr>
              <w:adjustRightInd w:val="0"/>
              <w:snapToGrid w:val="0"/>
              <w:spacing w:line="360" w:lineRule="auto"/>
              <w:ind w:right="24"/>
              <w:rPr>
                <w:rFonts w:asciiTheme="majorEastAsia" w:hAnsiTheme="majorEastAsia" w:eastAsiaTheme="majorEastAsia" w:cstheme="majorEastAsia"/>
                <w:bCs/>
                <w:sz w:val="24"/>
              </w:rPr>
            </w:pPr>
          </w:p>
        </w:tc>
        <w:tc>
          <w:tcPr>
            <w:tcW w:w="2542" w:type="dxa"/>
            <w:noWrap/>
          </w:tcPr>
          <w:p w14:paraId="39A4DD1E">
            <w:pPr>
              <w:adjustRightInd w:val="0"/>
              <w:snapToGrid w:val="0"/>
              <w:spacing w:line="360" w:lineRule="auto"/>
              <w:ind w:right="24"/>
              <w:rPr>
                <w:rFonts w:asciiTheme="majorEastAsia" w:hAnsiTheme="majorEastAsia" w:eastAsiaTheme="majorEastAsia" w:cstheme="majorEastAsia"/>
                <w:bCs/>
                <w:sz w:val="24"/>
              </w:rPr>
            </w:pPr>
          </w:p>
        </w:tc>
        <w:tc>
          <w:tcPr>
            <w:tcW w:w="1255" w:type="dxa"/>
            <w:noWrap/>
          </w:tcPr>
          <w:p w14:paraId="3309B2D3">
            <w:pPr>
              <w:adjustRightInd w:val="0"/>
              <w:snapToGrid w:val="0"/>
              <w:spacing w:line="360" w:lineRule="auto"/>
              <w:ind w:right="24"/>
              <w:rPr>
                <w:rFonts w:asciiTheme="majorEastAsia" w:hAnsiTheme="majorEastAsia" w:eastAsiaTheme="majorEastAsia" w:cstheme="majorEastAsia"/>
                <w:bCs/>
                <w:sz w:val="24"/>
              </w:rPr>
            </w:pPr>
          </w:p>
        </w:tc>
        <w:tc>
          <w:tcPr>
            <w:tcW w:w="1270" w:type="dxa"/>
            <w:noWrap/>
          </w:tcPr>
          <w:p w14:paraId="77681E41">
            <w:pPr>
              <w:adjustRightInd w:val="0"/>
              <w:snapToGrid w:val="0"/>
              <w:spacing w:line="360" w:lineRule="auto"/>
              <w:ind w:right="24"/>
              <w:rPr>
                <w:rFonts w:asciiTheme="majorEastAsia" w:hAnsiTheme="majorEastAsia" w:eastAsiaTheme="majorEastAsia" w:cstheme="majorEastAsia"/>
                <w:bCs/>
                <w:sz w:val="24"/>
              </w:rPr>
            </w:pPr>
          </w:p>
        </w:tc>
      </w:tr>
      <w:tr w14:paraId="7CECA3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tcPr>
          <w:p w14:paraId="3117CE16">
            <w:pPr>
              <w:adjustRightInd w:val="0"/>
              <w:snapToGrid w:val="0"/>
              <w:spacing w:line="360" w:lineRule="auto"/>
              <w:ind w:right="24"/>
              <w:rPr>
                <w:rFonts w:asciiTheme="majorEastAsia" w:hAnsiTheme="majorEastAsia" w:eastAsiaTheme="majorEastAsia" w:cstheme="majorEastAsia"/>
                <w:bCs/>
                <w:sz w:val="24"/>
              </w:rPr>
            </w:pPr>
          </w:p>
        </w:tc>
        <w:tc>
          <w:tcPr>
            <w:tcW w:w="1474" w:type="dxa"/>
            <w:noWrap/>
          </w:tcPr>
          <w:p w14:paraId="51C96CCE">
            <w:pPr>
              <w:adjustRightInd w:val="0"/>
              <w:snapToGrid w:val="0"/>
              <w:spacing w:line="360" w:lineRule="auto"/>
              <w:ind w:right="24"/>
              <w:rPr>
                <w:rFonts w:asciiTheme="majorEastAsia" w:hAnsiTheme="majorEastAsia" w:eastAsiaTheme="majorEastAsia" w:cstheme="majorEastAsia"/>
                <w:bCs/>
                <w:sz w:val="24"/>
              </w:rPr>
            </w:pPr>
          </w:p>
        </w:tc>
        <w:tc>
          <w:tcPr>
            <w:tcW w:w="1865" w:type="dxa"/>
            <w:noWrap/>
          </w:tcPr>
          <w:p w14:paraId="46CF95ED">
            <w:pPr>
              <w:adjustRightInd w:val="0"/>
              <w:snapToGrid w:val="0"/>
              <w:spacing w:line="360" w:lineRule="auto"/>
              <w:ind w:right="24"/>
              <w:rPr>
                <w:rFonts w:asciiTheme="majorEastAsia" w:hAnsiTheme="majorEastAsia" w:eastAsiaTheme="majorEastAsia" w:cstheme="majorEastAsia"/>
                <w:bCs/>
                <w:sz w:val="24"/>
              </w:rPr>
            </w:pPr>
          </w:p>
        </w:tc>
        <w:tc>
          <w:tcPr>
            <w:tcW w:w="2542" w:type="dxa"/>
            <w:noWrap/>
          </w:tcPr>
          <w:p w14:paraId="789A553F">
            <w:pPr>
              <w:adjustRightInd w:val="0"/>
              <w:snapToGrid w:val="0"/>
              <w:spacing w:line="360" w:lineRule="auto"/>
              <w:ind w:right="24"/>
              <w:rPr>
                <w:rFonts w:asciiTheme="majorEastAsia" w:hAnsiTheme="majorEastAsia" w:eastAsiaTheme="majorEastAsia" w:cstheme="majorEastAsia"/>
                <w:bCs/>
                <w:sz w:val="24"/>
              </w:rPr>
            </w:pPr>
          </w:p>
        </w:tc>
        <w:tc>
          <w:tcPr>
            <w:tcW w:w="1255" w:type="dxa"/>
            <w:noWrap/>
          </w:tcPr>
          <w:p w14:paraId="564C1079">
            <w:pPr>
              <w:adjustRightInd w:val="0"/>
              <w:snapToGrid w:val="0"/>
              <w:spacing w:line="360" w:lineRule="auto"/>
              <w:ind w:right="24"/>
              <w:rPr>
                <w:rFonts w:asciiTheme="majorEastAsia" w:hAnsiTheme="majorEastAsia" w:eastAsiaTheme="majorEastAsia" w:cstheme="majorEastAsia"/>
                <w:bCs/>
                <w:sz w:val="24"/>
              </w:rPr>
            </w:pPr>
          </w:p>
        </w:tc>
        <w:tc>
          <w:tcPr>
            <w:tcW w:w="1270" w:type="dxa"/>
            <w:noWrap/>
          </w:tcPr>
          <w:p w14:paraId="3830E39B">
            <w:pPr>
              <w:adjustRightInd w:val="0"/>
              <w:snapToGrid w:val="0"/>
              <w:spacing w:line="360" w:lineRule="auto"/>
              <w:ind w:right="24"/>
              <w:rPr>
                <w:rFonts w:asciiTheme="majorEastAsia" w:hAnsiTheme="majorEastAsia" w:eastAsiaTheme="majorEastAsia" w:cstheme="majorEastAsia"/>
                <w:bCs/>
                <w:sz w:val="24"/>
              </w:rPr>
            </w:pPr>
          </w:p>
        </w:tc>
      </w:tr>
      <w:tr w14:paraId="638436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tcPr>
          <w:p w14:paraId="4C4ED7CA">
            <w:pPr>
              <w:adjustRightInd w:val="0"/>
              <w:snapToGrid w:val="0"/>
              <w:spacing w:line="360" w:lineRule="auto"/>
              <w:ind w:right="24"/>
              <w:rPr>
                <w:rFonts w:asciiTheme="majorEastAsia" w:hAnsiTheme="majorEastAsia" w:eastAsiaTheme="majorEastAsia" w:cstheme="majorEastAsia"/>
                <w:bCs/>
                <w:sz w:val="24"/>
              </w:rPr>
            </w:pPr>
          </w:p>
        </w:tc>
        <w:tc>
          <w:tcPr>
            <w:tcW w:w="1474" w:type="dxa"/>
            <w:noWrap/>
          </w:tcPr>
          <w:p w14:paraId="6C2EE65E">
            <w:pPr>
              <w:adjustRightInd w:val="0"/>
              <w:snapToGrid w:val="0"/>
              <w:spacing w:line="360" w:lineRule="auto"/>
              <w:ind w:right="24"/>
              <w:rPr>
                <w:rFonts w:asciiTheme="majorEastAsia" w:hAnsiTheme="majorEastAsia" w:eastAsiaTheme="majorEastAsia" w:cstheme="majorEastAsia"/>
                <w:bCs/>
                <w:sz w:val="24"/>
              </w:rPr>
            </w:pPr>
          </w:p>
        </w:tc>
        <w:tc>
          <w:tcPr>
            <w:tcW w:w="1865" w:type="dxa"/>
            <w:noWrap/>
          </w:tcPr>
          <w:p w14:paraId="6289ECBB">
            <w:pPr>
              <w:adjustRightInd w:val="0"/>
              <w:snapToGrid w:val="0"/>
              <w:spacing w:line="360" w:lineRule="auto"/>
              <w:ind w:right="24"/>
              <w:rPr>
                <w:rFonts w:asciiTheme="majorEastAsia" w:hAnsiTheme="majorEastAsia" w:eastAsiaTheme="majorEastAsia" w:cstheme="majorEastAsia"/>
                <w:bCs/>
                <w:sz w:val="24"/>
              </w:rPr>
            </w:pPr>
          </w:p>
        </w:tc>
        <w:tc>
          <w:tcPr>
            <w:tcW w:w="2542" w:type="dxa"/>
            <w:noWrap/>
          </w:tcPr>
          <w:p w14:paraId="0B4B0020">
            <w:pPr>
              <w:adjustRightInd w:val="0"/>
              <w:snapToGrid w:val="0"/>
              <w:spacing w:line="360" w:lineRule="auto"/>
              <w:ind w:right="24"/>
              <w:rPr>
                <w:rFonts w:asciiTheme="majorEastAsia" w:hAnsiTheme="majorEastAsia" w:eastAsiaTheme="majorEastAsia" w:cstheme="majorEastAsia"/>
                <w:bCs/>
                <w:sz w:val="24"/>
              </w:rPr>
            </w:pPr>
          </w:p>
        </w:tc>
        <w:tc>
          <w:tcPr>
            <w:tcW w:w="1255" w:type="dxa"/>
            <w:noWrap/>
          </w:tcPr>
          <w:p w14:paraId="1607CE90">
            <w:pPr>
              <w:adjustRightInd w:val="0"/>
              <w:snapToGrid w:val="0"/>
              <w:spacing w:line="360" w:lineRule="auto"/>
              <w:ind w:right="24"/>
              <w:rPr>
                <w:rFonts w:asciiTheme="majorEastAsia" w:hAnsiTheme="majorEastAsia" w:eastAsiaTheme="majorEastAsia" w:cstheme="majorEastAsia"/>
                <w:bCs/>
                <w:sz w:val="24"/>
              </w:rPr>
            </w:pPr>
          </w:p>
        </w:tc>
        <w:tc>
          <w:tcPr>
            <w:tcW w:w="1270" w:type="dxa"/>
            <w:noWrap/>
          </w:tcPr>
          <w:p w14:paraId="791548C6">
            <w:pPr>
              <w:adjustRightInd w:val="0"/>
              <w:snapToGrid w:val="0"/>
              <w:spacing w:line="360" w:lineRule="auto"/>
              <w:ind w:right="24"/>
              <w:rPr>
                <w:rFonts w:asciiTheme="majorEastAsia" w:hAnsiTheme="majorEastAsia" w:eastAsiaTheme="majorEastAsia" w:cstheme="majorEastAsia"/>
                <w:bCs/>
                <w:sz w:val="24"/>
              </w:rPr>
            </w:pPr>
          </w:p>
        </w:tc>
      </w:tr>
      <w:tr w14:paraId="52E912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noWrap/>
          </w:tcPr>
          <w:p w14:paraId="5EAD6F60">
            <w:pPr>
              <w:adjustRightInd w:val="0"/>
              <w:snapToGrid w:val="0"/>
              <w:spacing w:line="360" w:lineRule="auto"/>
              <w:ind w:right="24"/>
              <w:rPr>
                <w:rFonts w:asciiTheme="majorEastAsia" w:hAnsiTheme="majorEastAsia" w:eastAsiaTheme="majorEastAsia" w:cstheme="majorEastAsia"/>
                <w:bCs/>
                <w:sz w:val="24"/>
              </w:rPr>
            </w:pPr>
          </w:p>
        </w:tc>
        <w:tc>
          <w:tcPr>
            <w:tcW w:w="1474" w:type="dxa"/>
            <w:noWrap/>
          </w:tcPr>
          <w:p w14:paraId="2B5B8D8C">
            <w:pPr>
              <w:adjustRightInd w:val="0"/>
              <w:snapToGrid w:val="0"/>
              <w:spacing w:line="360" w:lineRule="auto"/>
              <w:ind w:right="24"/>
              <w:rPr>
                <w:rFonts w:asciiTheme="majorEastAsia" w:hAnsiTheme="majorEastAsia" w:eastAsiaTheme="majorEastAsia" w:cstheme="majorEastAsia"/>
                <w:bCs/>
                <w:sz w:val="24"/>
              </w:rPr>
            </w:pPr>
          </w:p>
        </w:tc>
        <w:tc>
          <w:tcPr>
            <w:tcW w:w="1865" w:type="dxa"/>
            <w:noWrap/>
          </w:tcPr>
          <w:p w14:paraId="2E06CBB4">
            <w:pPr>
              <w:adjustRightInd w:val="0"/>
              <w:snapToGrid w:val="0"/>
              <w:spacing w:line="360" w:lineRule="auto"/>
              <w:ind w:right="24"/>
              <w:rPr>
                <w:rFonts w:asciiTheme="majorEastAsia" w:hAnsiTheme="majorEastAsia" w:eastAsiaTheme="majorEastAsia" w:cstheme="majorEastAsia"/>
                <w:bCs/>
                <w:sz w:val="24"/>
              </w:rPr>
            </w:pPr>
          </w:p>
        </w:tc>
        <w:tc>
          <w:tcPr>
            <w:tcW w:w="2542" w:type="dxa"/>
            <w:noWrap/>
          </w:tcPr>
          <w:p w14:paraId="21F3871D">
            <w:pPr>
              <w:adjustRightInd w:val="0"/>
              <w:snapToGrid w:val="0"/>
              <w:spacing w:line="360" w:lineRule="auto"/>
              <w:ind w:right="24"/>
              <w:rPr>
                <w:rFonts w:asciiTheme="majorEastAsia" w:hAnsiTheme="majorEastAsia" w:eastAsiaTheme="majorEastAsia" w:cstheme="majorEastAsia"/>
                <w:bCs/>
                <w:sz w:val="24"/>
              </w:rPr>
            </w:pPr>
          </w:p>
        </w:tc>
        <w:tc>
          <w:tcPr>
            <w:tcW w:w="1255" w:type="dxa"/>
            <w:noWrap/>
          </w:tcPr>
          <w:p w14:paraId="4E8B2E2B">
            <w:pPr>
              <w:adjustRightInd w:val="0"/>
              <w:snapToGrid w:val="0"/>
              <w:spacing w:line="360" w:lineRule="auto"/>
              <w:ind w:right="24"/>
              <w:rPr>
                <w:rFonts w:asciiTheme="majorEastAsia" w:hAnsiTheme="majorEastAsia" w:eastAsiaTheme="majorEastAsia" w:cstheme="majorEastAsia"/>
                <w:bCs/>
                <w:sz w:val="24"/>
              </w:rPr>
            </w:pPr>
          </w:p>
        </w:tc>
        <w:tc>
          <w:tcPr>
            <w:tcW w:w="1270" w:type="dxa"/>
            <w:noWrap/>
          </w:tcPr>
          <w:p w14:paraId="0D650530">
            <w:pPr>
              <w:adjustRightInd w:val="0"/>
              <w:snapToGrid w:val="0"/>
              <w:spacing w:line="360" w:lineRule="auto"/>
              <w:ind w:right="24"/>
              <w:rPr>
                <w:rFonts w:asciiTheme="majorEastAsia" w:hAnsiTheme="majorEastAsia" w:eastAsiaTheme="majorEastAsia" w:cstheme="majorEastAsia"/>
                <w:bCs/>
                <w:sz w:val="24"/>
              </w:rPr>
            </w:pPr>
          </w:p>
        </w:tc>
      </w:tr>
    </w:tbl>
    <w:p w14:paraId="3248F7BE">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注：1.投标人应按照招标文件中的技术规格（参数）的内容逐项响应。</w:t>
      </w:r>
    </w:p>
    <w:p w14:paraId="78A7B383">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2.投标人应逐条如实填写投标货物的技术规格(参数),如有偏离情况须做出详细说明并提供相应的支持文件。 </w:t>
      </w:r>
    </w:p>
    <w:p w14:paraId="7B6808A7">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3.偏离情况填写：正偏离、无偏离、负偏离。</w:t>
      </w:r>
    </w:p>
    <w:p w14:paraId="4A237EDE">
      <w:pPr>
        <w:spacing w:line="400" w:lineRule="exact"/>
        <w:ind w:left="-141" w:leftChars="-67" w:firstLine="480" w:firstLineChars="200"/>
        <w:rPr>
          <w:rFonts w:asciiTheme="majorEastAsia" w:hAnsiTheme="majorEastAsia" w:eastAsiaTheme="majorEastAsia" w:cstheme="majorEastAsia"/>
          <w:sz w:val="24"/>
        </w:rPr>
      </w:pPr>
    </w:p>
    <w:p w14:paraId="62D1D92F">
      <w:pPr>
        <w:adjustRightInd w:val="0"/>
        <w:spacing w:line="400" w:lineRule="exact"/>
        <w:ind w:firstLine="367" w:firstLineChars="175"/>
        <w:jc w:val="left"/>
        <w:rPr>
          <w:rFonts w:asciiTheme="majorEastAsia" w:hAnsiTheme="majorEastAsia" w:eastAsiaTheme="majorEastAsia" w:cstheme="majorEastAsia"/>
          <w:bCs/>
          <w:szCs w:val="21"/>
        </w:rPr>
      </w:pPr>
    </w:p>
    <w:p w14:paraId="53CC3A28">
      <w:pPr>
        <w:spacing w:line="480" w:lineRule="auto"/>
        <w:ind w:right="-161" w:firstLine="3120" w:firstLineChars="1300"/>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法人代表或被授权代表签字：</w:t>
      </w:r>
    </w:p>
    <w:p w14:paraId="6EAA4997">
      <w:pPr>
        <w:spacing w:line="480" w:lineRule="auto"/>
        <w:ind w:right="-161" w:firstLine="3120" w:firstLineChars="1300"/>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投   标   单  位  公  章：</w:t>
      </w:r>
    </w:p>
    <w:p w14:paraId="13EBCE4F">
      <w:pPr>
        <w:jc w:val="center"/>
        <w:rPr>
          <w:rFonts w:asciiTheme="majorEastAsia" w:hAnsiTheme="majorEastAsia" w:eastAsiaTheme="majorEastAsia" w:cstheme="majorEastAsia"/>
          <w:b/>
          <w:sz w:val="36"/>
        </w:rPr>
      </w:pP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日                    期：</w:t>
      </w:r>
    </w:p>
    <w:p w14:paraId="2D51699B">
      <w:pPr>
        <w:rPr>
          <w:rFonts w:hint="eastAsia"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br w:type="page"/>
      </w:r>
    </w:p>
    <w:p w14:paraId="64518C2B">
      <w:pPr>
        <w:spacing w:line="480" w:lineRule="exact"/>
        <w:ind w:left="210" w:leftChars="100"/>
        <w:jc w:val="center"/>
        <w:rPr>
          <w:rFonts w:asciiTheme="majorEastAsia" w:hAnsiTheme="majorEastAsia" w:eastAsiaTheme="majorEastAsia" w:cstheme="majorEastAsia"/>
          <w:sz w:val="32"/>
          <w:szCs w:val="32"/>
        </w:rPr>
      </w:pPr>
      <w:r>
        <w:rPr>
          <w:rFonts w:hint="eastAsia" w:asciiTheme="majorEastAsia" w:hAnsiTheme="majorEastAsia" w:eastAsiaTheme="majorEastAsia" w:cstheme="majorEastAsia"/>
          <w:b/>
          <w:sz w:val="32"/>
          <w:szCs w:val="32"/>
        </w:rPr>
        <w:t>四、</w:t>
      </w:r>
      <w:bookmarkStart w:id="153" w:name="_Toc308451529"/>
      <w:r>
        <w:rPr>
          <w:rFonts w:hint="eastAsia" w:asciiTheme="majorEastAsia" w:hAnsiTheme="majorEastAsia" w:eastAsiaTheme="majorEastAsia" w:cstheme="majorEastAsia"/>
          <w:b/>
          <w:bCs/>
          <w:sz w:val="32"/>
          <w:szCs w:val="32"/>
        </w:rPr>
        <w:t>法定代表人证明书及法定代表人授权书</w:t>
      </w:r>
    </w:p>
    <w:p w14:paraId="11D4EFF3">
      <w:pPr>
        <w:spacing w:line="480" w:lineRule="exact"/>
        <w:ind w:left="210" w:leftChars="100"/>
        <w:jc w:val="center"/>
        <w:rPr>
          <w:rFonts w:asciiTheme="majorEastAsia" w:hAnsiTheme="majorEastAsia" w:eastAsiaTheme="majorEastAsia" w:cstheme="majorEastAsia"/>
          <w:b/>
          <w:bCs/>
          <w:sz w:val="24"/>
        </w:rPr>
      </w:pPr>
      <w:bookmarkStart w:id="154" w:name="_Toc26087"/>
      <w:r>
        <w:rPr>
          <w:rFonts w:hint="eastAsia" w:asciiTheme="majorEastAsia" w:hAnsiTheme="majorEastAsia" w:eastAsiaTheme="majorEastAsia" w:cstheme="majorEastAsia"/>
          <w:b/>
          <w:bCs/>
          <w:sz w:val="24"/>
        </w:rPr>
        <w:t>4-1、法定代表人证明书</w:t>
      </w:r>
      <w:bookmarkEnd w:id="154"/>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2281"/>
        <w:gridCol w:w="975"/>
        <w:gridCol w:w="839"/>
        <w:gridCol w:w="1234"/>
        <w:gridCol w:w="2554"/>
      </w:tblGrid>
      <w:tr w14:paraId="2A616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380" w:type="dxa"/>
            <w:gridSpan w:val="6"/>
            <w:noWrap/>
          </w:tcPr>
          <w:p w14:paraId="0C10BE02">
            <w:pPr>
              <w:tabs>
                <w:tab w:val="right" w:leader="dot" w:pos="9022"/>
              </w:tabs>
              <w:autoSpaceDE w:val="0"/>
              <w:autoSpaceDN w:val="0"/>
              <w:adjustRightInd w:val="0"/>
              <w:spacing w:line="360" w:lineRule="auto"/>
              <w:jc w:val="left"/>
              <w:rPr>
                <w:rFonts w:asciiTheme="majorEastAsia" w:hAnsiTheme="majorEastAsia" w:eastAsiaTheme="majorEastAsia" w:cstheme="majorEastAsia"/>
                <w:bCs/>
                <w:caps/>
                <w:sz w:val="24"/>
              </w:rPr>
            </w:pPr>
            <w:r>
              <w:rPr>
                <w:rFonts w:hint="eastAsia" w:asciiTheme="majorEastAsia" w:hAnsiTheme="majorEastAsia" w:eastAsiaTheme="majorEastAsia" w:cstheme="majorEastAsia"/>
                <w:bCs/>
                <w:caps/>
                <w:sz w:val="24"/>
              </w:rPr>
              <w:t xml:space="preserve">致：    （采购人）     </w:t>
            </w:r>
          </w:p>
        </w:tc>
      </w:tr>
      <w:tr w14:paraId="3337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noWrap/>
            <w:vAlign w:val="center"/>
          </w:tcPr>
          <w:p w14:paraId="3004FF46">
            <w:pPr>
              <w:tabs>
                <w:tab w:val="right" w:leader="dot" w:pos="9022"/>
              </w:tabs>
              <w:autoSpaceDE w:val="0"/>
              <w:autoSpaceDN w:val="0"/>
              <w:adjustRightInd w:val="0"/>
              <w:spacing w:line="360" w:lineRule="auto"/>
              <w:jc w:val="center"/>
              <w:rPr>
                <w:rFonts w:asciiTheme="majorEastAsia" w:hAnsiTheme="majorEastAsia" w:eastAsiaTheme="majorEastAsia" w:cstheme="majorEastAsia"/>
                <w:bCs/>
                <w:caps/>
                <w:sz w:val="24"/>
              </w:rPr>
            </w:pPr>
            <w:r>
              <w:rPr>
                <w:rFonts w:hint="eastAsia" w:asciiTheme="majorEastAsia" w:hAnsiTheme="majorEastAsia" w:eastAsiaTheme="majorEastAsia" w:cstheme="majorEastAsia"/>
                <w:bCs/>
                <w:caps/>
                <w:sz w:val="24"/>
              </w:rPr>
              <w:t>项目名称</w:t>
            </w:r>
          </w:p>
        </w:tc>
        <w:tc>
          <w:tcPr>
            <w:tcW w:w="7883" w:type="dxa"/>
            <w:gridSpan w:val="5"/>
            <w:noWrap/>
          </w:tcPr>
          <w:p w14:paraId="07C439D0">
            <w:pPr>
              <w:tabs>
                <w:tab w:val="right" w:leader="dot" w:pos="9022"/>
              </w:tabs>
              <w:autoSpaceDE w:val="0"/>
              <w:autoSpaceDN w:val="0"/>
              <w:adjustRightInd w:val="0"/>
              <w:spacing w:line="360" w:lineRule="auto"/>
              <w:jc w:val="left"/>
              <w:rPr>
                <w:rFonts w:asciiTheme="majorEastAsia" w:hAnsiTheme="majorEastAsia" w:eastAsiaTheme="majorEastAsia" w:cstheme="majorEastAsia"/>
                <w:bCs/>
                <w:caps/>
                <w:sz w:val="24"/>
              </w:rPr>
            </w:pPr>
          </w:p>
        </w:tc>
      </w:tr>
      <w:tr w14:paraId="02B0C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noWrap/>
            <w:vAlign w:val="center"/>
          </w:tcPr>
          <w:p w14:paraId="6BC981FB">
            <w:pPr>
              <w:tabs>
                <w:tab w:val="right" w:leader="dot" w:pos="9022"/>
              </w:tabs>
              <w:autoSpaceDE w:val="0"/>
              <w:autoSpaceDN w:val="0"/>
              <w:adjustRightInd w:val="0"/>
              <w:spacing w:line="360" w:lineRule="auto"/>
              <w:jc w:val="center"/>
              <w:rPr>
                <w:rFonts w:asciiTheme="majorEastAsia" w:hAnsiTheme="majorEastAsia" w:eastAsiaTheme="majorEastAsia" w:cstheme="majorEastAsia"/>
                <w:bCs/>
                <w:caps/>
                <w:sz w:val="24"/>
              </w:rPr>
            </w:pPr>
            <w:r>
              <w:rPr>
                <w:rFonts w:hint="eastAsia" w:asciiTheme="majorEastAsia" w:hAnsiTheme="majorEastAsia" w:eastAsiaTheme="majorEastAsia" w:cstheme="majorEastAsia"/>
                <w:bCs/>
                <w:caps/>
                <w:sz w:val="24"/>
              </w:rPr>
              <w:t>文件编号</w:t>
            </w:r>
          </w:p>
        </w:tc>
        <w:tc>
          <w:tcPr>
            <w:tcW w:w="7883" w:type="dxa"/>
            <w:gridSpan w:val="5"/>
            <w:noWrap/>
          </w:tcPr>
          <w:p w14:paraId="678E86A9">
            <w:pPr>
              <w:tabs>
                <w:tab w:val="right" w:leader="dot" w:pos="9022"/>
              </w:tabs>
              <w:autoSpaceDE w:val="0"/>
              <w:autoSpaceDN w:val="0"/>
              <w:adjustRightInd w:val="0"/>
              <w:spacing w:line="360" w:lineRule="auto"/>
              <w:jc w:val="left"/>
              <w:rPr>
                <w:rFonts w:asciiTheme="majorEastAsia" w:hAnsiTheme="majorEastAsia" w:eastAsiaTheme="majorEastAsia" w:cstheme="majorEastAsia"/>
                <w:bCs/>
                <w:caps/>
                <w:sz w:val="24"/>
              </w:rPr>
            </w:pPr>
          </w:p>
        </w:tc>
      </w:tr>
      <w:tr w14:paraId="6F962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497" w:type="dxa"/>
            <w:noWrap/>
            <w:vAlign w:val="center"/>
          </w:tcPr>
          <w:p w14:paraId="0496418F">
            <w:pPr>
              <w:tabs>
                <w:tab w:val="right" w:leader="dot" w:pos="9022"/>
              </w:tabs>
              <w:autoSpaceDE w:val="0"/>
              <w:autoSpaceDN w:val="0"/>
              <w:adjustRightInd w:val="0"/>
              <w:spacing w:line="360" w:lineRule="auto"/>
              <w:jc w:val="center"/>
              <w:rPr>
                <w:rFonts w:asciiTheme="majorEastAsia" w:hAnsiTheme="majorEastAsia" w:eastAsiaTheme="majorEastAsia" w:cstheme="majorEastAsia"/>
                <w:bCs/>
                <w:caps/>
                <w:sz w:val="24"/>
              </w:rPr>
            </w:pPr>
            <w:r>
              <w:rPr>
                <w:rFonts w:hint="eastAsia" w:asciiTheme="majorEastAsia" w:hAnsiTheme="majorEastAsia" w:eastAsiaTheme="majorEastAsia" w:cstheme="majorEastAsia"/>
                <w:bCs/>
                <w:caps/>
                <w:sz w:val="24"/>
              </w:rPr>
              <w:t>权   限</w:t>
            </w:r>
          </w:p>
        </w:tc>
        <w:tc>
          <w:tcPr>
            <w:tcW w:w="7883" w:type="dxa"/>
            <w:gridSpan w:val="5"/>
            <w:noWrap/>
            <w:vAlign w:val="center"/>
          </w:tcPr>
          <w:p w14:paraId="7F51E05B">
            <w:pPr>
              <w:tabs>
                <w:tab w:val="right" w:leader="dot" w:pos="9022"/>
              </w:tabs>
              <w:autoSpaceDE w:val="0"/>
              <w:autoSpaceDN w:val="0"/>
              <w:adjustRightInd w:val="0"/>
              <w:spacing w:line="360" w:lineRule="auto"/>
              <w:jc w:val="left"/>
              <w:rPr>
                <w:rFonts w:asciiTheme="majorEastAsia" w:hAnsiTheme="majorEastAsia" w:eastAsiaTheme="majorEastAsia" w:cstheme="majorEastAsia"/>
                <w:bCs/>
                <w:caps/>
                <w:sz w:val="24"/>
              </w:rPr>
            </w:pPr>
            <w:r>
              <w:rPr>
                <w:rFonts w:hint="eastAsia" w:asciiTheme="majorEastAsia" w:hAnsiTheme="majorEastAsia" w:eastAsiaTheme="majorEastAsia" w:cstheme="majorEastAsia"/>
                <w:bCs/>
                <w:caps/>
                <w:sz w:val="24"/>
              </w:rPr>
              <w:t>办理本次采购项目的投标、联系、洽谈、签约、执行等具体事务，签署全部有关文件、文书、协议及合同。</w:t>
            </w:r>
          </w:p>
        </w:tc>
      </w:tr>
      <w:tr w14:paraId="7814F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restart"/>
            <w:noWrap/>
            <w:vAlign w:val="center"/>
          </w:tcPr>
          <w:p w14:paraId="2A987012">
            <w:pPr>
              <w:tabs>
                <w:tab w:val="right" w:leader="dot" w:pos="9022"/>
              </w:tabs>
              <w:autoSpaceDE w:val="0"/>
              <w:autoSpaceDN w:val="0"/>
              <w:adjustRightInd w:val="0"/>
              <w:spacing w:line="360" w:lineRule="auto"/>
              <w:rPr>
                <w:rFonts w:asciiTheme="majorEastAsia" w:hAnsiTheme="majorEastAsia" w:eastAsiaTheme="majorEastAsia" w:cstheme="majorEastAsia"/>
                <w:bCs/>
                <w:caps/>
                <w:sz w:val="24"/>
              </w:rPr>
            </w:pPr>
            <w:r>
              <w:rPr>
                <w:rFonts w:hint="eastAsia" w:asciiTheme="majorEastAsia" w:hAnsiTheme="majorEastAsia" w:eastAsiaTheme="majorEastAsia" w:cstheme="majorEastAsia"/>
                <w:bCs/>
                <w:caps/>
                <w:sz w:val="24"/>
              </w:rPr>
              <w:t>企业</w:t>
            </w:r>
          </w:p>
          <w:p w14:paraId="1B03F4AF">
            <w:pPr>
              <w:tabs>
                <w:tab w:val="right" w:leader="dot" w:pos="9022"/>
              </w:tabs>
              <w:autoSpaceDE w:val="0"/>
              <w:autoSpaceDN w:val="0"/>
              <w:adjustRightInd w:val="0"/>
              <w:spacing w:line="360" w:lineRule="auto"/>
              <w:rPr>
                <w:rFonts w:asciiTheme="majorEastAsia" w:hAnsiTheme="majorEastAsia" w:eastAsiaTheme="majorEastAsia" w:cstheme="majorEastAsia"/>
                <w:bCs/>
                <w:caps/>
                <w:sz w:val="24"/>
              </w:rPr>
            </w:pPr>
            <w:r>
              <w:rPr>
                <w:rFonts w:hint="eastAsia" w:asciiTheme="majorEastAsia" w:hAnsiTheme="majorEastAsia" w:eastAsiaTheme="majorEastAsia" w:cstheme="majorEastAsia"/>
                <w:bCs/>
                <w:caps/>
                <w:sz w:val="24"/>
              </w:rPr>
              <w:t>信息</w:t>
            </w:r>
          </w:p>
        </w:tc>
        <w:tc>
          <w:tcPr>
            <w:tcW w:w="2281" w:type="dxa"/>
            <w:noWrap/>
          </w:tcPr>
          <w:p w14:paraId="26C218BE">
            <w:pPr>
              <w:tabs>
                <w:tab w:val="right" w:leader="dot" w:pos="9022"/>
              </w:tabs>
              <w:autoSpaceDE w:val="0"/>
              <w:autoSpaceDN w:val="0"/>
              <w:adjustRightInd w:val="0"/>
              <w:spacing w:line="360" w:lineRule="auto"/>
              <w:jc w:val="left"/>
              <w:rPr>
                <w:rFonts w:asciiTheme="majorEastAsia" w:hAnsiTheme="majorEastAsia" w:eastAsiaTheme="majorEastAsia" w:cstheme="majorEastAsia"/>
                <w:bCs/>
                <w:caps/>
                <w:sz w:val="24"/>
              </w:rPr>
            </w:pPr>
            <w:r>
              <w:rPr>
                <w:rFonts w:hint="eastAsia" w:asciiTheme="majorEastAsia" w:hAnsiTheme="majorEastAsia" w:eastAsiaTheme="majorEastAsia" w:cstheme="majorEastAsia"/>
                <w:bCs/>
                <w:caps/>
                <w:sz w:val="24"/>
              </w:rPr>
              <w:t xml:space="preserve">企 业 名 称 </w:t>
            </w:r>
          </w:p>
        </w:tc>
        <w:tc>
          <w:tcPr>
            <w:tcW w:w="5602" w:type="dxa"/>
            <w:gridSpan w:val="4"/>
            <w:noWrap/>
          </w:tcPr>
          <w:p w14:paraId="562B8146">
            <w:pPr>
              <w:tabs>
                <w:tab w:val="right" w:leader="dot" w:pos="9022"/>
              </w:tabs>
              <w:autoSpaceDE w:val="0"/>
              <w:autoSpaceDN w:val="0"/>
              <w:adjustRightInd w:val="0"/>
              <w:spacing w:line="360" w:lineRule="auto"/>
              <w:jc w:val="left"/>
              <w:rPr>
                <w:rFonts w:asciiTheme="majorEastAsia" w:hAnsiTheme="majorEastAsia" w:eastAsiaTheme="majorEastAsia" w:cstheme="majorEastAsia"/>
                <w:bCs/>
                <w:caps/>
                <w:sz w:val="24"/>
              </w:rPr>
            </w:pPr>
          </w:p>
        </w:tc>
      </w:tr>
      <w:tr w14:paraId="0C132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ign w:val="center"/>
          </w:tcPr>
          <w:p w14:paraId="7D431A64">
            <w:pPr>
              <w:tabs>
                <w:tab w:val="right" w:leader="dot" w:pos="9022"/>
              </w:tabs>
              <w:autoSpaceDE w:val="0"/>
              <w:autoSpaceDN w:val="0"/>
              <w:adjustRightInd w:val="0"/>
              <w:spacing w:line="360" w:lineRule="auto"/>
              <w:jc w:val="center"/>
              <w:rPr>
                <w:rFonts w:asciiTheme="majorEastAsia" w:hAnsiTheme="majorEastAsia" w:eastAsiaTheme="majorEastAsia" w:cstheme="majorEastAsia"/>
                <w:bCs/>
                <w:caps/>
                <w:sz w:val="24"/>
              </w:rPr>
            </w:pPr>
          </w:p>
        </w:tc>
        <w:tc>
          <w:tcPr>
            <w:tcW w:w="2281" w:type="dxa"/>
            <w:noWrap/>
          </w:tcPr>
          <w:p w14:paraId="54974BC1">
            <w:pPr>
              <w:tabs>
                <w:tab w:val="right" w:leader="dot" w:pos="9022"/>
              </w:tabs>
              <w:autoSpaceDE w:val="0"/>
              <w:autoSpaceDN w:val="0"/>
              <w:adjustRightInd w:val="0"/>
              <w:spacing w:line="360" w:lineRule="auto"/>
              <w:jc w:val="left"/>
              <w:rPr>
                <w:rFonts w:asciiTheme="majorEastAsia" w:hAnsiTheme="majorEastAsia" w:eastAsiaTheme="majorEastAsia" w:cstheme="majorEastAsia"/>
                <w:bCs/>
                <w:caps/>
                <w:sz w:val="24"/>
              </w:rPr>
            </w:pPr>
            <w:r>
              <w:rPr>
                <w:rFonts w:hint="eastAsia" w:asciiTheme="majorEastAsia" w:hAnsiTheme="majorEastAsia" w:eastAsiaTheme="majorEastAsia" w:cstheme="majorEastAsia"/>
                <w:bCs/>
                <w:caps/>
                <w:sz w:val="24"/>
              </w:rPr>
              <w:t>法 定 地 址</w:t>
            </w:r>
          </w:p>
        </w:tc>
        <w:tc>
          <w:tcPr>
            <w:tcW w:w="5602" w:type="dxa"/>
            <w:gridSpan w:val="4"/>
            <w:noWrap/>
          </w:tcPr>
          <w:p w14:paraId="7AEDC918">
            <w:pPr>
              <w:tabs>
                <w:tab w:val="right" w:leader="dot" w:pos="9022"/>
              </w:tabs>
              <w:autoSpaceDE w:val="0"/>
              <w:autoSpaceDN w:val="0"/>
              <w:adjustRightInd w:val="0"/>
              <w:spacing w:line="360" w:lineRule="auto"/>
              <w:jc w:val="left"/>
              <w:rPr>
                <w:rFonts w:asciiTheme="majorEastAsia" w:hAnsiTheme="majorEastAsia" w:eastAsiaTheme="majorEastAsia" w:cstheme="majorEastAsia"/>
                <w:bCs/>
                <w:caps/>
                <w:sz w:val="24"/>
              </w:rPr>
            </w:pPr>
          </w:p>
        </w:tc>
      </w:tr>
      <w:tr w14:paraId="42457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ign w:val="center"/>
          </w:tcPr>
          <w:p w14:paraId="4CD93880">
            <w:pPr>
              <w:tabs>
                <w:tab w:val="right" w:leader="dot" w:pos="9022"/>
              </w:tabs>
              <w:autoSpaceDE w:val="0"/>
              <w:autoSpaceDN w:val="0"/>
              <w:adjustRightInd w:val="0"/>
              <w:spacing w:line="360" w:lineRule="auto"/>
              <w:jc w:val="center"/>
              <w:rPr>
                <w:rFonts w:asciiTheme="majorEastAsia" w:hAnsiTheme="majorEastAsia" w:eastAsiaTheme="majorEastAsia" w:cstheme="majorEastAsia"/>
                <w:bCs/>
                <w:caps/>
                <w:sz w:val="24"/>
              </w:rPr>
            </w:pPr>
          </w:p>
        </w:tc>
        <w:tc>
          <w:tcPr>
            <w:tcW w:w="2281" w:type="dxa"/>
            <w:noWrap/>
          </w:tcPr>
          <w:p w14:paraId="2A4579D0">
            <w:pPr>
              <w:tabs>
                <w:tab w:val="right" w:leader="dot" w:pos="9022"/>
              </w:tabs>
              <w:autoSpaceDE w:val="0"/>
              <w:autoSpaceDN w:val="0"/>
              <w:adjustRightInd w:val="0"/>
              <w:spacing w:line="360" w:lineRule="auto"/>
              <w:jc w:val="left"/>
              <w:rPr>
                <w:rFonts w:asciiTheme="majorEastAsia" w:hAnsiTheme="majorEastAsia" w:eastAsiaTheme="majorEastAsia" w:cstheme="majorEastAsia"/>
                <w:bCs/>
                <w:caps/>
                <w:sz w:val="24"/>
              </w:rPr>
            </w:pPr>
            <w:r>
              <w:rPr>
                <w:rFonts w:hint="eastAsia" w:asciiTheme="majorEastAsia" w:hAnsiTheme="majorEastAsia" w:eastAsiaTheme="majorEastAsia" w:cstheme="majorEastAsia"/>
                <w:bCs/>
                <w:caps/>
                <w:sz w:val="24"/>
              </w:rPr>
              <w:t>统一社会信用代码</w:t>
            </w:r>
          </w:p>
        </w:tc>
        <w:tc>
          <w:tcPr>
            <w:tcW w:w="5602" w:type="dxa"/>
            <w:gridSpan w:val="4"/>
            <w:noWrap/>
          </w:tcPr>
          <w:p w14:paraId="2963E260">
            <w:pPr>
              <w:tabs>
                <w:tab w:val="right" w:leader="dot" w:pos="9022"/>
              </w:tabs>
              <w:autoSpaceDE w:val="0"/>
              <w:autoSpaceDN w:val="0"/>
              <w:adjustRightInd w:val="0"/>
              <w:spacing w:line="360" w:lineRule="auto"/>
              <w:jc w:val="left"/>
              <w:rPr>
                <w:rFonts w:asciiTheme="majorEastAsia" w:hAnsiTheme="majorEastAsia" w:eastAsiaTheme="majorEastAsia" w:cstheme="majorEastAsia"/>
                <w:bCs/>
                <w:caps/>
                <w:sz w:val="24"/>
              </w:rPr>
            </w:pPr>
          </w:p>
        </w:tc>
      </w:tr>
      <w:tr w14:paraId="79532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ign w:val="center"/>
          </w:tcPr>
          <w:p w14:paraId="55E91B4B">
            <w:pPr>
              <w:tabs>
                <w:tab w:val="right" w:leader="dot" w:pos="9022"/>
              </w:tabs>
              <w:autoSpaceDE w:val="0"/>
              <w:autoSpaceDN w:val="0"/>
              <w:adjustRightInd w:val="0"/>
              <w:spacing w:line="360" w:lineRule="auto"/>
              <w:jc w:val="center"/>
              <w:rPr>
                <w:rFonts w:asciiTheme="majorEastAsia" w:hAnsiTheme="majorEastAsia" w:eastAsiaTheme="majorEastAsia" w:cstheme="majorEastAsia"/>
                <w:bCs/>
                <w:caps/>
                <w:sz w:val="24"/>
              </w:rPr>
            </w:pPr>
          </w:p>
        </w:tc>
        <w:tc>
          <w:tcPr>
            <w:tcW w:w="2281" w:type="dxa"/>
            <w:noWrap/>
          </w:tcPr>
          <w:p w14:paraId="583147F4">
            <w:pPr>
              <w:tabs>
                <w:tab w:val="right" w:leader="dot" w:pos="9022"/>
              </w:tabs>
              <w:spacing w:line="360" w:lineRule="auto"/>
              <w:rPr>
                <w:rFonts w:asciiTheme="majorEastAsia" w:hAnsiTheme="majorEastAsia" w:eastAsiaTheme="majorEastAsia" w:cstheme="majorEastAsia"/>
                <w:bCs/>
                <w:caps/>
                <w:sz w:val="24"/>
              </w:rPr>
            </w:pPr>
            <w:r>
              <w:rPr>
                <w:rFonts w:hint="eastAsia" w:asciiTheme="majorEastAsia" w:hAnsiTheme="majorEastAsia" w:eastAsiaTheme="majorEastAsia" w:cstheme="majorEastAsia"/>
                <w:bCs/>
                <w:caps/>
                <w:sz w:val="24"/>
              </w:rPr>
              <w:t>工商登记机关</w:t>
            </w:r>
          </w:p>
        </w:tc>
        <w:tc>
          <w:tcPr>
            <w:tcW w:w="5602" w:type="dxa"/>
            <w:gridSpan w:val="4"/>
            <w:noWrap/>
          </w:tcPr>
          <w:p w14:paraId="63E655F3">
            <w:pPr>
              <w:tabs>
                <w:tab w:val="right" w:leader="dot" w:pos="9022"/>
              </w:tabs>
              <w:autoSpaceDE w:val="0"/>
              <w:autoSpaceDN w:val="0"/>
              <w:adjustRightInd w:val="0"/>
              <w:spacing w:line="360" w:lineRule="auto"/>
              <w:jc w:val="left"/>
              <w:rPr>
                <w:rFonts w:asciiTheme="majorEastAsia" w:hAnsiTheme="majorEastAsia" w:eastAsiaTheme="majorEastAsia" w:cstheme="majorEastAsia"/>
                <w:bCs/>
                <w:caps/>
                <w:sz w:val="24"/>
              </w:rPr>
            </w:pPr>
          </w:p>
        </w:tc>
      </w:tr>
      <w:tr w14:paraId="0DEE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ign w:val="center"/>
          </w:tcPr>
          <w:p w14:paraId="4731F817">
            <w:pPr>
              <w:tabs>
                <w:tab w:val="right" w:leader="dot" w:pos="9022"/>
              </w:tabs>
              <w:autoSpaceDE w:val="0"/>
              <w:autoSpaceDN w:val="0"/>
              <w:adjustRightInd w:val="0"/>
              <w:spacing w:line="360" w:lineRule="auto"/>
              <w:jc w:val="center"/>
              <w:rPr>
                <w:rFonts w:asciiTheme="majorEastAsia" w:hAnsiTheme="majorEastAsia" w:eastAsiaTheme="majorEastAsia" w:cstheme="majorEastAsia"/>
                <w:bCs/>
                <w:caps/>
                <w:sz w:val="24"/>
              </w:rPr>
            </w:pPr>
          </w:p>
        </w:tc>
        <w:tc>
          <w:tcPr>
            <w:tcW w:w="2281" w:type="dxa"/>
            <w:noWrap/>
          </w:tcPr>
          <w:p w14:paraId="6EEAC771">
            <w:pPr>
              <w:tabs>
                <w:tab w:val="right" w:leader="dot" w:pos="9022"/>
              </w:tabs>
              <w:spacing w:line="360" w:lineRule="auto"/>
              <w:rPr>
                <w:rFonts w:asciiTheme="majorEastAsia" w:hAnsiTheme="majorEastAsia" w:eastAsiaTheme="majorEastAsia" w:cstheme="majorEastAsia"/>
                <w:bCs/>
                <w:caps/>
                <w:sz w:val="24"/>
              </w:rPr>
            </w:pPr>
            <w:r>
              <w:rPr>
                <w:rFonts w:hint="eastAsia" w:asciiTheme="majorEastAsia" w:hAnsiTheme="majorEastAsia" w:eastAsiaTheme="majorEastAsia" w:cstheme="majorEastAsia"/>
                <w:bCs/>
                <w:caps/>
                <w:sz w:val="24"/>
              </w:rPr>
              <w:t>网    址</w:t>
            </w:r>
          </w:p>
        </w:tc>
        <w:tc>
          <w:tcPr>
            <w:tcW w:w="5602" w:type="dxa"/>
            <w:gridSpan w:val="4"/>
            <w:noWrap/>
          </w:tcPr>
          <w:p w14:paraId="43A47788">
            <w:pPr>
              <w:tabs>
                <w:tab w:val="right" w:leader="dot" w:pos="9022"/>
              </w:tabs>
              <w:autoSpaceDE w:val="0"/>
              <w:autoSpaceDN w:val="0"/>
              <w:adjustRightInd w:val="0"/>
              <w:spacing w:line="360" w:lineRule="auto"/>
              <w:jc w:val="left"/>
              <w:rPr>
                <w:rFonts w:asciiTheme="majorEastAsia" w:hAnsiTheme="majorEastAsia" w:eastAsiaTheme="majorEastAsia" w:cstheme="majorEastAsia"/>
                <w:bCs/>
                <w:caps/>
                <w:sz w:val="24"/>
              </w:rPr>
            </w:pPr>
          </w:p>
        </w:tc>
      </w:tr>
      <w:tr w14:paraId="22DF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restart"/>
            <w:noWrap/>
            <w:vAlign w:val="center"/>
          </w:tcPr>
          <w:p w14:paraId="2883D43F">
            <w:pPr>
              <w:tabs>
                <w:tab w:val="right" w:leader="dot" w:pos="9022"/>
              </w:tabs>
              <w:autoSpaceDE w:val="0"/>
              <w:autoSpaceDN w:val="0"/>
              <w:adjustRightInd w:val="0"/>
              <w:spacing w:line="360" w:lineRule="auto"/>
              <w:jc w:val="center"/>
              <w:rPr>
                <w:rFonts w:asciiTheme="majorEastAsia" w:hAnsiTheme="majorEastAsia" w:eastAsiaTheme="majorEastAsia" w:cstheme="majorEastAsia"/>
                <w:bCs/>
                <w:caps/>
                <w:sz w:val="24"/>
              </w:rPr>
            </w:pPr>
            <w:r>
              <w:rPr>
                <w:rFonts w:hint="eastAsia" w:asciiTheme="majorEastAsia" w:hAnsiTheme="majorEastAsia" w:eastAsiaTheme="majorEastAsia" w:cstheme="majorEastAsia"/>
                <w:bCs/>
                <w:caps/>
                <w:sz w:val="24"/>
              </w:rPr>
              <w:t>法定代</w:t>
            </w:r>
          </w:p>
          <w:p w14:paraId="6F5F2BB0">
            <w:pPr>
              <w:tabs>
                <w:tab w:val="right" w:leader="dot" w:pos="9022"/>
              </w:tabs>
              <w:autoSpaceDE w:val="0"/>
              <w:autoSpaceDN w:val="0"/>
              <w:adjustRightInd w:val="0"/>
              <w:spacing w:line="360" w:lineRule="auto"/>
              <w:jc w:val="center"/>
              <w:rPr>
                <w:rFonts w:asciiTheme="majorEastAsia" w:hAnsiTheme="majorEastAsia" w:eastAsiaTheme="majorEastAsia" w:cstheme="majorEastAsia"/>
                <w:bCs/>
                <w:caps/>
                <w:sz w:val="24"/>
              </w:rPr>
            </w:pPr>
            <w:r>
              <w:rPr>
                <w:rFonts w:hint="eastAsia" w:asciiTheme="majorEastAsia" w:hAnsiTheme="majorEastAsia" w:eastAsiaTheme="majorEastAsia" w:cstheme="majorEastAsia"/>
                <w:bCs/>
                <w:caps/>
                <w:sz w:val="24"/>
              </w:rPr>
              <w:t>表人</w:t>
            </w:r>
          </w:p>
        </w:tc>
        <w:tc>
          <w:tcPr>
            <w:tcW w:w="2281" w:type="dxa"/>
            <w:noWrap/>
          </w:tcPr>
          <w:p w14:paraId="3216401F">
            <w:pPr>
              <w:tabs>
                <w:tab w:val="right" w:leader="dot" w:pos="9022"/>
              </w:tabs>
              <w:autoSpaceDE w:val="0"/>
              <w:autoSpaceDN w:val="0"/>
              <w:adjustRightInd w:val="0"/>
              <w:spacing w:line="360" w:lineRule="auto"/>
              <w:jc w:val="left"/>
              <w:rPr>
                <w:rFonts w:asciiTheme="majorEastAsia" w:hAnsiTheme="majorEastAsia" w:eastAsiaTheme="majorEastAsia" w:cstheme="majorEastAsia"/>
                <w:bCs/>
                <w:caps/>
                <w:sz w:val="24"/>
              </w:rPr>
            </w:pPr>
            <w:r>
              <w:rPr>
                <w:rFonts w:hint="eastAsia" w:asciiTheme="majorEastAsia" w:hAnsiTheme="majorEastAsia" w:eastAsiaTheme="majorEastAsia" w:cstheme="majorEastAsia"/>
                <w:bCs/>
                <w:caps/>
                <w:sz w:val="24"/>
              </w:rPr>
              <w:t>姓    名</w:t>
            </w:r>
          </w:p>
        </w:tc>
        <w:tc>
          <w:tcPr>
            <w:tcW w:w="1814" w:type="dxa"/>
            <w:gridSpan w:val="2"/>
            <w:noWrap/>
          </w:tcPr>
          <w:p w14:paraId="18C1F5F4">
            <w:pPr>
              <w:tabs>
                <w:tab w:val="right" w:leader="dot" w:pos="9022"/>
              </w:tabs>
              <w:autoSpaceDE w:val="0"/>
              <w:autoSpaceDN w:val="0"/>
              <w:adjustRightInd w:val="0"/>
              <w:spacing w:line="360" w:lineRule="auto"/>
              <w:jc w:val="left"/>
              <w:rPr>
                <w:rFonts w:asciiTheme="majorEastAsia" w:hAnsiTheme="majorEastAsia" w:eastAsiaTheme="majorEastAsia" w:cstheme="majorEastAsia"/>
                <w:bCs/>
                <w:caps/>
                <w:sz w:val="24"/>
              </w:rPr>
            </w:pPr>
          </w:p>
        </w:tc>
        <w:tc>
          <w:tcPr>
            <w:tcW w:w="1234" w:type="dxa"/>
            <w:noWrap/>
          </w:tcPr>
          <w:p w14:paraId="2E91D195">
            <w:pPr>
              <w:tabs>
                <w:tab w:val="right" w:leader="dot" w:pos="9022"/>
              </w:tabs>
              <w:autoSpaceDE w:val="0"/>
              <w:autoSpaceDN w:val="0"/>
              <w:adjustRightInd w:val="0"/>
              <w:spacing w:line="360" w:lineRule="auto"/>
              <w:jc w:val="left"/>
              <w:rPr>
                <w:rFonts w:asciiTheme="majorEastAsia" w:hAnsiTheme="majorEastAsia" w:eastAsiaTheme="majorEastAsia" w:cstheme="majorEastAsia"/>
                <w:bCs/>
                <w:caps/>
                <w:sz w:val="24"/>
              </w:rPr>
            </w:pPr>
            <w:r>
              <w:rPr>
                <w:rFonts w:hint="eastAsia" w:asciiTheme="majorEastAsia" w:hAnsiTheme="majorEastAsia" w:eastAsiaTheme="majorEastAsia" w:cstheme="majorEastAsia"/>
                <w:bCs/>
                <w:caps/>
                <w:sz w:val="24"/>
              </w:rPr>
              <w:t>性    别</w:t>
            </w:r>
          </w:p>
        </w:tc>
        <w:tc>
          <w:tcPr>
            <w:tcW w:w="2554" w:type="dxa"/>
            <w:noWrap/>
          </w:tcPr>
          <w:p w14:paraId="16A91B84">
            <w:pPr>
              <w:tabs>
                <w:tab w:val="right" w:leader="dot" w:pos="9022"/>
              </w:tabs>
              <w:autoSpaceDE w:val="0"/>
              <w:autoSpaceDN w:val="0"/>
              <w:adjustRightInd w:val="0"/>
              <w:spacing w:line="360" w:lineRule="auto"/>
              <w:jc w:val="left"/>
              <w:rPr>
                <w:rFonts w:asciiTheme="majorEastAsia" w:hAnsiTheme="majorEastAsia" w:eastAsiaTheme="majorEastAsia" w:cstheme="majorEastAsia"/>
                <w:bCs/>
                <w:caps/>
                <w:sz w:val="24"/>
              </w:rPr>
            </w:pPr>
          </w:p>
        </w:tc>
      </w:tr>
      <w:tr w14:paraId="1C1A4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ign w:val="center"/>
          </w:tcPr>
          <w:p w14:paraId="5998B7D0">
            <w:pPr>
              <w:tabs>
                <w:tab w:val="right" w:leader="dot" w:pos="9022"/>
              </w:tabs>
              <w:autoSpaceDE w:val="0"/>
              <w:autoSpaceDN w:val="0"/>
              <w:adjustRightInd w:val="0"/>
              <w:spacing w:line="360" w:lineRule="auto"/>
              <w:jc w:val="center"/>
              <w:rPr>
                <w:rFonts w:asciiTheme="majorEastAsia" w:hAnsiTheme="majorEastAsia" w:eastAsiaTheme="majorEastAsia" w:cstheme="majorEastAsia"/>
                <w:bCs/>
                <w:caps/>
                <w:sz w:val="24"/>
              </w:rPr>
            </w:pPr>
          </w:p>
        </w:tc>
        <w:tc>
          <w:tcPr>
            <w:tcW w:w="2281" w:type="dxa"/>
            <w:noWrap/>
          </w:tcPr>
          <w:p w14:paraId="2E430C48">
            <w:pPr>
              <w:tabs>
                <w:tab w:val="right" w:leader="dot" w:pos="9022"/>
              </w:tabs>
              <w:autoSpaceDE w:val="0"/>
              <w:autoSpaceDN w:val="0"/>
              <w:adjustRightInd w:val="0"/>
              <w:spacing w:line="360" w:lineRule="auto"/>
              <w:jc w:val="left"/>
              <w:rPr>
                <w:rFonts w:asciiTheme="majorEastAsia" w:hAnsiTheme="majorEastAsia" w:eastAsiaTheme="majorEastAsia" w:cstheme="majorEastAsia"/>
                <w:bCs/>
                <w:caps/>
                <w:sz w:val="24"/>
              </w:rPr>
            </w:pPr>
            <w:r>
              <w:rPr>
                <w:rFonts w:hint="eastAsia" w:asciiTheme="majorEastAsia" w:hAnsiTheme="majorEastAsia" w:eastAsiaTheme="majorEastAsia" w:cstheme="majorEastAsia"/>
                <w:bCs/>
                <w:caps/>
                <w:sz w:val="24"/>
              </w:rPr>
              <w:t>职    务</w:t>
            </w:r>
          </w:p>
        </w:tc>
        <w:tc>
          <w:tcPr>
            <w:tcW w:w="1814" w:type="dxa"/>
            <w:gridSpan w:val="2"/>
            <w:noWrap/>
          </w:tcPr>
          <w:p w14:paraId="102B7725">
            <w:pPr>
              <w:tabs>
                <w:tab w:val="right" w:leader="dot" w:pos="9022"/>
              </w:tabs>
              <w:autoSpaceDE w:val="0"/>
              <w:autoSpaceDN w:val="0"/>
              <w:adjustRightInd w:val="0"/>
              <w:spacing w:line="360" w:lineRule="auto"/>
              <w:jc w:val="left"/>
              <w:rPr>
                <w:rFonts w:asciiTheme="majorEastAsia" w:hAnsiTheme="majorEastAsia" w:eastAsiaTheme="majorEastAsia" w:cstheme="majorEastAsia"/>
                <w:bCs/>
                <w:caps/>
                <w:sz w:val="24"/>
              </w:rPr>
            </w:pPr>
          </w:p>
        </w:tc>
        <w:tc>
          <w:tcPr>
            <w:tcW w:w="1234" w:type="dxa"/>
            <w:noWrap/>
          </w:tcPr>
          <w:p w14:paraId="1EACAAE9">
            <w:pPr>
              <w:tabs>
                <w:tab w:val="right" w:leader="dot" w:pos="9022"/>
              </w:tabs>
              <w:autoSpaceDE w:val="0"/>
              <w:autoSpaceDN w:val="0"/>
              <w:adjustRightInd w:val="0"/>
              <w:spacing w:line="360" w:lineRule="auto"/>
              <w:jc w:val="left"/>
              <w:rPr>
                <w:rFonts w:asciiTheme="majorEastAsia" w:hAnsiTheme="majorEastAsia" w:eastAsiaTheme="majorEastAsia" w:cstheme="majorEastAsia"/>
                <w:bCs/>
                <w:caps/>
                <w:sz w:val="24"/>
              </w:rPr>
            </w:pPr>
            <w:r>
              <w:rPr>
                <w:rFonts w:hint="eastAsia" w:asciiTheme="majorEastAsia" w:hAnsiTheme="majorEastAsia" w:eastAsiaTheme="majorEastAsia" w:cstheme="majorEastAsia"/>
                <w:bCs/>
                <w:caps/>
                <w:sz w:val="24"/>
              </w:rPr>
              <w:t>联系电话</w:t>
            </w:r>
          </w:p>
        </w:tc>
        <w:tc>
          <w:tcPr>
            <w:tcW w:w="2554" w:type="dxa"/>
            <w:noWrap/>
          </w:tcPr>
          <w:p w14:paraId="7C8FDB40">
            <w:pPr>
              <w:tabs>
                <w:tab w:val="right" w:leader="dot" w:pos="9022"/>
              </w:tabs>
              <w:autoSpaceDE w:val="0"/>
              <w:autoSpaceDN w:val="0"/>
              <w:adjustRightInd w:val="0"/>
              <w:spacing w:line="360" w:lineRule="auto"/>
              <w:jc w:val="left"/>
              <w:rPr>
                <w:rFonts w:asciiTheme="majorEastAsia" w:hAnsiTheme="majorEastAsia" w:eastAsiaTheme="majorEastAsia" w:cstheme="majorEastAsia"/>
                <w:bCs/>
                <w:caps/>
                <w:sz w:val="24"/>
              </w:rPr>
            </w:pPr>
          </w:p>
        </w:tc>
      </w:tr>
      <w:tr w14:paraId="2AD08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ign w:val="center"/>
          </w:tcPr>
          <w:p w14:paraId="0404FBDD">
            <w:pPr>
              <w:tabs>
                <w:tab w:val="right" w:leader="dot" w:pos="9022"/>
              </w:tabs>
              <w:autoSpaceDE w:val="0"/>
              <w:autoSpaceDN w:val="0"/>
              <w:adjustRightInd w:val="0"/>
              <w:spacing w:line="360" w:lineRule="auto"/>
              <w:jc w:val="center"/>
              <w:rPr>
                <w:rFonts w:asciiTheme="majorEastAsia" w:hAnsiTheme="majorEastAsia" w:eastAsiaTheme="majorEastAsia" w:cstheme="majorEastAsia"/>
                <w:bCs/>
                <w:caps/>
                <w:sz w:val="24"/>
              </w:rPr>
            </w:pPr>
          </w:p>
        </w:tc>
        <w:tc>
          <w:tcPr>
            <w:tcW w:w="2281" w:type="dxa"/>
            <w:noWrap/>
          </w:tcPr>
          <w:p w14:paraId="23AA0CE0">
            <w:pPr>
              <w:tabs>
                <w:tab w:val="right" w:leader="dot" w:pos="9022"/>
              </w:tabs>
              <w:autoSpaceDE w:val="0"/>
              <w:autoSpaceDN w:val="0"/>
              <w:adjustRightInd w:val="0"/>
              <w:spacing w:line="360" w:lineRule="auto"/>
              <w:jc w:val="left"/>
              <w:rPr>
                <w:rFonts w:asciiTheme="majorEastAsia" w:hAnsiTheme="majorEastAsia" w:eastAsiaTheme="majorEastAsia" w:cstheme="majorEastAsia"/>
                <w:bCs/>
                <w:caps/>
                <w:sz w:val="24"/>
              </w:rPr>
            </w:pPr>
            <w:r>
              <w:rPr>
                <w:rFonts w:hint="eastAsia" w:asciiTheme="majorEastAsia" w:hAnsiTheme="majorEastAsia" w:eastAsiaTheme="majorEastAsia" w:cstheme="majorEastAsia"/>
                <w:bCs/>
                <w:caps/>
                <w:sz w:val="24"/>
              </w:rPr>
              <w:t>传    真</w:t>
            </w:r>
          </w:p>
        </w:tc>
        <w:tc>
          <w:tcPr>
            <w:tcW w:w="5602" w:type="dxa"/>
            <w:gridSpan w:val="4"/>
            <w:noWrap/>
          </w:tcPr>
          <w:p w14:paraId="0D469433">
            <w:pPr>
              <w:tabs>
                <w:tab w:val="right" w:leader="dot" w:pos="9022"/>
              </w:tabs>
              <w:autoSpaceDE w:val="0"/>
              <w:autoSpaceDN w:val="0"/>
              <w:adjustRightInd w:val="0"/>
              <w:spacing w:line="360" w:lineRule="auto"/>
              <w:jc w:val="left"/>
              <w:rPr>
                <w:rFonts w:asciiTheme="majorEastAsia" w:hAnsiTheme="majorEastAsia" w:eastAsiaTheme="majorEastAsia" w:cstheme="majorEastAsia"/>
                <w:bCs/>
                <w:caps/>
                <w:sz w:val="24"/>
              </w:rPr>
            </w:pPr>
          </w:p>
        </w:tc>
      </w:tr>
      <w:tr w14:paraId="194C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ign w:val="center"/>
          </w:tcPr>
          <w:p w14:paraId="66571E70">
            <w:pPr>
              <w:tabs>
                <w:tab w:val="right" w:leader="dot" w:pos="9022"/>
              </w:tabs>
              <w:autoSpaceDE w:val="0"/>
              <w:autoSpaceDN w:val="0"/>
              <w:adjustRightInd w:val="0"/>
              <w:spacing w:line="360" w:lineRule="auto"/>
              <w:jc w:val="center"/>
              <w:rPr>
                <w:rFonts w:asciiTheme="majorEastAsia" w:hAnsiTheme="majorEastAsia" w:eastAsiaTheme="majorEastAsia" w:cstheme="majorEastAsia"/>
                <w:bCs/>
                <w:caps/>
                <w:sz w:val="24"/>
              </w:rPr>
            </w:pPr>
          </w:p>
        </w:tc>
        <w:tc>
          <w:tcPr>
            <w:tcW w:w="2281" w:type="dxa"/>
            <w:noWrap/>
          </w:tcPr>
          <w:p w14:paraId="178514D9">
            <w:pPr>
              <w:tabs>
                <w:tab w:val="right" w:leader="dot" w:pos="9022"/>
              </w:tabs>
              <w:autoSpaceDE w:val="0"/>
              <w:autoSpaceDN w:val="0"/>
              <w:adjustRightInd w:val="0"/>
              <w:spacing w:line="360" w:lineRule="auto"/>
              <w:jc w:val="left"/>
              <w:rPr>
                <w:rFonts w:asciiTheme="majorEastAsia" w:hAnsiTheme="majorEastAsia" w:eastAsiaTheme="majorEastAsia" w:cstheme="majorEastAsia"/>
                <w:bCs/>
                <w:caps/>
                <w:sz w:val="24"/>
              </w:rPr>
            </w:pPr>
            <w:r>
              <w:rPr>
                <w:rFonts w:hint="eastAsia" w:asciiTheme="majorEastAsia" w:hAnsiTheme="majorEastAsia" w:eastAsiaTheme="majorEastAsia" w:cstheme="majorEastAsia"/>
                <w:bCs/>
                <w:caps/>
                <w:sz w:val="24"/>
              </w:rPr>
              <w:t>通讯地址</w:t>
            </w:r>
          </w:p>
        </w:tc>
        <w:tc>
          <w:tcPr>
            <w:tcW w:w="5602" w:type="dxa"/>
            <w:gridSpan w:val="4"/>
            <w:noWrap/>
          </w:tcPr>
          <w:p w14:paraId="2F984B52">
            <w:pPr>
              <w:tabs>
                <w:tab w:val="right" w:leader="dot" w:pos="9022"/>
              </w:tabs>
              <w:autoSpaceDE w:val="0"/>
              <w:autoSpaceDN w:val="0"/>
              <w:adjustRightInd w:val="0"/>
              <w:spacing w:line="360" w:lineRule="auto"/>
              <w:jc w:val="left"/>
              <w:rPr>
                <w:rFonts w:asciiTheme="majorEastAsia" w:hAnsiTheme="majorEastAsia" w:eastAsiaTheme="majorEastAsia" w:cstheme="majorEastAsia"/>
                <w:bCs/>
                <w:caps/>
                <w:sz w:val="24"/>
              </w:rPr>
            </w:pPr>
          </w:p>
        </w:tc>
      </w:tr>
      <w:tr w14:paraId="5CC3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6" w:hRule="atLeast"/>
          <w:jc w:val="center"/>
        </w:trPr>
        <w:tc>
          <w:tcPr>
            <w:tcW w:w="4753" w:type="dxa"/>
            <w:gridSpan w:val="3"/>
            <w:noWrap/>
          </w:tcPr>
          <w:p w14:paraId="2FD7D7ED">
            <w:pPr>
              <w:tabs>
                <w:tab w:val="right" w:leader="dot" w:pos="9022"/>
              </w:tabs>
              <w:autoSpaceDE w:val="0"/>
              <w:autoSpaceDN w:val="0"/>
              <w:adjustRightInd w:val="0"/>
              <w:spacing w:line="360" w:lineRule="auto"/>
              <w:jc w:val="left"/>
              <w:rPr>
                <w:rFonts w:asciiTheme="majorEastAsia" w:hAnsiTheme="majorEastAsia" w:eastAsiaTheme="majorEastAsia" w:cstheme="majorEastAsia"/>
                <w:bCs/>
                <w:caps/>
                <w:sz w:val="24"/>
              </w:rPr>
            </w:pPr>
          </w:p>
          <w:p w14:paraId="658545A2">
            <w:pPr>
              <w:tabs>
                <w:tab w:val="right" w:leader="dot" w:pos="9022"/>
              </w:tabs>
              <w:autoSpaceDE w:val="0"/>
              <w:autoSpaceDN w:val="0"/>
              <w:adjustRightInd w:val="0"/>
              <w:spacing w:line="360" w:lineRule="auto"/>
              <w:jc w:val="center"/>
              <w:rPr>
                <w:rFonts w:asciiTheme="majorEastAsia" w:hAnsiTheme="majorEastAsia" w:eastAsiaTheme="majorEastAsia" w:cstheme="majorEastAsia"/>
                <w:spacing w:val="-4"/>
                <w:sz w:val="24"/>
              </w:rPr>
            </w:pPr>
          </w:p>
          <w:p w14:paraId="4F2937DF">
            <w:pPr>
              <w:tabs>
                <w:tab w:val="right" w:leader="dot" w:pos="9022"/>
              </w:tabs>
              <w:autoSpaceDE w:val="0"/>
              <w:autoSpaceDN w:val="0"/>
              <w:adjustRightInd w:val="0"/>
              <w:spacing w:line="360" w:lineRule="auto"/>
              <w:jc w:val="center"/>
              <w:rPr>
                <w:rFonts w:asciiTheme="majorEastAsia" w:hAnsiTheme="majorEastAsia" w:eastAsiaTheme="majorEastAsia" w:cstheme="majorEastAsia"/>
                <w:spacing w:val="-4"/>
                <w:sz w:val="24"/>
              </w:rPr>
            </w:pPr>
          </w:p>
          <w:p w14:paraId="56AD3E6E">
            <w:pPr>
              <w:tabs>
                <w:tab w:val="right" w:leader="dot" w:pos="9022"/>
              </w:tabs>
              <w:autoSpaceDE w:val="0"/>
              <w:autoSpaceDN w:val="0"/>
              <w:adjustRightInd w:val="0"/>
              <w:spacing w:line="360" w:lineRule="auto"/>
              <w:jc w:val="center"/>
              <w:rPr>
                <w:rFonts w:asciiTheme="majorEastAsia" w:hAnsiTheme="majorEastAsia" w:eastAsiaTheme="majorEastAsia" w:cstheme="majorEastAsia"/>
                <w:bCs/>
                <w:caps/>
                <w:sz w:val="24"/>
              </w:rPr>
            </w:pPr>
            <w:r>
              <w:rPr>
                <w:rFonts w:hint="eastAsia" w:asciiTheme="majorEastAsia" w:hAnsiTheme="majorEastAsia" w:eastAsiaTheme="majorEastAsia" w:cstheme="majorEastAsia"/>
                <w:spacing w:val="-4"/>
                <w:sz w:val="24"/>
              </w:rPr>
              <w:t>法定代表人二代身份证正面复印件或扫描件</w:t>
            </w:r>
          </w:p>
          <w:p w14:paraId="02743504">
            <w:pPr>
              <w:tabs>
                <w:tab w:val="right" w:leader="dot" w:pos="9022"/>
              </w:tabs>
              <w:autoSpaceDE w:val="0"/>
              <w:autoSpaceDN w:val="0"/>
              <w:adjustRightInd w:val="0"/>
              <w:spacing w:line="360" w:lineRule="auto"/>
              <w:jc w:val="center"/>
              <w:rPr>
                <w:rFonts w:asciiTheme="majorEastAsia" w:hAnsiTheme="majorEastAsia" w:eastAsiaTheme="majorEastAsia" w:cstheme="majorEastAsia"/>
                <w:bCs/>
                <w:caps/>
                <w:sz w:val="24"/>
              </w:rPr>
            </w:pPr>
          </w:p>
          <w:p w14:paraId="4365283C">
            <w:pPr>
              <w:tabs>
                <w:tab w:val="right" w:leader="dot" w:pos="9022"/>
              </w:tabs>
              <w:autoSpaceDE w:val="0"/>
              <w:autoSpaceDN w:val="0"/>
              <w:adjustRightInd w:val="0"/>
              <w:spacing w:line="360" w:lineRule="auto"/>
              <w:jc w:val="center"/>
              <w:rPr>
                <w:rFonts w:asciiTheme="majorEastAsia" w:hAnsiTheme="majorEastAsia" w:eastAsiaTheme="majorEastAsia" w:cstheme="majorEastAsia"/>
                <w:bCs/>
                <w:caps/>
                <w:sz w:val="24"/>
              </w:rPr>
            </w:pPr>
          </w:p>
        </w:tc>
        <w:tc>
          <w:tcPr>
            <w:tcW w:w="4627" w:type="dxa"/>
            <w:gridSpan w:val="3"/>
            <w:noWrap/>
          </w:tcPr>
          <w:p w14:paraId="7B469DF0">
            <w:pPr>
              <w:tabs>
                <w:tab w:val="right" w:leader="dot" w:pos="9022"/>
              </w:tabs>
              <w:autoSpaceDE w:val="0"/>
              <w:autoSpaceDN w:val="0"/>
              <w:adjustRightInd w:val="0"/>
              <w:spacing w:line="360" w:lineRule="auto"/>
              <w:jc w:val="center"/>
              <w:rPr>
                <w:rFonts w:asciiTheme="majorEastAsia" w:hAnsiTheme="majorEastAsia" w:eastAsiaTheme="majorEastAsia" w:cstheme="majorEastAsia"/>
                <w:bCs/>
                <w:caps/>
                <w:sz w:val="24"/>
              </w:rPr>
            </w:pPr>
          </w:p>
          <w:p w14:paraId="58403EE6">
            <w:pPr>
              <w:tabs>
                <w:tab w:val="right" w:leader="dot" w:pos="9022"/>
              </w:tabs>
              <w:autoSpaceDE w:val="0"/>
              <w:autoSpaceDN w:val="0"/>
              <w:adjustRightInd w:val="0"/>
              <w:spacing w:line="360" w:lineRule="auto"/>
              <w:jc w:val="center"/>
              <w:rPr>
                <w:rFonts w:asciiTheme="majorEastAsia" w:hAnsiTheme="majorEastAsia" w:eastAsiaTheme="majorEastAsia" w:cstheme="majorEastAsia"/>
                <w:spacing w:val="-4"/>
                <w:sz w:val="24"/>
              </w:rPr>
            </w:pPr>
          </w:p>
          <w:p w14:paraId="5E94588C">
            <w:pPr>
              <w:tabs>
                <w:tab w:val="right" w:leader="dot" w:pos="9022"/>
              </w:tabs>
              <w:autoSpaceDE w:val="0"/>
              <w:autoSpaceDN w:val="0"/>
              <w:adjustRightInd w:val="0"/>
              <w:spacing w:line="360" w:lineRule="auto"/>
              <w:jc w:val="center"/>
              <w:rPr>
                <w:rFonts w:asciiTheme="majorEastAsia" w:hAnsiTheme="majorEastAsia" w:eastAsiaTheme="majorEastAsia" w:cstheme="majorEastAsia"/>
                <w:spacing w:val="-4"/>
                <w:sz w:val="24"/>
              </w:rPr>
            </w:pPr>
          </w:p>
          <w:p w14:paraId="6162DB09">
            <w:pPr>
              <w:tabs>
                <w:tab w:val="right" w:leader="dot" w:pos="9022"/>
              </w:tabs>
              <w:autoSpaceDE w:val="0"/>
              <w:autoSpaceDN w:val="0"/>
              <w:adjustRightInd w:val="0"/>
              <w:spacing w:line="360" w:lineRule="auto"/>
              <w:jc w:val="center"/>
              <w:rPr>
                <w:rFonts w:asciiTheme="majorEastAsia" w:hAnsiTheme="majorEastAsia" w:eastAsiaTheme="majorEastAsia" w:cstheme="majorEastAsia"/>
                <w:bCs/>
                <w:caps/>
                <w:sz w:val="24"/>
              </w:rPr>
            </w:pPr>
            <w:r>
              <w:rPr>
                <w:rFonts w:hint="eastAsia" w:asciiTheme="majorEastAsia" w:hAnsiTheme="majorEastAsia" w:eastAsiaTheme="majorEastAsia" w:cstheme="majorEastAsia"/>
                <w:spacing w:val="-4"/>
                <w:sz w:val="24"/>
              </w:rPr>
              <w:t>法定代表人二代身份证反面复印件或扫描件</w:t>
            </w:r>
          </w:p>
          <w:p w14:paraId="18B8ECCD">
            <w:pPr>
              <w:tabs>
                <w:tab w:val="right" w:leader="dot" w:pos="9022"/>
              </w:tabs>
              <w:autoSpaceDE w:val="0"/>
              <w:autoSpaceDN w:val="0"/>
              <w:adjustRightInd w:val="0"/>
              <w:spacing w:line="360" w:lineRule="auto"/>
              <w:jc w:val="center"/>
              <w:rPr>
                <w:rFonts w:asciiTheme="majorEastAsia" w:hAnsiTheme="majorEastAsia" w:eastAsiaTheme="majorEastAsia" w:cstheme="majorEastAsia"/>
                <w:bCs/>
                <w:caps/>
                <w:sz w:val="24"/>
              </w:rPr>
            </w:pPr>
          </w:p>
        </w:tc>
      </w:tr>
      <w:tr w14:paraId="6ADF4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380" w:type="dxa"/>
            <w:gridSpan w:val="6"/>
            <w:noWrap/>
          </w:tcPr>
          <w:p w14:paraId="412C0B20">
            <w:pPr>
              <w:tabs>
                <w:tab w:val="right" w:leader="dot" w:pos="9022"/>
              </w:tabs>
              <w:autoSpaceDE w:val="0"/>
              <w:autoSpaceDN w:val="0"/>
              <w:adjustRightInd w:val="0"/>
              <w:spacing w:line="360" w:lineRule="auto"/>
              <w:jc w:val="left"/>
              <w:rPr>
                <w:rFonts w:asciiTheme="majorEastAsia" w:hAnsiTheme="majorEastAsia" w:eastAsiaTheme="majorEastAsia" w:cstheme="majorEastAsia"/>
                <w:bCs/>
                <w:caps/>
                <w:sz w:val="24"/>
              </w:rPr>
            </w:pPr>
            <w:r>
              <w:rPr>
                <w:rFonts w:hint="eastAsia" w:asciiTheme="majorEastAsia" w:hAnsiTheme="majorEastAsia" w:eastAsiaTheme="majorEastAsia" w:cstheme="majorEastAsia"/>
                <w:bCs/>
                <w:caps/>
                <w:sz w:val="24"/>
              </w:rPr>
              <w:t>法定代表人签字</w:t>
            </w:r>
            <w:r>
              <w:rPr>
                <w:rFonts w:hint="eastAsia" w:asciiTheme="majorEastAsia" w:hAnsiTheme="majorEastAsia" w:eastAsiaTheme="majorEastAsia" w:cstheme="majorEastAsia"/>
                <w:bCs/>
                <w:caps/>
                <w:sz w:val="24"/>
                <w:lang w:val="en-US" w:eastAsia="zh-CN"/>
              </w:rPr>
              <w:t>或</w:t>
            </w:r>
            <w:r>
              <w:rPr>
                <w:rFonts w:hint="eastAsia" w:asciiTheme="majorEastAsia" w:hAnsiTheme="majorEastAsia" w:eastAsiaTheme="majorEastAsia" w:cstheme="majorEastAsia"/>
                <w:bCs/>
                <w:caps/>
                <w:sz w:val="24"/>
              </w:rPr>
              <w:t>盖章：</w:t>
            </w:r>
          </w:p>
        </w:tc>
      </w:tr>
    </w:tbl>
    <w:p w14:paraId="7CB40F5C">
      <w:pPr>
        <w:spacing w:line="360" w:lineRule="auto"/>
        <w:ind w:right="-161" w:firstLine="2880" w:firstLineChars="1200"/>
        <w:rPr>
          <w:rFonts w:asciiTheme="majorEastAsia" w:hAnsiTheme="majorEastAsia" w:eastAsiaTheme="majorEastAsia" w:cstheme="majorEastAsia"/>
          <w:sz w:val="24"/>
        </w:rPr>
      </w:pPr>
    </w:p>
    <w:p w14:paraId="1145F109">
      <w:pPr>
        <w:ind w:firstLine="5280" w:firstLineChars="2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投标人（盖章）：</w:t>
      </w:r>
    </w:p>
    <w:p w14:paraId="0417501D">
      <w:pPr>
        <w:ind w:firstLine="3360" w:firstLineChars="1400"/>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sz w:val="24"/>
        </w:rPr>
        <w:t>日    期：</w:t>
      </w:r>
      <w:r>
        <w:rPr>
          <w:rFonts w:hint="eastAsia" w:asciiTheme="majorEastAsia" w:hAnsiTheme="majorEastAsia" w:eastAsiaTheme="majorEastAsia" w:cstheme="majorEastAsia"/>
        </w:rPr>
        <w:br w:type="page"/>
      </w:r>
      <w:bookmarkStart w:id="155" w:name="_Toc20979"/>
      <w:r>
        <w:rPr>
          <w:rFonts w:hint="eastAsia" w:asciiTheme="majorEastAsia" w:hAnsiTheme="majorEastAsia" w:eastAsiaTheme="majorEastAsia" w:cstheme="majorEastAsia"/>
          <w:b/>
          <w:bCs/>
          <w:sz w:val="24"/>
        </w:rPr>
        <w:t>4-2、法定代表人授权书</w:t>
      </w:r>
      <w:bookmarkEnd w:id="155"/>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1244"/>
        <w:gridCol w:w="1041"/>
        <w:gridCol w:w="800"/>
        <w:gridCol w:w="631"/>
        <w:gridCol w:w="1432"/>
        <w:gridCol w:w="2649"/>
      </w:tblGrid>
      <w:tr w14:paraId="4D4DB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360" w:type="dxa"/>
            <w:gridSpan w:val="7"/>
            <w:noWrap/>
          </w:tcPr>
          <w:p w14:paraId="7730CA34">
            <w:pPr>
              <w:tabs>
                <w:tab w:val="right" w:leader="dot" w:pos="9022"/>
              </w:tabs>
              <w:autoSpaceDE w:val="0"/>
              <w:autoSpaceDN w:val="0"/>
              <w:adjustRightInd w:val="0"/>
              <w:spacing w:line="360" w:lineRule="auto"/>
              <w:jc w:val="left"/>
              <w:rPr>
                <w:rFonts w:asciiTheme="majorEastAsia" w:hAnsiTheme="majorEastAsia" w:eastAsiaTheme="majorEastAsia" w:cstheme="majorEastAsia"/>
                <w:bCs/>
                <w:caps/>
                <w:sz w:val="24"/>
              </w:rPr>
            </w:pPr>
            <w:r>
              <w:rPr>
                <w:rFonts w:hint="eastAsia" w:asciiTheme="majorEastAsia" w:hAnsiTheme="majorEastAsia" w:eastAsiaTheme="majorEastAsia" w:cstheme="majorEastAsia"/>
                <w:bCs/>
                <w:caps/>
                <w:sz w:val="24"/>
              </w:rPr>
              <w:t xml:space="preserve">致：     （采购人）     </w:t>
            </w:r>
          </w:p>
        </w:tc>
      </w:tr>
      <w:tr w14:paraId="51CFF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noWrap/>
            <w:vAlign w:val="center"/>
          </w:tcPr>
          <w:p w14:paraId="6D667CB9">
            <w:pPr>
              <w:tabs>
                <w:tab w:val="right" w:leader="dot" w:pos="9022"/>
              </w:tabs>
              <w:autoSpaceDE w:val="0"/>
              <w:autoSpaceDN w:val="0"/>
              <w:adjustRightInd w:val="0"/>
              <w:spacing w:line="360" w:lineRule="auto"/>
              <w:jc w:val="center"/>
              <w:rPr>
                <w:rFonts w:asciiTheme="majorEastAsia" w:hAnsiTheme="majorEastAsia" w:eastAsiaTheme="majorEastAsia" w:cstheme="majorEastAsia"/>
                <w:bCs/>
                <w:caps/>
                <w:sz w:val="24"/>
              </w:rPr>
            </w:pPr>
            <w:r>
              <w:rPr>
                <w:rFonts w:hint="eastAsia" w:asciiTheme="majorEastAsia" w:hAnsiTheme="majorEastAsia" w:eastAsiaTheme="majorEastAsia" w:cstheme="majorEastAsia"/>
                <w:bCs/>
                <w:caps/>
                <w:sz w:val="24"/>
              </w:rPr>
              <w:t>被授</w:t>
            </w:r>
          </w:p>
          <w:p w14:paraId="66BDAFAB">
            <w:pPr>
              <w:tabs>
                <w:tab w:val="right" w:leader="dot" w:pos="9022"/>
              </w:tabs>
              <w:autoSpaceDE w:val="0"/>
              <w:autoSpaceDN w:val="0"/>
              <w:adjustRightInd w:val="0"/>
              <w:spacing w:line="360" w:lineRule="auto"/>
              <w:jc w:val="center"/>
              <w:rPr>
                <w:rFonts w:asciiTheme="majorEastAsia" w:hAnsiTheme="majorEastAsia" w:eastAsiaTheme="majorEastAsia" w:cstheme="majorEastAsia"/>
                <w:bCs/>
                <w:caps/>
                <w:sz w:val="24"/>
              </w:rPr>
            </w:pPr>
            <w:r>
              <w:rPr>
                <w:rFonts w:hint="eastAsia" w:asciiTheme="majorEastAsia" w:hAnsiTheme="majorEastAsia" w:eastAsiaTheme="majorEastAsia" w:cstheme="majorEastAsia"/>
                <w:bCs/>
                <w:caps/>
                <w:sz w:val="24"/>
              </w:rPr>
              <w:t>权项</w:t>
            </w:r>
          </w:p>
          <w:p w14:paraId="38EEA4CA">
            <w:pPr>
              <w:tabs>
                <w:tab w:val="right" w:leader="dot" w:pos="9022"/>
              </w:tabs>
              <w:autoSpaceDE w:val="0"/>
              <w:autoSpaceDN w:val="0"/>
              <w:adjustRightInd w:val="0"/>
              <w:spacing w:line="360" w:lineRule="auto"/>
              <w:jc w:val="center"/>
              <w:rPr>
                <w:rFonts w:asciiTheme="majorEastAsia" w:hAnsiTheme="majorEastAsia" w:eastAsiaTheme="majorEastAsia" w:cstheme="majorEastAsia"/>
                <w:bCs/>
                <w:caps/>
                <w:sz w:val="24"/>
              </w:rPr>
            </w:pPr>
            <w:r>
              <w:rPr>
                <w:rFonts w:hint="eastAsia" w:asciiTheme="majorEastAsia" w:hAnsiTheme="majorEastAsia" w:eastAsiaTheme="majorEastAsia" w:cstheme="majorEastAsia"/>
                <w:bCs/>
                <w:caps/>
                <w:sz w:val="24"/>
              </w:rPr>
              <w:t>目与</w:t>
            </w:r>
          </w:p>
          <w:p w14:paraId="72477ED2">
            <w:pPr>
              <w:tabs>
                <w:tab w:val="right" w:leader="dot" w:pos="9022"/>
              </w:tabs>
              <w:autoSpaceDE w:val="0"/>
              <w:autoSpaceDN w:val="0"/>
              <w:adjustRightInd w:val="0"/>
              <w:spacing w:line="360" w:lineRule="auto"/>
              <w:jc w:val="center"/>
              <w:rPr>
                <w:rFonts w:asciiTheme="majorEastAsia" w:hAnsiTheme="majorEastAsia" w:eastAsiaTheme="majorEastAsia" w:cstheme="majorEastAsia"/>
                <w:bCs/>
                <w:caps/>
                <w:sz w:val="24"/>
              </w:rPr>
            </w:pPr>
            <w:r>
              <w:rPr>
                <w:rFonts w:hint="eastAsia" w:asciiTheme="majorEastAsia" w:hAnsiTheme="majorEastAsia" w:eastAsiaTheme="majorEastAsia" w:cstheme="majorEastAsia"/>
                <w:bCs/>
                <w:caps/>
                <w:sz w:val="24"/>
              </w:rPr>
              <w:t>内容</w:t>
            </w:r>
          </w:p>
        </w:tc>
        <w:tc>
          <w:tcPr>
            <w:tcW w:w="1244" w:type="dxa"/>
            <w:noWrap/>
          </w:tcPr>
          <w:p w14:paraId="20AEDD43">
            <w:pPr>
              <w:tabs>
                <w:tab w:val="right" w:leader="dot" w:pos="9022"/>
              </w:tabs>
              <w:autoSpaceDE w:val="0"/>
              <w:autoSpaceDN w:val="0"/>
              <w:adjustRightInd w:val="0"/>
              <w:spacing w:line="360" w:lineRule="auto"/>
              <w:jc w:val="left"/>
              <w:rPr>
                <w:rFonts w:asciiTheme="majorEastAsia" w:hAnsiTheme="majorEastAsia" w:eastAsiaTheme="majorEastAsia" w:cstheme="majorEastAsia"/>
                <w:bCs/>
                <w:caps/>
                <w:sz w:val="24"/>
              </w:rPr>
            </w:pPr>
            <w:r>
              <w:rPr>
                <w:rFonts w:hint="eastAsia" w:asciiTheme="majorEastAsia" w:hAnsiTheme="majorEastAsia" w:eastAsiaTheme="majorEastAsia" w:cstheme="majorEastAsia"/>
                <w:bCs/>
                <w:caps/>
                <w:sz w:val="24"/>
              </w:rPr>
              <w:t>项目名称</w:t>
            </w:r>
          </w:p>
        </w:tc>
        <w:tc>
          <w:tcPr>
            <w:tcW w:w="6553" w:type="dxa"/>
            <w:gridSpan w:val="5"/>
            <w:noWrap/>
          </w:tcPr>
          <w:p w14:paraId="3B023AEB">
            <w:pPr>
              <w:tabs>
                <w:tab w:val="right" w:leader="dot" w:pos="9022"/>
              </w:tabs>
              <w:autoSpaceDE w:val="0"/>
              <w:autoSpaceDN w:val="0"/>
              <w:adjustRightInd w:val="0"/>
              <w:spacing w:line="360" w:lineRule="auto"/>
              <w:jc w:val="left"/>
              <w:rPr>
                <w:rFonts w:asciiTheme="majorEastAsia" w:hAnsiTheme="majorEastAsia" w:eastAsiaTheme="majorEastAsia" w:cstheme="majorEastAsia"/>
                <w:bCs/>
                <w:caps/>
                <w:sz w:val="24"/>
              </w:rPr>
            </w:pPr>
          </w:p>
        </w:tc>
      </w:tr>
      <w:tr w14:paraId="57AA7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tcPr>
          <w:p w14:paraId="628EE26E">
            <w:pPr>
              <w:tabs>
                <w:tab w:val="right" w:leader="dot" w:pos="9022"/>
              </w:tabs>
              <w:autoSpaceDE w:val="0"/>
              <w:autoSpaceDN w:val="0"/>
              <w:adjustRightInd w:val="0"/>
              <w:spacing w:line="360" w:lineRule="auto"/>
              <w:jc w:val="left"/>
              <w:rPr>
                <w:rFonts w:asciiTheme="majorEastAsia" w:hAnsiTheme="majorEastAsia" w:eastAsiaTheme="majorEastAsia" w:cstheme="majorEastAsia"/>
                <w:bCs/>
                <w:caps/>
                <w:sz w:val="24"/>
              </w:rPr>
            </w:pPr>
          </w:p>
        </w:tc>
        <w:tc>
          <w:tcPr>
            <w:tcW w:w="1244" w:type="dxa"/>
            <w:noWrap/>
          </w:tcPr>
          <w:p w14:paraId="38CD278D">
            <w:pPr>
              <w:tabs>
                <w:tab w:val="right" w:leader="dot" w:pos="9022"/>
              </w:tabs>
              <w:autoSpaceDE w:val="0"/>
              <w:autoSpaceDN w:val="0"/>
              <w:adjustRightInd w:val="0"/>
              <w:spacing w:line="360" w:lineRule="auto"/>
              <w:jc w:val="left"/>
              <w:rPr>
                <w:rFonts w:asciiTheme="majorEastAsia" w:hAnsiTheme="majorEastAsia" w:eastAsiaTheme="majorEastAsia" w:cstheme="majorEastAsia"/>
                <w:bCs/>
                <w:caps/>
                <w:sz w:val="24"/>
              </w:rPr>
            </w:pPr>
            <w:r>
              <w:rPr>
                <w:rFonts w:hint="eastAsia" w:asciiTheme="majorEastAsia" w:hAnsiTheme="majorEastAsia" w:eastAsiaTheme="majorEastAsia" w:cstheme="majorEastAsia"/>
                <w:bCs/>
                <w:caps/>
                <w:sz w:val="24"/>
              </w:rPr>
              <w:t>文件编号</w:t>
            </w:r>
          </w:p>
        </w:tc>
        <w:tc>
          <w:tcPr>
            <w:tcW w:w="6553" w:type="dxa"/>
            <w:gridSpan w:val="5"/>
            <w:noWrap/>
          </w:tcPr>
          <w:p w14:paraId="5177430F">
            <w:pPr>
              <w:tabs>
                <w:tab w:val="right" w:leader="dot" w:pos="9022"/>
              </w:tabs>
              <w:autoSpaceDE w:val="0"/>
              <w:autoSpaceDN w:val="0"/>
              <w:adjustRightInd w:val="0"/>
              <w:spacing w:line="360" w:lineRule="auto"/>
              <w:jc w:val="left"/>
              <w:rPr>
                <w:rFonts w:asciiTheme="majorEastAsia" w:hAnsiTheme="majorEastAsia" w:eastAsiaTheme="majorEastAsia" w:cstheme="majorEastAsia"/>
                <w:bCs/>
                <w:caps/>
                <w:sz w:val="24"/>
              </w:rPr>
            </w:pPr>
          </w:p>
        </w:tc>
      </w:tr>
      <w:tr w14:paraId="2029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563" w:type="dxa"/>
            <w:vMerge w:val="continue"/>
            <w:noWrap/>
          </w:tcPr>
          <w:p w14:paraId="7F8B8BCD">
            <w:pPr>
              <w:tabs>
                <w:tab w:val="right" w:leader="dot" w:pos="9022"/>
              </w:tabs>
              <w:autoSpaceDE w:val="0"/>
              <w:autoSpaceDN w:val="0"/>
              <w:adjustRightInd w:val="0"/>
              <w:spacing w:line="360" w:lineRule="auto"/>
              <w:jc w:val="left"/>
              <w:rPr>
                <w:rFonts w:asciiTheme="majorEastAsia" w:hAnsiTheme="majorEastAsia" w:eastAsiaTheme="majorEastAsia" w:cstheme="majorEastAsia"/>
                <w:bCs/>
                <w:caps/>
                <w:sz w:val="24"/>
              </w:rPr>
            </w:pPr>
          </w:p>
        </w:tc>
        <w:tc>
          <w:tcPr>
            <w:tcW w:w="1244" w:type="dxa"/>
            <w:noWrap/>
            <w:vAlign w:val="center"/>
          </w:tcPr>
          <w:p w14:paraId="0BCB5C35">
            <w:pPr>
              <w:tabs>
                <w:tab w:val="right" w:leader="dot" w:pos="9022"/>
              </w:tabs>
              <w:autoSpaceDE w:val="0"/>
              <w:autoSpaceDN w:val="0"/>
              <w:adjustRightInd w:val="0"/>
              <w:spacing w:line="360" w:lineRule="auto"/>
              <w:jc w:val="center"/>
              <w:rPr>
                <w:rFonts w:asciiTheme="majorEastAsia" w:hAnsiTheme="majorEastAsia" w:eastAsiaTheme="majorEastAsia" w:cstheme="majorEastAsia"/>
                <w:bCs/>
                <w:caps/>
                <w:sz w:val="24"/>
              </w:rPr>
            </w:pPr>
            <w:r>
              <w:rPr>
                <w:rFonts w:hint="eastAsia" w:asciiTheme="majorEastAsia" w:hAnsiTheme="majorEastAsia" w:eastAsiaTheme="majorEastAsia" w:cstheme="majorEastAsia"/>
                <w:bCs/>
                <w:caps/>
                <w:sz w:val="24"/>
              </w:rPr>
              <w:t>授权范围</w:t>
            </w:r>
          </w:p>
        </w:tc>
        <w:tc>
          <w:tcPr>
            <w:tcW w:w="6553" w:type="dxa"/>
            <w:gridSpan w:val="5"/>
            <w:noWrap/>
          </w:tcPr>
          <w:p w14:paraId="1005ECC1">
            <w:pPr>
              <w:tabs>
                <w:tab w:val="right" w:leader="dot" w:pos="9022"/>
              </w:tabs>
              <w:autoSpaceDE w:val="0"/>
              <w:autoSpaceDN w:val="0"/>
              <w:adjustRightInd w:val="0"/>
              <w:spacing w:line="360" w:lineRule="auto"/>
              <w:jc w:val="left"/>
              <w:rPr>
                <w:rFonts w:asciiTheme="majorEastAsia" w:hAnsiTheme="majorEastAsia" w:eastAsiaTheme="majorEastAsia" w:cstheme="majorEastAsia"/>
                <w:bCs/>
                <w:caps/>
                <w:sz w:val="24"/>
              </w:rPr>
            </w:pPr>
            <w:r>
              <w:rPr>
                <w:rFonts w:hint="eastAsia" w:asciiTheme="majorEastAsia" w:hAnsiTheme="majorEastAsia" w:eastAsiaTheme="majorEastAsia" w:cstheme="majorEastAsia"/>
                <w:bCs/>
                <w:caps/>
                <w:sz w:val="24"/>
              </w:rPr>
              <w:t>全权办理本次采购项目的投标、联系、洽谈、签约、执行等具体事务，签署全部有关文件、文书、协议及合同。</w:t>
            </w:r>
          </w:p>
        </w:tc>
      </w:tr>
      <w:tr w14:paraId="0C0F5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tcPr>
          <w:p w14:paraId="1760DD5E">
            <w:pPr>
              <w:tabs>
                <w:tab w:val="right" w:leader="dot" w:pos="9022"/>
              </w:tabs>
              <w:autoSpaceDE w:val="0"/>
              <w:autoSpaceDN w:val="0"/>
              <w:adjustRightInd w:val="0"/>
              <w:spacing w:line="360" w:lineRule="auto"/>
              <w:jc w:val="left"/>
              <w:rPr>
                <w:rFonts w:asciiTheme="majorEastAsia" w:hAnsiTheme="majorEastAsia" w:eastAsiaTheme="majorEastAsia" w:cstheme="majorEastAsia"/>
                <w:bCs/>
                <w:caps/>
                <w:sz w:val="24"/>
              </w:rPr>
            </w:pPr>
          </w:p>
        </w:tc>
        <w:tc>
          <w:tcPr>
            <w:tcW w:w="1244" w:type="dxa"/>
            <w:noWrap/>
          </w:tcPr>
          <w:p w14:paraId="1E5A8AFB">
            <w:pPr>
              <w:tabs>
                <w:tab w:val="right" w:leader="dot" w:pos="9022"/>
              </w:tabs>
              <w:autoSpaceDE w:val="0"/>
              <w:autoSpaceDN w:val="0"/>
              <w:adjustRightInd w:val="0"/>
              <w:spacing w:line="360" w:lineRule="auto"/>
              <w:jc w:val="left"/>
              <w:rPr>
                <w:rFonts w:asciiTheme="majorEastAsia" w:hAnsiTheme="majorEastAsia" w:eastAsiaTheme="majorEastAsia" w:cstheme="majorEastAsia"/>
                <w:bCs/>
                <w:caps/>
                <w:sz w:val="24"/>
              </w:rPr>
            </w:pPr>
            <w:r>
              <w:rPr>
                <w:rFonts w:hint="eastAsia" w:asciiTheme="majorEastAsia" w:hAnsiTheme="majorEastAsia" w:eastAsiaTheme="majorEastAsia" w:cstheme="majorEastAsia"/>
                <w:bCs/>
                <w:caps/>
                <w:sz w:val="24"/>
              </w:rPr>
              <w:t>法律责任</w:t>
            </w:r>
          </w:p>
        </w:tc>
        <w:tc>
          <w:tcPr>
            <w:tcW w:w="6553" w:type="dxa"/>
            <w:gridSpan w:val="5"/>
            <w:noWrap/>
          </w:tcPr>
          <w:p w14:paraId="4D0158E2">
            <w:pPr>
              <w:tabs>
                <w:tab w:val="right" w:leader="dot" w:pos="9022"/>
              </w:tabs>
              <w:autoSpaceDE w:val="0"/>
              <w:autoSpaceDN w:val="0"/>
              <w:adjustRightInd w:val="0"/>
              <w:spacing w:line="360" w:lineRule="auto"/>
              <w:jc w:val="left"/>
              <w:rPr>
                <w:rFonts w:asciiTheme="majorEastAsia" w:hAnsiTheme="majorEastAsia" w:eastAsiaTheme="majorEastAsia" w:cstheme="majorEastAsia"/>
                <w:bCs/>
                <w:caps/>
                <w:sz w:val="24"/>
              </w:rPr>
            </w:pPr>
            <w:r>
              <w:rPr>
                <w:rFonts w:hint="eastAsia" w:asciiTheme="majorEastAsia" w:hAnsiTheme="majorEastAsia" w:eastAsiaTheme="majorEastAsia" w:cstheme="majorEastAsia"/>
                <w:bCs/>
                <w:caps/>
                <w:sz w:val="24"/>
              </w:rPr>
              <w:t>本公司对被授权人在本项目中的签名承担全部法律责任。</w:t>
            </w:r>
          </w:p>
        </w:tc>
      </w:tr>
      <w:tr w14:paraId="59F1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tcPr>
          <w:p w14:paraId="4D6FD64C">
            <w:pPr>
              <w:tabs>
                <w:tab w:val="right" w:leader="dot" w:pos="9022"/>
              </w:tabs>
              <w:autoSpaceDE w:val="0"/>
              <w:autoSpaceDN w:val="0"/>
              <w:adjustRightInd w:val="0"/>
              <w:spacing w:line="360" w:lineRule="auto"/>
              <w:jc w:val="left"/>
              <w:rPr>
                <w:rFonts w:asciiTheme="majorEastAsia" w:hAnsiTheme="majorEastAsia" w:eastAsiaTheme="majorEastAsia" w:cstheme="majorEastAsia"/>
                <w:bCs/>
                <w:caps/>
                <w:sz w:val="24"/>
              </w:rPr>
            </w:pPr>
          </w:p>
        </w:tc>
        <w:tc>
          <w:tcPr>
            <w:tcW w:w="1244" w:type="dxa"/>
            <w:noWrap/>
            <w:vAlign w:val="center"/>
          </w:tcPr>
          <w:p w14:paraId="5FE4AE7C">
            <w:pPr>
              <w:tabs>
                <w:tab w:val="right" w:leader="dot" w:pos="9022"/>
              </w:tabs>
              <w:autoSpaceDE w:val="0"/>
              <w:autoSpaceDN w:val="0"/>
              <w:adjustRightInd w:val="0"/>
              <w:spacing w:line="360" w:lineRule="auto"/>
              <w:rPr>
                <w:rFonts w:asciiTheme="majorEastAsia" w:hAnsiTheme="majorEastAsia" w:eastAsiaTheme="majorEastAsia" w:cstheme="majorEastAsia"/>
                <w:bCs/>
                <w:caps/>
                <w:sz w:val="24"/>
              </w:rPr>
            </w:pPr>
            <w:r>
              <w:rPr>
                <w:rFonts w:hint="eastAsia" w:asciiTheme="majorEastAsia" w:hAnsiTheme="majorEastAsia" w:eastAsiaTheme="majorEastAsia" w:cstheme="majorEastAsia"/>
                <w:bCs/>
                <w:caps/>
                <w:sz w:val="24"/>
              </w:rPr>
              <w:t>授权期限</w:t>
            </w:r>
          </w:p>
        </w:tc>
        <w:tc>
          <w:tcPr>
            <w:tcW w:w="6553" w:type="dxa"/>
            <w:gridSpan w:val="5"/>
            <w:noWrap/>
            <w:vAlign w:val="center"/>
          </w:tcPr>
          <w:p w14:paraId="75F85780">
            <w:pPr>
              <w:tabs>
                <w:tab w:val="right" w:leader="dot" w:pos="9022"/>
              </w:tabs>
              <w:autoSpaceDE w:val="0"/>
              <w:autoSpaceDN w:val="0"/>
              <w:adjustRightInd w:val="0"/>
              <w:spacing w:line="360" w:lineRule="auto"/>
              <w:rPr>
                <w:rFonts w:asciiTheme="majorEastAsia" w:hAnsiTheme="majorEastAsia" w:eastAsiaTheme="majorEastAsia" w:cstheme="majorEastAsia"/>
                <w:bCs/>
                <w:caps/>
                <w:sz w:val="24"/>
              </w:rPr>
            </w:pPr>
            <w:r>
              <w:rPr>
                <w:rFonts w:hint="eastAsia" w:asciiTheme="majorEastAsia" w:hAnsiTheme="majorEastAsia" w:eastAsiaTheme="majorEastAsia" w:cstheme="majorEastAsia"/>
                <w:bCs/>
                <w:caps/>
                <w:sz w:val="24"/>
              </w:rPr>
              <w:t>本授权书自提交投标文件的截止之日起</w:t>
            </w:r>
            <w:r>
              <w:rPr>
                <w:rFonts w:hint="eastAsia" w:asciiTheme="majorEastAsia" w:hAnsiTheme="majorEastAsia" w:eastAsiaTheme="majorEastAsia" w:cstheme="majorEastAsia"/>
                <w:bCs/>
                <w:caps/>
                <w:sz w:val="24"/>
                <w:u w:val="single"/>
                <w:lang w:val="en-US" w:eastAsia="zh-CN"/>
              </w:rPr>
              <w:t xml:space="preserve"> </w:t>
            </w:r>
            <w:r>
              <w:rPr>
                <w:rFonts w:hint="eastAsia" w:asciiTheme="majorEastAsia" w:hAnsiTheme="majorEastAsia" w:eastAsiaTheme="majorEastAsia" w:cstheme="majorEastAsia"/>
                <w:bCs/>
                <w:caps/>
                <w:sz w:val="24"/>
              </w:rPr>
              <w:t>个日历日</w:t>
            </w:r>
          </w:p>
        </w:tc>
      </w:tr>
      <w:tr w14:paraId="5CF1B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noWrap/>
            <w:vAlign w:val="center"/>
          </w:tcPr>
          <w:p w14:paraId="44CB1165">
            <w:pPr>
              <w:tabs>
                <w:tab w:val="right" w:leader="dot" w:pos="9022"/>
              </w:tabs>
              <w:autoSpaceDE w:val="0"/>
              <w:autoSpaceDN w:val="0"/>
              <w:adjustRightInd w:val="0"/>
              <w:spacing w:line="360" w:lineRule="auto"/>
              <w:jc w:val="center"/>
              <w:rPr>
                <w:rFonts w:asciiTheme="majorEastAsia" w:hAnsiTheme="majorEastAsia" w:eastAsiaTheme="majorEastAsia" w:cstheme="majorEastAsia"/>
                <w:bCs/>
                <w:caps/>
                <w:sz w:val="24"/>
              </w:rPr>
            </w:pPr>
            <w:r>
              <w:rPr>
                <w:rFonts w:hint="eastAsia" w:asciiTheme="majorEastAsia" w:hAnsiTheme="majorEastAsia" w:eastAsiaTheme="majorEastAsia" w:cstheme="majorEastAsia"/>
                <w:bCs/>
                <w:caps/>
                <w:sz w:val="24"/>
              </w:rPr>
              <w:t>企业信息</w:t>
            </w:r>
          </w:p>
        </w:tc>
        <w:tc>
          <w:tcPr>
            <w:tcW w:w="2285" w:type="dxa"/>
            <w:gridSpan w:val="2"/>
            <w:noWrap/>
          </w:tcPr>
          <w:p w14:paraId="66E51E40">
            <w:pPr>
              <w:tabs>
                <w:tab w:val="right" w:leader="dot" w:pos="9022"/>
              </w:tabs>
              <w:autoSpaceDE w:val="0"/>
              <w:autoSpaceDN w:val="0"/>
              <w:adjustRightInd w:val="0"/>
              <w:spacing w:line="360" w:lineRule="auto"/>
              <w:rPr>
                <w:rFonts w:asciiTheme="majorEastAsia" w:hAnsiTheme="majorEastAsia" w:eastAsiaTheme="majorEastAsia" w:cstheme="majorEastAsia"/>
                <w:bCs/>
                <w:caps/>
                <w:sz w:val="24"/>
              </w:rPr>
            </w:pPr>
            <w:r>
              <w:rPr>
                <w:rFonts w:hint="eastAsia" w:asciiTheme="majorEastAsia" w:hAnsiTheme="majorEastAsia" w:eastAsiaTheme="majorEastAsia" w:cstheme="majorEastAsia"/>
                <w:bCs/>
                <w:caps/>
                <w:sz w:val="24"/>
              </w:rPr>
              <w:t xml:space="preserve">企 业 名 称 </w:t>
            </w:r>
          </w:p>
        </w:tc>
        <w:tc>
          <w:tcPr>
            <w:tcW w:w="5512" w:type="dxa"/>
            <w:gridSpan w:val="4"/>
            <w:noWrap/>
            <w:vAlign w:val="center"/>
          </w:tcPr>
          <w:p w14:paraId="0A02EBA8">
            <w:pPr>
              <w:tabs>
                <w:tab w:val="right" w:leader="dot" w:pos="9022"/>
              </w:tabs>
              <w:autoSpaceDE w:val="0"/>
              <w:autoSpaceDN w:val="0"/>
              <w:adjustRightInd w:val="0"/>
              <w:spacing w:line="360" w:lineRule="auto"/>
              <w:rPr>
                <w:rFonts w:asciiTheme="majorEastAsia" w:hAnsiTheme="majorEastAsia" w:eastAsiaTheme="majorEastAsia" w:cstheme="majorEastAsia"/>
                <w:bCs/>
                <w:caps/>
                <w:sz w:val="24"/>
              </w:rPr>
            </w:pPr>
          </w:p>
        </w:tc>
      </w:tr>
      <w:tr w14:paraId="13889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tcPr>
          <w:p w14:paraId="29D2831C">
            <w:pPr>
              <w:tabs>
                <w:tab w:val="right" w:leader="dot" w:pos="9022"/>
              </w:tabs>
              <w:autoSpaceDE w:val="0"/>
              <w:autoSpaceDN w:val="0"/>
              <w:adjustRightInd w:val="0"/>
              <w:spacing w:line="360" w:lineRule="auto"/>
              <w:jc w:val="left"/>
              <w:rPr>
                <w:rFonts w:asciiTheme="majorEastAsia" w:hAnsiTheme="majorEastAsia" w:eastAsiaTheme="majorEastAsia" w:cstheme="majorEastAsia"/>
                <w:bCs/>
                <w:caps/>
                <w:sz w:val="24"/>
              </w:rPr>
            </w:pPr>
          </w:p>
        </w:tc>
        <w:tc>
          <w:tcPr>
            <w:tcW w:w="2285" w:type="dxa"/>
            <w:gridSpan w:val="2"/>
            <w:noWrap/>
          </w:tcPr>
          <w:p w14:paraId="68292C7D">
            <w:pPr>
              <w:tabs>
                <w:tab w:val="right" w:leader="dot" w:pos="9022"/>
              </w:tabs>
              <w:autoSpaceDE w:val="0"/>
              <w:autoSpaceDN w:val="0"/>
              <w:adjustRightInd w:val="0"/>
              <w:spacing w:line="360" w:lineRule="auto"/>
              <w:rPr>
                <w:rFonts w:asciiTheme="majorEastAsia" w:hAnsiTheme="majorEastAsia" w:eastAsiaTheme="majorEastAsia" w:cstheme="majorEastAsia"/>
                <w:bCs/>
                <w:caps/>
                <w:sz w:val="24"/>
              </w:rPr>
            </w:pPr>
            <w:r>
              <w:rPr>
                <w:rFonts w:hint="eastAsia" w:asciiTheme="majorEastAsia" w:hAnsiTheme="majorEastAsia" w:eastAsiaTheme="majorEastAsia" w:cstheme="majorEastAsia"/>
                <w:bCs/>
                <w:caps/>
                <w:sz w:val="24"/>
              </w:rPr>
              <w:t>法 定 地 址</w:t>
            </w:r>
          </w:p>
        </w:tc>
        <w:tc>
          <w:tcPr>
            <w:tcW w:w="5512" w:type="dxa"/>
            <w:gridSpan w:val="4"/>
            <w:noWrap/>
            <w:vAlign w:val="center"/>
          </w:tcPr>
          <w:p w14:paraId="4E7CC407">
            <w:pPr>
              <w:tabs>
                <w:tab w:val="right" w:leader="dot" w:pos="9022"/>
              </w:tabs>
              <w:autoSpaceDE w:val="0"/>
              <w:autoSpaceDN w:val="0"/>
              <w:adjustRightInd w:val="0"/>
              <w:spacing w:line="360" w:lineRule="auto"/>
              <w:rPr>
                <w:rFonts w:asciiTheme="majorEastAsia" w:hAnsiTheme="majorEastAsia" w:eastAsiaTheme="majorEastAsia" w:cstheme="majorEastAsia"/>
                <w:bCs/>
                <w:caps/>
                <w:sz w:val="24"/>
              </w:rPr>
            </w:pPr>
          </w:p>
        </w:tc>
      </w:tr>
      <w:tr w14:paraId="2DA8B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tcPr>
          <w:p w14:paraId="3973CB2E">
            <w:pPr>
              <w:tabs>
                <w:tab w:val="right" w:leader="dot" w:pos="9022"/>
              </w:tabs>
              <w:autoSpaceDE w:val="0"/>
              <w:autoSpaceDN w:val="0"/>
              <w:adjustRightInd w:val="0"/>
              <w:spacing w:line="360" w:lineRule="auto"/>
              <w:jc w:val="left"/>
              <w:rPr>
                <w:rFonts w:asciiTheme="majorEastAsia" w:hAnsiTheme="majorEastAsia" w:eastAsiaTheme="majorEastAsia" w:cstheme="majorEastAsia"/>
                <w:bCs/>
                <w:caps/>
                <w:sz w:val="24"/>
              </w:rPr>
            </w:pPr>
          </w:p>
        </w:tc>
        <w:tc>
          <w:tcPr>
            <w:tcW w:w="2285" w:type="dxa"/>
            <w:gridSpan w:val="2"/>
            <w:noWrap/>
          </w:tcPr>
          <w:p w14:paraId="71149720">
            <w:pPr>
              <w:tabs>
                <w:tab w:val="right" w:leader="dot" w:pos="9022"/>
              </w:tabs>
              <w:autoSpaceDE w:val="0"/>
              <w:autoSpaceDN w:val="0"/>
              <w:adjustRightInd w:val="0"/>
              <w:spacing w:line="360" w:lineRule="auto"/>
              <w:rPr>
                <w:rFonts w:asciiTheme="majorEastAsia" w:hAnsiTheme="majorEastAsia" w:eastAsiaTheme="majorEastAsia" w:cstheme="majorEastAsia"/>
                <w:bCs/>
                <w:caps/>
                <w:sz w:val="24"/>
              </w:rPr>
            </w:pPr>
            <w:r>
              <w:rPr>
                <w:rFonts w:hint="eastAsia" w:asciiTheme="majorEastAsia" w:hAnsiTheme="majorEastAsia" w:eastAsiaTheme="majorEastAsia" w:cstheme="majorEastAsia"/>
                <w:bCs/>
                <w:caps/>
                <w:sz w:val="24"/>
              </w:rPr>
              <w:t>统一社会信用代码</w:t>
            </w:r>
          </w:p>
        </w:tc>
        <w:tc>
          <w:tcPr>
            <w:tcW w:w="5512" w:type="dxa"/>
            <w:gridSpan w:val="4"/>
            <w:noWrap/>
            <w:vAlign w:val="center"/>
          </w:tcPr>
          <w:p w14:paraId="2EEF2931">
            <w:pPr>
              <w:tabs>
                <w:tab w:val="right" w:leader="dot" w:pos="9022"/>
              </w:tabs>
              <w:autoSpaceDE w:val="0"/>
              <w:autoSpaceDN w:val="0"/>
              <w:adjustRightInd w:val="0"/>
              <w:spacing w:line="360" w:lineRule="auto"/>
              <w:rPr>
                <w:rFonts w:asciiTheme="majorEastAsia" w:hAnsiTheme="majorEastAsia" w:eastAsiaTheme="majorEastAsia" w:cstheme="majorEastAsia"/>
                <w:bCs/>
                <w:caps/>
                <w:sz w:val="24"/>
              </w:rPr>
            </w:pPr>
          </w:p>
        </w:tc>
      </w:tr>
      <w:tr w14:paraId="0494B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noWrap/>
            <w:vAlign w:val="center"/>
          </w:tcPr>
          <w:p w14:paraId="03673D5B">
            <w:pPr>
              <w:tabs>
                <w:tab w:val="right" w:leader="dot" w:pos="9022"/>
              </w:tabs>
              <w:autoSpaceDE w:val="0"/>
              <w:autoSpaceDN w:val="0"/>
              <w:adjustRightInd w:val="0"/>
              <w:spacing w:line="360" w:lineRule="auto"/>
              <w:rPr>
                <w:rFonts w:asciiTheme="majorEastAsia" w:hAnsiTheme="majorEastAsia" w:eastAsiaTheme="majorEastAsia" w:cstheme="majorEastAsia"/>
                <w:bCs/>
                <w:caps/>
                <w:sz w:val="24"/>
              </w:rPr>
            </w:pPr>
            <w:r>
              <w:rPr>
                <w:rFonts w:hint="eastAsia" w:asciiTheme="majorEastAsia" w:hAnsiTheme="majorEastAsia" w:eastAsiaTheme="majorEastAsia" w:cstheme="majorEastAsia"/>
                <w:bCs/>
                <w:caps/>
                <w:sz w:val="24"/>
              </w:rPr>
              <w:t>法定代表人</w:t>
            </w:r>
          </w:p>
        </w:tc>
        <w:tc>
          <w:tcPr>
            <w:tcW w:w="1244" w:type="dxa"/>
            <w:noWrap/>
            <w:vAlign w:val="center"/>
          </w:tcPr>
          <w:p w14:paraId="4A7E5973">
            <w:pPr>
              <w:tabs>
                <w:tab w:val="right" w:leader="dot" w:pos="9022"/>
              </w:tabs>
              <w:autoSpaceDE w:val="0"/>
              <w:autoSpaceDN w:val="0"/>
              <w:adjustRightInd w:val="0"/>
              <w:spacing w:line="360" w:lineRule="auto"/>
              <w:jc w:val="center"/>
              <w:rPr>
                <w:rFonts w:asciiTheme="majorEastAsia" w:hAnsiTheme="majorEastAsia" w:eastAsiaTheme="majorEastAsia" w:cstheme="majorEastAsia"/>
                <w:bCs/>
                <w:caps/>
                <w:sz w:val="24"/>
              </w:rPr>
            </w:pPr>
            <w:r>
              <w:rPr>
                <w:rFonts w:hint="eastAsia" w:asciiTheme="majorEastAsia" w:hAnsiTheme="majorEastAsia" w:eastAsiaTheme="majorEastAsia" w:cstheme="majorEastAsia"/>
                <w:bCs/>
                <w:caps/>
                <w:sz w:val="24"/>
              </w:rPr>
              <w:t>姓名</w:t>
            </w:r>
          </w:p>
        </w:tc>
        <w:tc>
          <w:tcPr>
            <w:tcW w:w="2472" w:type="dxa"/>
            <w:gridSpan w:val="3"/>
            <w:noWrap/>
            <w:vAlign w:val="center"/>
          </w:tcPr>
          <w:p w14:paraId="56A0E1AC">
            <w:pPr>
              <w:tabs>
                <w:tab w:val="right" w:leader="dot" w:pos="9022"/>
              </w:tabs>
              <w:autoSpaceDE w:val="0"/>
              <w:autoSpaceDN w:val="0"/>
              <w:adjustRightInd w:val="0"/>
              <w:spacing w:line="360" w:lineRule="auto"/>
              <w:jc w:val="center"/>
              <w:rPr>
                <w:rFonts w:asciiTheme="majorEastAsia" w:hAnsiTheme="majorEastAsia" w:eastAsiaTheme="majorEastAsia" w:cstheme="majorEastAsia"/>
                <w:bCs/>
                <w:caps/>
                <w:sz w:val="24"/>
              </w:rPr>
            </w:pPr>
          </w:p>
        </w:tc>
        <w:tc>
          <w:tcPr>
            <w:tcW w:w="1432" w:type="dxa"/>
            <w:noWrap/>
            <w:vAlign w:val="center"/>
          </w:tcPr>
          <w:p w14:paraId="508AC1FD">
            <w:pPr>
              <w:tabs>
                <w:tab w:val="right" w:leader="dot" w:pos="9022"/>
              </w:tabs>
              <w:autoSpaceDE w:val="0"/>
              <w:autoSpaceDN w:val="0"/>
              <w:adjustRightInd w:val="0"/>
              <w:spacing w:line="360" w:lineRule="auto"/>
              <w:jc w:val="center"/>
              <w:rPr>
                <w:rFonts w:asciiTheme="majorEastAsia" w:hAnsiTheme="majorEastAsia" w:eastAsiaTheme="majorEastAsia" w:cstheme="majorEastAsia"/>
                <w:bCs/>
                <w:caps/>
                <w:sz w:val="24"/>
              </w:rPr>
            </w:pPr>
            <w:r>
              <w:rPr>
                <w:rFonts w:hint="eastAsia" w:asciiTheme="majorEastAsia" w:hAnsiTheme="majorEastAsia" w:eastAsiaTheme="majorEastAsia" w:cstheme="majorEastAsia"/>
                <w:bCs/>
                <w:caps/>
                <w:sz w:val="24"/>
              </w:rPr>
              <w:t>性    别</w:t>
            </w:r>
          </w:p>
        </w:tc>
        <w:tc>
          <w:tcPr>
            <w:tcW w:w="2649" w:type="dxa"/>
            <w:noWrap/>
            <w:vAlign w:val="center"/>
          </w:tcPr>
          <w:p w14:paraId="239FFF4E">
            <w:pPr>
              <w:tabs>
                <w:tab w:val="right" w:leader="dot" w:pos="9022"/>
              </w:tabs>
              <w:autoSpaceDE w:val="0"/>
              <w:autoSpaceDN w:val="0"/>
              <w:adjustRightInd w:val="0"/>
              <w:spacing w:line="360" w:lineRule="auto"/>
              <w:jc w:val="center"/>
              <w:rPr>
                <w:rFonts w:asciiTheme="majorEastAsia" w:hAnsiTheme="majorEastAsia" w:eastAsiaTheme="majorEastAsia" w:cstheme="majorEastAsia"/>
                <w:bCs/>
                <w:caps/>
                <w:sz w:val="24"/>
              </w:rPr>
            </w:pPr>
          </w:p>
        </w:tc>
      </w:tr>
      <w:tr w14:paraId="04A81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vAlign w:val="center"/>
          </w:tcPr>
          <w:p w14:paraId="6B6F3AB5">
            <w:pPr>
              <w:tabs>
                <w:tab w:val="right" w:leader="dot" w:pos="9022"/>
              </w:tabs>
              <w:autoSpaceDE w:val="0"/>
              <w:autoSpaceDN w:val="0"/>
              <w:adjustRightInd w:val="0"/>
              <w:spacing w:line="360" w:lineRule="auto"/>
              <w:jc w:val="left"/>
              <w:rPr>
                <w:rFonts w:asciiTheme="majorEastAsia" w:hAnsiTheme="majorEastAsia" w:eastAsiaTheme="majorEastAsia" w:cstheme="majorEastAsia"/>
                <w:bCs/>
                <w:caps/>
                <w:sz w:val="24"/>
              </w:rPr>
            </w:pPr>
          </w:p>
        </w:tc>
        <w:tc>
          <w:tcPr>
            <w:tcW w:w="1244" w:type="dxa"/>
            <w:noWrap/>
            <w:vAlign w:val="center"/>
          </w:tcPr>
          <w:p w14:paraId="3F2F2B82">
            <w:pPr>
              <w:tabs>
                <w:tab w:val="right" w:leader="dot" w:pos="9022"/>
              </w:tabs>
              <w:autoSpaceDE w:val="0"/>
              <w:autoSpaceDN w:val="0"/>
              <w:adjustRightInd w:val="0"/>
              <w:spacing w:line="360" w:lineRule="auto"/>
              <w:jc w:val="center"/>
              <w:rPr>
                <w:rFonts w:asciiTheme="majorEastAsia" w:hAnsiTheme="majorEastAsia" w:eastAsiaTheme="majorEastAsia" w:cstheme="majorEastAsia"/>
                <w:bCs/>
                <w:caps/>
                <w:sz w:val="24"/>
              </w:rPr>
            </w:pPr>
            <w:r>
              <w:rPr>
                <w:rFonts w:hint="eastAsia" w:asciiTheme="majorEastAsia" w:hAnsiTheme="majorEastAsia" w:eastAsiaTheme="majorEastAsia" w:cstheme="majorEastAsia"/>
                <w:bCs/>
                <w:caps/>
                <w:sz w:val="24"/>
              </w:rPr>
              <w:t>职务</w:t>
            </w:r>
          </w:p>
        </w:tc>
        <w:tc>
          <w:tcPr>
            <w:tcW w:w="2472" w:type="dxa"/>
            <w:gridSpan w:val="3"/>
            <w:noWrap/>
            <w:vAlign w:val="center"/>
          </w:tcPr>
          <w:p w14:paraId="56F71938">
            <w:pPr>
              <w:tabs>
                <w:tab w:val="right" w:leader="dot" w:pos="9022"/>
              </w:tabs>
              <w:autoSpaceDE w:val="0"/>
              <w:autoSpaceDN w:val="0"/>
              <w:adjustRightInd w:val="0"/>
              <w:spacing w:line="360" w:lineRule="auto"/>
              <w:jc w:val="center"/>
              <w:rPr>
                <w:rFonts w:asciiTheme="majorEastAsia" w:hAnsiTheme="majorEastAsia" w:eastAsiaTheme="majorEastAsia" w:cstheme="majorEastAsia"/>
                <w:bCs/>
                <w:caps/>
                <w:sz w:val="24"/>
              </w:rPr>
            </w:pPr>
          </w:p>
        </w:tc>
        <w:tc>
          <w:tcPr>
            <w:tcW w:w="1432" w:type="dxa"/>
            <w:noWrap/>
            <w:vAlign w:val="center"/>
          </w:tcPr>
          <w:p w14:paraId="30AEDF19">
            <w:pPr>
              <w:tabs>
                <w:tab w:val="right" w:leader="dot" w:pos="9022"/>
              </w:tabs>
              <w:autoSpaceDE w:val="0"/>
              <w:autoSpaceDN w:val="0"/>
              <w:adjustRightInd w:val="0"/>
              <w:spacing w:line="360" w:lineRule="auto"/>
              <w:jc w:val="center"/>
              <w:rPr>
                <w:rFonts w:asciiTheme="majorEastAsia" w:hAnsiTheme="majorEastAsia" w:eastAsiaTheme="majorEastAsia" w:cstheme="majorEastAsia"/>
                <w:bCs/>
                <w:caps/>
                <w:sz w:val="24"/>
              </w:rPr>
            </w:pPr>
            <w:r>
              <w:rPr>
                <w:rFonts w:hint="eastAsia" w:asciiTheme="majorEastAsia" w:hAnsiTheme="majorEastAsia" w:eastAsiaTheme="majorEastAsia" w:cstheme="majorEastAsia"/>
                <w:bCs/>
                <w:caps/>
                <w:sz w:val="24"/>
              </w:rPr>
              <w:t>手机号码</w:t>
            </w:r>
          </w:p>
        </w:tc>
        <w:tc>
          <w:tcPr>
            <w:tcW w:w="2649" w:type="dxa"/>
            <w:noWrap/>
            <w:vAlign w:val="center"/>
          </w:tcPr>
          <w:p w14:paraId="3F456DB4">
            <w:pPr>
              <w:tabs>
                <w:tab w:val="right" w:leader="dot" w:pos="9022"/>
              </w:tabs>
              <w:autoSpaceDE w:val="0"/>
              <w:autoSpaceDN w:val="0"/>
              <w:adjustRightInd w:val="0"/>
              <w:spacing w:line="360" w:lineRule="auto"/>
              <w:rPr>
                <w:rFonts w:asciiTheme="majorEastAsia" w:hAnsiTheme="majorEastAsia" w:eastAsiaTheme="majorEastAsia" w:cstheme="majorEastAsia"/>
                <w:bCs/>
                <w:caps/>
                <w:sz w:val="24"/>
              </w:rPr>
            </w:pPr>
          </w:p>
        </w:tc>
      </w:tr>
      <w:tr w14:paraId="5CD69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noWrap/>
            <w:vAlign w:val="center"/>
          </w:tcPr>
          <w:p w14:paraId="193D93C2">
            <w:pPr>
              <w:tabs>
                <w:tab w:val="right" w:leader="dot" w:pos="9022"/>
              </w:tabs>
              <w:autoSpaceDE w:val="0"/>
              <w:autoSpaceDN w:val="0"/>
              <w:adjustRightInd w:val="0"/>
              <w:spacing w:line="360" w:lineRule="auto"/>
              <w:jc w:val="center"/>
              <w:rPr>
                <w:rFonts w:asciiTheme="majorEastAsia" w:hAnsiTheme="majorEastAsia" w:eastAsiaTheme="majorEastAsia" w:cstheme="majorEastAsia"/>
                <w:bCs/>
                <w:caps/>
                <w:sz w:val="24"/>
              </w:rPr>
            </w:pPr>
            <w:r>
              <w:rPr>
                <w:rFonts w:hint="eastAsia" w:asciiTheme="majorEastAsia" w:hAnsiTheme="majorEastAsia" w:eastAsiaTheme="majorEastAsia" w:cstheme="majorEastAsia"/>
                <w:bCs/>
                <w:caps/>
                <w:sz w:val="24"/>
              </w:rPr>
              <w:t>被授权人</w:t>
            </w:r>
          </w:p>
        </w:tc>
        <w:tc>
          <w:tcPr>
            <w:tcW w:w="1244" w:type="dxa"/>
            <w:noWrap/>
            <w:vAlign w:val="center"/>
          </w:tcPr>
          <w:p w14:paraId="582A42BB">
            <w:pPr>
              <w:tabs>
                <w:tab w:val="right" w:leader="dot" w:pos="9022"/>
              </w:tabs>
              <w:autoSpaceDE w:val="0"/>
              <w:autoSpaceDN w:val="0"/>
              <w:adjustRightInd w:val="0"/>
              <w:spacing w:line="360" w:lineRule="auto"/>
              <w:jc w:val="center"/>
              <w:rPr>
                <w:rFonts w:asciiTheme="majorEastAsia" w:hAnsiTheme="majorEastAsia" w:eastAsiaTheme="majorEastAsia" w:cstheme="majorEastAsia"/>
                <w:bCs/>
                <w:caps/>
                <w:sz w:val="24"/>
              </w:rPr>
            </w:pPr>
            <w:r>
              <w:rPr>
                <w:rFonts w:hint="eastAsia" w:asciiTheme="majorEastAsia" w:hAnsiTheme="majorEastAsia" w:eastAsiaTheme="majorEastAsia" w:cstheme="majorEastAsia"/>
                <w:bCs/>
                <w:caps/>
                <w:sz w:val="24"/>
              </w:rPr>
              <w:t>姓名</w:t>
            </w:r>
          </w:p>
        </w:tc>
        <w:tc>
          <w:tcPr>
            <w:tcW w:w="2472" w:type="dxa"/>
            <w:gridSpan w:val="3"/>
            <w:noWrap/>
            <w:vAlign w:val="center"/>
          </w:tcPr>
          <w:p w14:paraId="33F7C1AD">
            <w:pPr>
              <w:tabs>
                <w:tab w:val="right" w:leader="dot" w:pos="9022"/>
              </w:tabs>
              <w:autoSpaceDE w:val="0"/>
              <w:autoSpaceDN w:val="0"/>
              <w:adjustRightInd w:val="0"/>
              <w:spacing w:line="360" w:lineRule="auto"/>
              <w:jc w:val="center"/>
              <w:rPr>
                <w:rFonts w:asciiTheme="majorEastAsia" w:hAnsiTheme="majorEastAsia" w:eastAsiaTheme="majorEastAsia" w:cstheme="majorEastAsia"/>
                <w:bCs/>
                <w:caps/>
                <w:sz w:val="24"/>
              </w:rPr>
            </w:pPr>
          </w:p>
        </w:tc>
        <w:tc>
          <w:tcPr>
            <w:tcW w:w="1432" w:type="dxa"/>
            <w:noWrap/>
            <w:vAlign w:val="center"/>
          </w:tcPr>
          <w:p w14:paraId="697E40DD">
            <w:pPr>
              <w:tabs>
                <w:tab w:val="right" w:leader="dot" w:pos="9022"/>
              </w:tabs>
              <w:autoSpaceDE w:val="0"/>
              <w:autoSpaceDN w:val="0"/>
              <w:adjustRightInd w:val="0"/>
              <w:spacing w:line="360" w:lineRule="auto"/>
              <w:jc w:val="center"/>
              <w:rPr>
                <w:rFonts w:asciiTheme="majorEastAsia" w:hAnsiTheme="majorEastAsia" w:eastAsiaTheme="majorEastAsia" w:cstheme="majorEastAsia"/>
                <w:bCs/>
                <w:caps/>
                <w:sz w:val="24"/>
              </w:rPr>
            </w:pPr>
            <w:r>
              <w:rPr>
                <w:rFonts w:hint="eastAsia" w:asciiTheme="majorEastAsia" w:hAnsiTheme="majorEastAsia" w:eastAsiaTheme="majorEastAsia" w:cstheme="majorEastAsia"/>
                <w:bCs/>
                <w:caps/>
                <w:sz w:val="24"/>
              </w:rPr>
              <w:t>性    别</w:t>
            </w:r>
          </w:p>
        </w:tc>
        <w:tc>
          <w:tcPr>
            <w:tcW w:w="2649" w:type="dxa"/>
            <w:noWrap/>
            <w:vAlign w:val="center"/>
          </w:tcPr>
          <w:p w14:paraId="168891C0">
            <w:pPr>
              <w:tabs>
                <w:tab w:val="right" w:leader="dot" w:pos="9022"/>
              </w:tabs>
              <w:autoSpaceDE w:val="0"/>
              <w:autoSpaceDN w:val="0"/>
              <w:adjustRightInd w:val="0"/>
              <w:spacing w:line="360" w:lineRule="auto"/>
              <w:jc w:val="center"/>
              <w:rPr>
                <w:rFonts w:asciiTheme="majorEastAsia" w:hAnsiTheme="majorEastAsia" w:eastAsiaTheme="majorEastAsia" w:cstheme="majorEastAsia"/>
                <w:bCs/>
                <w:caps/>
                <w:sz w:val="24"/>
              </w:rPr>
            </w:pPr>
          </w:p>
        </w:tc>
      </w:tr>
      <w:tr w14:paraId="44635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tcPr>
          <w:p w14:paraId="2DB7FD22">
            <w:pPr>
              <w:tabs>
                <w:tab w:val="right" w:leader="dot" w:pos="9022"/>
              </w:tabs>
              <w:autoSpaceDE w:val="0"/>
              <w:autoSpaceDN w:val="0"/>
              <w:adjustRightInd w:val="0"/>
              <w:spacing w:line="360" w:lineRule="auto"/>
              <w:jc w:val="left"/>
              <w:rPr>
                <w:rFonts w:asciiTheme="majorEastAsia" w:hAnsiTheme="majorEastAsia" w:eastAsiaTheme="majorEastAsia" w:cstheme="majorEastAsia"/>
                <w:bCs/>
                <w:caps/>
                <w:sz w:val="24"/>
              </w:rPr>
            </w:pPr>
          </w:p>
        </w:tc>
        <w:tc>
          <w:tcPr>
            <w:tcW w:w="1244" w:type="dxa"/>
            <w:noWrap/>
            <w:vAlign w:val="center"/>
          </w:tcPr>
          <w:p w14:paraId="79192E56">
            <w:pPr>
              <w:tabs>
                <w:tab w:val="right" w:leader="dot" w:pos="9022"/>
              </w:tabs>
              <w:autoSpaceDE w:val="0"/>
              <w:autoSpaceDN w:val="0"/>
              <w:adjustRightInd w:val="0"/>
              <w:spacing w:line="360" w:lineRule="auto"/>
              <w:jc w:val="center"/>
              <w:rPr>
                <w:rFonts w:asciiTheme="majorEastAsia" w:hAnsiTheme="majorEastAsia" w:eastAsiaTheme="majorEastAsia" w:cstheme="majorEastAsia"/>
                <w:bCs/>
                <w:caps/>
                <w:sz w:val="24"/>
              </w:rPr>
            </w:pPr>
            <w:r>
              <w:rPr>
                <w:rFonts w:hint="eastAsia" w:asciiTheme="majorEastAsia" w:hAnsiTheme="majorEastAsia" w:eastAsiaTheme="majorEastAsia" w:cstheme="majorEastAsia"/>
                <w:bCs/>
                <w:caps/>
                <w:sz w:val="24"/>
              </w:rPr>
              <w:t>职务</w:t>
            </w:r>
          </w:p>
        </w:tc>
        <w:tc>
          <w:tcPr>
            <w:tcW w:w="2472" w:type="dxa"/>
            <w:gridSpan w:val="3"/>
            <w:noWrap/>
            <w:vAlign w:val="center"/>
          </w:tcPr>
          <w:p w14:paraId="7F0EE691">
            <w:pPr>
              <w:tabs>
                <w:tab w:val="right" w:leader="dot" w:pos="9022"/>
              </w:tabs>
              <w:autoSpaceDE w:val="0"/>
              <w:autoSpaceDN w:val="0"/>
              <w:adjustRightInd w:val="0"/>
              <w:spacing w:line="360" w:lineRule="auto"/>
              <w:jc w:val="center"/>
              <w:rPr>
                <w:rFonts w:asciiTheme="majorEastAsia" w:hAnsiTheme="majorEastAsia" w:eastAsiaTheme="majorEastAsia" w:cstheme="majorEastAsia"/>
                <w:bCs/>
                <w:caps/>
                <w:sz w:val="24"/>
              </w:rPr>
            </w:pPr>
          </w:p>
        </w:tc>
        <w:tc>
          <w:tcPr>
            <w:tcW w:w="1432" w:type="dxa"/>
            <w:noWrap/>
            <w:vAlign w:val="center"/>
          </w:tcPr>
          <w:p w14:paraId="2C19DE87">
            <w:pPr>
              <w:tabs>
                <w:tab w:val="right" w:leader="dot" w:pos="9022"/>
              </w:tabs>
              <w:autoSpaceDE w:val="0"/>
              <w:autoSpaceDN w:val="0"/>
              <w:adjustRightInd w:val="0"/>
              <w:spacing w:line="360" w:lineRule="auto"/>
              <w:jc w:val="center"/>
              <w:rPr>
                <w:rFonts w:asciiTheme="majorEastAsia" w:hAnsiTheme="majorEastAsia" w:eastAsiaTheme="majorEastAsia" w:cstheme="majorEastAsia"/>
                <w:bCs/>
                <w:caps/>
                <w:sz w:val="24"/>
              </w:rPr>
            </w:pPr>
            <w:r>
              <w:rPr>
                <w:rFonts w:hint="eastAsia" w:asciiTheme="majorEastAsia" w:hAnsiTheme="majorEastAsia" w:eastAsiaTheme="majorEastAsia" w:cstheme="majorEastAsia"/>
                <w:bCs/>
                <w:caps/>
                <w:sz w:val="24"/>
              </w:rPr>
              <w:t>手机号码</w:t>
            </w:r>
          </w:p>
        </w:tc>
        <w:tc>
          <w:tcPr>
            <w:tcW w:w="2649" w:type="dxa"/>
            <w:noWrap/>
          </w:tcPr>
          <w:p w14:paraId="42416361">
            <w:pPr>
              <w:tabs>
                <w:tab w:val="right" w:leader="dot" w:pos="9022"/>
              </w:tabs>
              <w:autoSpaceDE w:val="0"/>
              <w:autoSpaceDN w:val="0"/>
              <w:adjustRightInd w:val="0"/>
              <w:spacing w:line="360" w:lineRule="auto"/>
              <w:rPr>
                <w:rFonts w:asciiTheme="majorEastAsia" w:hAnsiTheme="majorEastAsia" w:eastAsiaTheme="majorEastAsia" w:cstheme="majorEastAsia"/>
                <w:bCs/>
                <w:caps/>
                <w:sz w:val="24"/>
              </w:rPr>
            </w:pPr>
          </w:p>
        </w:tc>
      </w:tr>
      <w:tr w14:paraId="080FD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noWrap/>
          </w:tcPr>
          <w:p w14:paraId="70E4D2D7">
            <w:pPr>
              <w:tabs>
                <w:tab w:val="right" w:leader="dot" w:pos="9022"/>
              </w:tabs>
              <w:autoSpaceDE w:val="0"/>
              <w:autoSpaceDN w:val="0"/>
              <w:adjustRightInd w:val="0"/>
              <w:spacing w:line="360" w:lineRule="auto"/>
              <w:jc w:val="left"/>
              <w:rPr>
                <w:rFonts w:asciiTheme="majorEastAsia" w:hAnsiTheme="majorEastAsia" w:eastAsiaTheme="majorEastAsia" w:cstheme="majorEastAsia"/>
                <w:bCs/>
                <w:caps/>
                <w:sz w:val="24"/>
              </w:rPr>
            </w:pPr>
            <w:r>
              <w:rPr>
                <w:rFonts w:hint="eastAsia" w:asciiTheme="majorEastAsia" w:hAnsiTheme="majorEastAsia" w:eastAsiaTheme="majorEastAsia" w:cstheme="majorEastAsia"/>
                <w:bCs/>
                <w:caps/>
                <w:sz w:val="24"/>
              </w:rPr>
              <w:t>通讯地址</w:t>
            </w:r>
          </w:p>
        </w:tc>
        <w:tc>
          <w:tcPr>
            <w:tcW w:w="7797" w:type="dxa"/>
            <w:gridSpan w:val="6"/>
            <w:noWrap/>
          </w:tcPr>
          <w:p w14:paraId="783274B0">
            <w:pPr>
              <w:tabs>
                <w:tab w:val="right" w:leader="dot" w:pos="9022"/>
              </w:tabs>
              <w:autoSpaceDE w:val="0"/>
              <w:autoSpaceDN w:val="0"/>
              <w:adjustRightInd w:val="0"/>
              <w:spacing w:line="360" w:lineRule="auto"/>
              <w:jc w:val="left"/>
              <w:rPr>
                <w:rFonts w:asciiTheme="majorEastAsia" w:hAnsiTheme="majorEastAsia" w:eastAsiaTheme="majorEastAsia" w:cstheme="majorEastAsia"/>
                <w:bCs/>
                <w:caps/>
                <w:sz w:val="24"/>
              </w:rPr>
            </w:pPr>
          </w:p>
        </w:tc>
      </w:tr>
      <w:tr w14:paraId="11C7E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8" w:type="dxa"/>
            <w:gridSpan w:val="4"/>
            <w:noWrap/>
          </w:tcPr>
          <w:p w14:paraId="5C79ADAD">
            <w:pPr>
              <w:tabs>
                <w:tab w:val="right" w:leader="dot" w:pos="9022"/>
              </w:tabs>
              <w:autoSpaceDE w:val="0"/>
              <w:autoSpaceDN w:val="0"/>
              <w:adjustRightInd w:val="0"/>
              <w:spacing w:line="360" w:lineRule="auto"/>
              <w:jc w:val="left"/>
              <w:rPr>
                <w:rFonts w:asciiTheme="majorEastAsia" w:hAnsiTheme="majorEastAsia" w:eastAsiaTheme="majorEastAsia" w:cstheme="majorEastAsia"/>
                <w:bCs/>
                <w:caps/>
                <w:sz w:val="24"/>
              </w:rPr>
            </w:pPr>
          </w:p>
          <w:p w14:paraId="2AFC5CFB">
            <w:pPr>
              <w:tabs>
                <w:tab w:val="right" w:leader="dot" w:pos="9022"/>
              </w:tabs>
              <w:autoSpaceDE w:val="0"/>
              <w:autoSpaceDN w:val="0"/>
              <w:adjustRightInd w:val="0"/>
              <w:spacing w:line="360" w:lineRule="auto"/>
              <w:jc w:val="center"/>
              <w:rPr>
                <w:rFonts w:asciiTheme="majorEastAsia" w:hAnsiTheme="majorEastAsia" w:eastAsiaTheme="majorEastAsia" w:cstheme="majorEastAsia"/>
                <w:spacing w:val="-4"/>
                <w:sz w:val="24"/>
              </w:rPr>
            </w:pPr>
          </w:p>
          <w:p w14:paraId="01E67FDA">
            <w:pPr>
              <w:tabs>
                <w:tab w:val="right" w:leader="dot" w:pos="9022"/>
              </w:tabs>
              <w:autoSpaceDE w:val="0"/>
              <w:autoSpaceDN w:val="0"/>
              <w:adjustRightInd w:val="0"/>
              <w:spacing w:line="360" w:lineRule="auto"/>
              <w:jc w:val="center"/>
              <w:rPr>
                <w:rFonts w:asciiTheme="majorEastAsia" w:hAnsiTheme="majorEastAsia" w:eastAsiaTheme="majorEastAsia" w:cstheme="majorEastAsia"/>
                <w:bCs/>
                <w:caps/>
                <w:sz w:val="24"/>
              </w:rPr>
            </w:pPr>
            <w:r>
              <w:rPr>
                <w:rFonts w:hint="eastAsia" w:asciiTheme="majorEastAsia" w:hAnsiTheme="majorEastAsia" w:eastAsiaTheme="majorEastAsia" w:cstheme="majorEastAsia"/>
                <w:spacing w:val="-4"/>
                <w:sz w:val="24"/>
              </w:rPr>
              <w:t>法定代表人二代身份证正面复印件或扫描件</w:t>
            </w:r>
          </w:p>
          <w:p w14:paraId="3632AAC2">
            <w:pPr>
              <w:tabs>
                <w:tab w:val="right" w:leader="dot" w:pos="9022"/>
              </w:tabs>
              <w:autoSpaceDE w:val="0"/>
              <w:autoSpaceDN w:val="0"/>
              <w:adjustRightInd w:val="0"/>
              <w:spacing w:line="360" w:lineRule="auto"/>
              <w:jc w:val="center"/>
              <w:rPr>
                <w:rFonts w:asciiTheme="majorEastAsia" w:hAnsiTheme="majorEastAsia" w:eastAsiaTheme="majorEastAsia" w:cstheme="majorEastAsia"/>
                <w:bCs/>
                <w:caps/>
                <w:sz w:val="24"/>
              </w:rPr>
            </w:pPr>
          </w:p>
          <w:p w14:paraId="36902492">
            <w:pPr>
              <w:tabs>
                <w:tab w:val="right" w:leader="dot" w:pos="9022"/>
              </w:tabs>
              <w:autoSpaceDE w:val="0"/>
              <w:autoSpaceDN w:val="0"/>
              <w:adjustRightInd w:val="0"/>
              <w:spacing w:line="360" w:lineRule="auto"/>
              <w:jc w:val="center"/>
              <w:rPr>
                <w:rFonts w:asciiTheme="majorEastAsia" w:hAnsiTheme="majorEastAsia" w:eastAsiaTheme="majorEastAsia" w:cstheme="majorEastAsia"/>
                <w:bCs/>
                <w:caps/>
                <w:sz w:val="24"/>
              </w:rPr>
            </w:pPr>
          </w:p>
        </w:tc>
        <w:tc>
          <w:tcPr>
            <w:tcW w:w="4712" w:type="dxa"/>
            <w:gridSpan w:val="3"/>
            <w:noWrap/>
          </w:tcPr>
          <w:p w14:paraId="56A46FA5">
            <w:pPr>
              <w:tabs>
                <w:tab w:val="right" w:leader="dot" w:pos="9022"/>
              </w:tabs>
              <w:autoSpaceDE w:val="0"/>
              <w:autoSpaceDN w:val="0"/>
              <w:adjustRightInd w:val="0"/>
              <w:spacing w:line="360" w:lineRule="auto"/>
              <w:jc w:val="center"/>
              <w:rPr>
                <w:rFonts w:asciiTheme="majorEastAsia" w:hAnsiTheme="majorEastAsia" w:eastAsiaTheme="majorEastAsia" w:cstheme="majorEastAsia"/>
                <w:bCs/>
                <w:caps/>
                <w:sz w:val="24"/>
              </w:rPr>
            </w:pPr>
          </w:p>
          <w:p w14:paraId="62A5F7CD">
            <w:pPr>
              <w:tabs>
                <w:tab w:val="right" w:leader="dot" w:pos="9022"/>
              </w:tabs>
              <w:autoSpaceDE w:val="0"/>
              <w:autoSpaceDN w:val="0"/>
              <w:adjustRightInd w:val="0"/>
              <w:spacing w:line="360" w:lineRule="auto"/>
              <w:jc w:val="center"/>
              <w:rPr>
                <w:rFonts w:asciiTheme="majorEastAsia" w:hAnsiTheme="majorEastAsia" w:eastAsiaTheme="majorEastAsia" w:cstheme="majorEastAsia"/>
                <w:spacing w:val="-4"/>
                <w:sz w:val="24"/>
              </w:rPr>
            </w:pPr>
          </w:p>
          <w:p w14:paraId="7551A37B">
            <w:pPr>
              <w:tabs>
                <w:tab w:val="right" w:leader="dot" w:pos="9022"/>
              </w:tabs>
              <w:autoSpaceDE w:val="0"/>
              <w:autoSpaceDN w:val="0"/>
              <w:adjustRightInd w:val="0"/>
              <w:spacing w:line="360" w:lineRule="auto"/>
              <w:jc w:val="center"/>
              <w:rPr>
                <w:rFonts w:asciiTheme="majorEastAsia" w:hAnsiTheme="majorEastAsia" w:eastAsiaTheme="majorEastAsia" w:cstheme="majorEastAsia"/>
                <w:bCs/>
                <w:caps/>
                <w:sz w:val="24"/>
              </w:rPr>
            </w:pPr>
            <w:r>
              <w:rPr>
                <w:rFonts w:hint="eastAsia" w:asciiTheme="majorEastAsia" w:hAnsiTheme="majorEastAsia" w:eastAsiaTheme="majorEastAsia" w:cstheme="majorEastAsia"/>
                <w:spacing w:val="-4"/>
                <w:sz w:val="24"/>
              </w:rPr>
              <w:t>法定代表人二代身份证反面复印件或扫描件</w:t>
            </w:r>
          </w:p>
          <w:p w14:paraId="24534AA4">
            <w:pPr>
              <w:tabs>
                <w:tab w:val="right" w:leader="dot" w:pos="9022"/>
              </w:tabs>
              <w:autoSpaceDE w:val="0"/>
              <w:autoSpaceDN w:val="0"/>
              <w:adjustRightInd w:val="0"/>
              <w:spacing w:line="360" w:lineRule="auto"/>
              <w:jc w:val="center"/>
              <w:rPr>
                <w:rFonts w:asciiTheme="majorEastAsia" w:hAnsiTheme="majorEastAsia" w:eastAsiaTheme="majorEastAsia" w:cstheme="majorEastAsia"/>
                <w:bCs/>
                <w:caps/>
                <w:sz w:val="24"/>
              </w:rPr>
            </w:pPr>
          </w:p>
        </w:tc>
      </w:tr>
      <w:tr w14:paraId="0B6B8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jc w:val="center"/>
        </w:trPr>
        <w:tc>
          <w:tcPr>
            <w:tcW w:w="4648" w:type="dxa"/>
            <w:gridSpan w:val="4"/>
            <w:noWrap/>
            <w:vAlign w:val="center"/>
          </w:tcPr>
          <w:p w14:paraId="1B776B2A">
            <w:pPr>
              <w:tabs>
                <w:tab w:val="right" w:leader="dot" w:pos="9022"/>
              </w:tabs>
              <w:autoSpaceDE w:val="0"/>
              <w:autoSpaceDN w:val="0"/>
              <w:adjustRightInd w:val="0"/>
              <w:spacing w:line="360" w:lineRule="auto"/>
              <w:jc w:val="center"/>
              <w:rPr>
                <w:rFonts w:asciiTheme="majorEastAsia" w:hAnsiTheme="majorEastAsia" w:eastAsiaTheme="majorEastAsia" w:cstheme="majorEastAsia"/>
                <w:bCs/>
                <w:caps/>
                <w:sz w:val="24"/>
              </w:rPr>
            </w:pPr>
            <w:r>
              <w:rPr>
                <w:rFonts w:hint="eastAsia" w:asciiTheme="majorEastAsia" w:hAnsiTheme="majorEastAsia" w:eastAsiaTheme="majorEastAsia" w:cstheme="majorEastAsia"/>
                <w:spacing w:val="-4"/>
                <w:sz w:val="24"/>
              </w:rPr>
              <w:t>被授权人二代身份证正面复印件或扫描件</w:t>
            </w:r>
          </w:p>
          <w:p w14:paraId="0FCCFAF8">
            <w:pPr>
              <w:tabs>
                <w:tab w:val="right" w:leader="dot" w:pos="9022"/>
              </w:tabs>
              <w:autoSpaceDE w:val="0"/>
              <w:autoSpaceDN w:val="0"/>
              <w:adjustRightInd w:val="0"/>
              <w:spacing w:line="360" w:lineRule="auto"/>
              <w:jc w:val="left"/>
              <w:rPr>
                <w:rFonts w:asciiTheme="majorEastAsia" w:hAnsiTheme="majorEastAsia" w:eastAsiaTheme="majorEastAsia" w:cstheme="majorEastAsia"/>
                <w:bCs/>
                <w:caps/>
                <w:sz w:val="24"/>
              </w:rPr>
            </w:pPr>
          </w:p>
        </w:tc>
        <w:tc>
          <w:tcPr>
            <w:tcW w:w="4712" w:type="dxa"/>
            <w:gridSpan w:val="3"/>
            <w:noWrap/>
            <w:vAlign w:val="center"/>
          </w:tcPr>
          <w:p w14:paraId="305BBF84">
            <w:pPr>
              <w:tabs>
                <w:tab w:val="right" w:leader="dot" w:pos="9022"/>
              </w:tabs>
              <w:autoSpaceDE w:val="0"/>
              <w:autoSpaceDN w:val="0"/>
              <w:adjustRightInd w:val="0"/>
              <w:spacing w:line="360" w:lineRule="auto"/>
              <w:jc w:val="center"/>
              <w:rPr>
                <w:rFonts w:asciiTheme="majorEastAsia" w:hAnsiTheme="majorEastAsia" w:eastAsiaTheme="majorEastAsia" w:cstheme="majorEastAsia"/>
                <w:bCs/>
                <w:caps/>
                <w:sz w:val="24"/>
              </w:rPr>
            </w:pPr>
            <w:r>
              <w:rPr>
                <w:rFonts w:hint="eastAsia" w:asciiTheme="majorEastAsia" w:hAnsiTheme="majorEastAsia" w:eastAsiaTheme="majorEastAsia" w:cstheme="majorEastAsia"/>
                <w:spacing w:val="-4"/>
                <w:sz w:val="24"/>
              </w:rPr>
              <w:t>被授权人二代身份证反面复印件或扫描件</w:t>
            </w:r>
          </w:p>
          <w:p w14:paraId="366E41AD">
            <w:pPr>
              <w:tabs>
                <w:tab w:val="right" w:leader="dot" w:pos="9022"/>
              </w:tabs>
              <w:autoSpaceDE w:val="0"/>
              <w:autoSpaceDN w:val="0"/>
              <w:adjustRightInd w:val="0"/>
              <w:spacing w:line="360" w:lineRule="auto"/>
              <w:jc w:val="left"/>
              <w:rPr>
                <w:rFonts w:asciiTheme="majorEastAsia" w:hAnsiTheme="majorEastAsia" w:eastAsiaTheme="majorEastAsia" w:cstheme="majorEastAsia"/>
                <w:bCs/>
                <w:caps/>
                <w:sz w:val="24"/>
              </w:rPr>
            </w:pPr>
          </w:p>
        </w:tc>
      </w:tr>
      <w:tr w14:paraId="46356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360" w:type="dxa"/>
            <w:gridSpan w:val="7"/>
            <w:tcBorders>
              <w:bottom w:val="single" w:color="auto" w:sz="4" w:space="0"/>
            </w:tcBorders>
            <w:noWrap/>
            <w:vAlign w:val="center"/>
          </w:tcPr>
          <w:p w14:paraId="1F980495">
            <w:pPr>
              <w:tabs>
                <w:tab w:val="right" w:leader="dot" w:pos="9022"/>
              </w:tabs>
              <w:autoSpaceDE w:val="0"/>
              <w:autoSpaceDN w:val="0"/>
              <w:adjustRightInd w:val="0"/>
              <w:spacing w:line="360" w:lineRule="auto"/>
              <w:jc w:val="left"/>
              <w:rPr>
                <w:rFonts w:asciiTheme="majorEastAsia" w:hAnsiTheme="majorEastAsia" w:eastAsiaTheme="majorEastAsia" w:cstheme="majorEastAsia"/>
                <w:bCs/>
                <w:caps/>
                <w:sz w:val="24"/>
              </w:rPr>
            </w:pPr>
            <w:r>
              <w:rPr>
                <w:rFonts w:hint="eastAsia" w:asciiTheme="majorEastAsia" w:hAnsiTheme="majorEastAsia" w:eastAsiaTheme="majorEastAsia" w:cstheme="majorEastAsia"/>
                <w:bCs/>
                <w:caps/>
                <w:sz w:val="24"/>
              </w:rPr>
              <w:t>法定代表人及被授权人签字：</w:t>
            </w:r>
          </w:p>
        </w:tc>
      </w:tr>
      <w:bookmarkEnd w:id="153"/>
    </w:tbl>
    <w:p w14:paraId="39BABFE1">
      <w:pPr>
        <w:rPr>
          <w:rFonts w:asciiTheme="majorEastAsia" w:hAnsiTheme="majorEastAsia" w:eastAsiaTheme="majorEastAsia" w:cstheme="majorEastAsia"/>
        </w:rPr>
      </w:pPr>
    </w:p>
    <w:p w14:paraId="098B3D6F">
      <w:pPr>
        <w:ind w:firstLine="3360" w:firstLineChars="14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投标人（盖章）：</w:t>
      </w:r>
    </w:p>
    <w:p w14:paraId="3AF28A55">
      <w:pPr>
        <w:ind w:firstLine="3360" w:firstLineChars="1400"/>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sz w:val="24"/>
        </w:rPr>
        <w:t>日    期：</w:t>
      </w:r>
      <w:r>
        <w:rPr>
          <w:rFonts w:hint="eastAsia" w:asciiTheme="majorEastAsia" w:hAnsiTheme="majorEastAsia" w:eastAsiaTheme="majorEastAsia" w:cstheme="majorEastAsia"/>
          <w:b/>
        </w:rPr>
        <w:br w:type="page"/>
      </w:r>
    </w:p>
    <w:p w14:paraId="588B0095">
      <w:pPr>
        <w:spacing w:line="440" w:lineRule="exact"/>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五、投标人资格证明文件</w:t>
      </w:r>
    </w:p>
    <w:p w14:paraId="71797978">
      <w:pPr>
        <w:spacing w:line="440" w:lineRule="exact"/>
        <w:jc w:val="center"/>
        <w:rPr>
          <w:rFonts w:asciiTheme="majorEastAsia" w:hAnsiTheme="majorEastAsia" w:eastAsiaTheme="majorEastAsia" w:cstheme="majorEastAsia"/>
          <w:b/>
          <w:bCs/>
          <w:sz w:val="32"/>
          <w:szCs w:val="32"/>
        </w:rPr>
      </w:pPr>
    </w:p>
    <w:p w14:paraId="592D2947">
      <w:pPr>
        <w:spacing w:beforeLines="50" w:line="400" w:lineRule="exact"/>
        <w:ind w:left="-141" w:leftChars="-67" w:firstLine="480" w:firstLineChars="200"/>
        <w:rPr>
          <w:rFonts w:asciiTheme="majorEastAsia" w:hAnsiTheme="majorEastAsia" w:eastAsiaTheme="majorEastAsia" w:cstheme="majorEastAsia"/>
          <w:sz w:val="24"/>
        </w:rPr>
        <w:sectPr>
          <w:headerReference r:id="rId11" w:type="first"/>
          <w:footerReference r:id="rId13" w:type="first"/>
          <w:headerReference r:id="rId10" w:type="default"/>
          <w:footerReference r:id="rId12" w:type="default"/>
          <w:pgSz w:w="11906" w:h="16838"/>
          <w:pgMar w:top="1440" w:right="1287" w:bottom="1440" w:left="1440" w:header="850" w:footer="992" w:gutter="0"/>
          <w:cols w:space="720" w:num="1"/>
          <w:titlePg/>
          <w:docGrid w:linePitch="360" w:charSpace="0"/>
        </w:sectPr>
      </w:pPr>
      <w:r>
        <w:rPr>
          <w:rFonts w:hint="eastAsia" w:asciiTheme="majorEastAsia" w:hAnsiTheme="majorEastAsia" w:eastAsiaTheme="majorEastAsia" w:cstheme="majorEastAsia"/>
          <w:sz w:val="24"/>
        </w:rPr>
        <w:t>投标人按“第一章 招标公告 二、申请人的资格要求 3.本项目的特定资格要求”逐一提供全部资料，缺少其中任何一项，其投标文件将被视为无效文件。其中，《榆林市政府采购货物类项目供应商信用承诺书》、《投标人信用承诺》、《投标信用承诺》、《投标人委托代理人员信用承诺书》（如有）应按下文给定格式填写，否则</w:t>
      </w:r>
      <w:r>
        <w:rPr>
          <w:rFonts w:hint="eastAsia" w:asciiTheme="majorEastAsia" w:hAnsiTheme="majorEastAsia" w:eastAsiaTheme="majorEastAsia" w:cstheme="majorEastAsia"/>
          <w:b/>
          <w:bCs/>
          <w:sz w:val="24"/>
        </w:rPr>
        <w:t>按无效处理</w:t>
      </w:r>
      <w:r>
        <w:rPr>
          <w:rFonts w:hint="eastAsia" w:asciiTheme="majorEastAsia" w:hAnsiTheme="majorEastAsia" w:eastAsiaTheme="majorEastAsia" w:cstheme="majorEastAsia"/>
          <w:sz w:val="24"/>
        </w:rPr>
        <w:t>。</w:t>
      </w:r>
    </w:p>
    <w:p w14:paraId="1B1D790F">
      <w:pPr>
        <w:spacing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榆林市政府采购货物类项目供应商信用承诺书</w:t>
      </w:r>
    </w:p>
    <w:p w14:paraId="626D56C0">
      <w:pPr>
        <w:spacing w:line="360" w:lineRule="auto"/>
        <w:ind w:firstLine="480" w:firstLineChars="200"/>
        <w:rPr>
          <w:rFonts w:asciiTheme="majorEastAsia" w:hAnsiTheme="majorEastAsia" w:eastAsiaTheme="majorEastAsia" w:cstheme="majorEastAsia"/>
          <w:sz w:val="24"/>
        </w:rPr>
      </w:pPr>
    </w:p>
    <w:p w14:paraId="7921691C">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市场主体名称：</w:t>
      </w:r>
    </w:p>
    <w:p w14:paraId="1EE18CA5">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证件类型：统一社会信用代码</w:t>
      </w:r>
    </w:p>
    <w:p w14:paraId="69468CEA">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证件号码：</w:t>
      </w:r>
    </w:p>
    <w:p w14:paraId="2468BFF1">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法人代表：</w:t>
      </w:r>
    </w:p>
    <w:p w14:paraId="14B910E7">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承诺有效期限：    年    月    日—    年    月    日</w:t>
      </w:r>
    </w:p>
    <w:p w14:paraId="20DF0B3F">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承诺内容：</w:t>
      </w:r>
    </w:p>
    <w:p w14:paraId="0A5725EE">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为维护公开、公平、公正的政府采购市场秩序，树立诚实守信的政府采购供应商形象，本单位自愿做出以下承诺：</w:t>
      </w:r>
    </w:p>
    <w:p w14:paraId="661DC042">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一、承诺本单位严格遵守国家法律、法规和规章，全面履行应尽的责任和义务，全面做到履约守信，具备《政府采购法》第二十二条第一款规定的条件;</w:t>
      </w:r>
    </w:p>
    <w:p w14:paraId="1497E12A">
      <w:pPr>
        <w:overflowPunct w:val="0"/>
        <w:topLinePunct/>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二、承诺本单位提供给注册登记部门、行业管理部门、司法部门、行业组织以及在政府采购活动中提交的所有资料均合法、真实、有效，无任何伪造、修改、虚假成份，并对所提供资料的真实性负责；</w:t>
      </w:r>
    </w:p>
    <w:p w14:paraId="55E361A2">
      <w:pPr>
        <w:overflowPunct w:val="0"/>
        <w:topLinePunct/>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三、承诺本单位严格依法开展生产经营活动，主动接受行业监管，自愿接受依法开展的日常检查；违法失信经营后将自愿接受约束和惩戒，并依法承担相应责任；</w:t>
      </w:r>
    </w:p>
    <w:p w14:paraId="0DAEF7D6">
      <w:pPr>
        <w:overflowPunct w:val="0"/>
        <w:topLinePunct/>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四、承诺本单位自觉接受行政管理部门、行业组织、社会公众、新闻舆论的监督；</w:t>
      </w:r>
    </w:p>
    <w:p w14:paraId="16B6B26D">
      <w:pPr>
        <w:overflowPunct w:val="0"/>
        <w:topLinePunct/>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五、承诺本单位自我约束、自我管理，重合同、守信用，不制假售假、商标侵权、虚假宣传、违约毁约、恶意逃债、偷税漏税、价格欺诈、垄断和不正当竞争，维护经营者、消费者的合法权益；</w:t>
      </w:r>
    </w:p>
    <w:p w14:paraId="4EC71BA8">
      <w:pPr>
        <w:overflowPunct w:val="0"/>
        <w:topLinePunct/>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六、承诺本单位提出政府采购质疑和投诉坚持依法依规、诚实信用原则，在全国范围12个月内没有三次以上查无实据的政府采购投诉；</w:t>
      </w:r>
    </w:p>
    <w:p w14:paraId="0C594B64">
      <w:pPr>
        <w:overflowPunct w:val="0"/>
        <w:topLinePunct/>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七、根据政府采购相关法律法规的规定需要作出的其他诺：</w:t>
      </w:r>
      <w:r>
        <w:rPr>
          <w:rFonts w:hint="eastAsia" w:asciiTheme="majorEastAsia" w:hAnsiTheme="majorEastAsia" w:eastAsiaTheme="majorEastAsia" w:cstheme="majorEastAsia"/>
          <w:sz w:val="24"/>
          <w:u w:val="single"/>
        </w:rPr>
        <w:t>         </w:t>
      </w:r>
      <w:r>
        <w:rPr>
          <w:rFonts w:hint="eastAsia" w:asciiTheme="majorEastAsia" w:hAnsiTheme="majorEastAsia" w:eastAsiaTheme="majorEastAsia" w:cstheme="majorEastAsia"/>
          <w:sz w:val="24"/>
        </w:rPr>
        <w:t>。</w:t>
      </w:r>
    </w:p>
    <w:p w14:paraId="0952DA56">
      <w:pPr>
        <w:overflowPunct w:val="0"/>
        <w:topLinePunct/>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14:paraId="34773922">
      <w:pPr>
        <w:overflowPunct w:val="0"/>
        <w:topLinePunct/>
        <w:spacing w:line="360" w:lineRule="auto"/>
        <w:ind w:firstLine="480" w:firstLineChars="200"/>
        <w:jc w:val="left"/>
        <w:rPr>
          <w:rFonts w:asciiTheme="majorEastAsia" w:hAnsiTheme="majorEastAsia" w:eastAsiaTheme="majorEastAsia" w:cstheme="majorEastAsia"/>
          <w:sz w:val="24"/>
        </w:rPr>
      </w:pPr>
    </w:p>
    <w:p w14:paraId="03F1B930">
      <w:pPr>
        <w:overflowPunct w:val="0"/>
        <w:topLinePunct/>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承诺单位（盖章）：</w:t>
      </w:r>
    </w:p>
    <w:p w14:paraId="23B90A51">
      <w:pPr>
        <w:overflowPunct w:val="0"/>
        <w:topLinePunct/>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法定代表人（负责人）：</w:t>
      </w:r>
    </w:p>
    <w:p w14:paraId="3C3C1BBA">
      <w:pPr>
        <w:overflowPunct w:val="0"/>
        <w:topLinePunct/>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法定代表人（负责人）身份证号：</w:t>
      </w:r>
    </w:p>
    <w:p w14:paraId="7DB4D08E">
      <w:pPr>
        <w:overflowPunct w:val="0"/>
        <w:topLinePunct/>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承诺日期：</w:t>
      </w:r>
    </w:p>
    <w:p w14:paraId="07F77E13">
      <w:pPr>
        <w:pStyle w:val="108"/>
        <w:spacing w:line="360" w:lineRule="auto"/>
        <w:ind w:firstLine="0" w:firstLineChars="0"/>
        <w:rPr>
          <w:rFonts w:asciiTheme="majorEastAsia" w:hAnsiTheme="majorEastAsia" w:eastAsiaTheme="majorEastAsia" w:cstheme="majorEastAsia"/>
          <w:b/>
          <w:bCs/>
          <w:sz w:val="24"/>
        </w:rPr>
      </w:pPr>
    </w:p>
    <w:p w14:paraId="344B60CC">
      <w:pPr>
        <w:pStyle w:val="108"/>
        <w:spacing w:line="360" w:lineRule="auto"/>
        <w:ind w:firstLine="0" w:firstLineChars="0"/>
        <w:rPr>
          <w:rFonts w:asciiTheme="majorEastAsia" w:hAnsiTheme="majorEastAsia" w:eastAsiaTheme="majorEastAsia" w:cstheme="majorEastAsia"/>
          <w:b/>
          <w:bCs/>
          <w:sz w:val="24"/>
        </w:rPr>
      </w:pPr>
    </w:p>
    <w:p w14:paraId="11F02AAF">
      <w:pPr>
        <w:pStyle w:val="108"/>
        <w:spacing w:line="360" w:lineRule="auto"/>
        <w:ind w:firstLine="0" w:firstLineChars="0"/>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szCs w:val="21"/>
        </w:rPr>
        <w:t>注：此承诺书除附在投标文件中外还须上传至“信用中国（陕西榆林）”网站投标人自主上报信用承诺书附件。（承诺有效期为1年，承诺起始时间为提交投标文件截止之日，须后附截图。）法定代表人或负责人、主体名称发生变更的应当重新做出承诺。</w:t>
      </w:r>
      <w:r>
        <w:rPr>
          <w:rFonts w:hint="eastAsia" w:asciiTheme="majorEastAsia" w:hAnsiTheme="majorEastAsia" w:eastAsiaTheme="majorEastAsia" w:cstheme="majorEastAsia"/>
          <w:szCs w:val="21"/>
        </w:rPr>
        <w:br w:type="page"/>
      </w:r>
      <w:r>
        <w:rPr>
          <w:rFonts w:hint="eastAsia" w:asciiTheme="majorEastAsia" w:hAnsiTheme="majorEastAsia" w:eastAsiaTheme="majorEastAsia" w:cstheme="majorEastAsia"/>
          <w:b/>
          <w:bCs/>
          <w:sz w:val="24"/>
        </w:rPr>
        <w:t>投标人信用承诺</w:t>
      </w:r>
    </w:p>
    <w:p w14:paraId="1573AF0A">
      <w:pPr>
        <w:widowControl/>
        <w:spacing w:line="360" w:lineRule="auto"/>
        <w:jc w:val="left"/>
        <w:rPr>
          <w:rFonts w:hint="eastAsia" w:asciiTheme="majorEastAsia" w:hAnsiTheme="majorEastAsia" w:eastAsiaTheme="majorEastAsia" w:cstheme="majorEastAsia"/>
          <w:sz w:val="24"/>
          <w:u w:val="none"/>
          <w:lang w:val="en-US" w:eastAsia="zh-CN"/>
        </w:rPr>
      </w:pPr>
      <w:r>
        <w:rPr>
          <w:rFonts w:hint="eastAsia" w:asciiTheme="majorEastAsia" w:hAnsiTheme="majorEastAsia" w:eastAsiaTheme="majorEastAsia" w:cstheme="majorEastAsia"/>
          <w:sz w:val="24"/>
        </w:rPr>
        <w:t>投标人：</w:t>
      </w:r>
      <w:r>
        <w:rPr>
          <w:rFonts w:hint="eastAsia" w:asciiTheme="majorEastAsia" w:hAnsiTheme="majorEastAsia" w:eastAsiaTheme="majorEastAsia" w:cstheme="majorEastAsia"/>
          <w:sz w:val="24"/>
          <w:u w:val="single"/>
          <w:lang w:val="en-US" w:eastAsia="zh-CN"/>
        </w:rPr>
        <w:t xml:space="preserve">                                        </w:t>
      </w:r>
      <w:r>
        <w:rPr>
          <w:rFonts w:hint="eastAsia" w:asciiTheme="majorEastAsia" w:hAnsiTheme="majorEastAsia" w:eastAsiaTheme="majorEastAsia" w:cstheme="majorEastAsia"/>
          <w:sz w:val="24"/>
          <w:u w:val="none"/>
          <w:lang w:val="en-US" w:eastAsia="zh-CN"/>
        </w:rPr>
        <w:t xml:space="preserve"> </w:t>
      </w:r>
    </w:p>
    <w:p w14:paraId="0D576E97">
      <w:pPr>
        <w:widowControl/>
        <w:spacing w:line="360" w:lineRule="auto"/>
        <w:jc w:val="left"/>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统一社会信用代码：</w:t>
      </w:r>
      <w:r>
        <w:rPr>
          <w:rFonts w:hint="eastAsia" w:asciiTheme="majorEastAsia" w:hAnsiTheme="majorEastAsia" w:eastAsiaTheme="majorEastAsia" w:cstheme="majorEastAsia"/>
          <w:sz w:val="24"/>
          <w:u w:val="single"/>
          <w:lang w:val="en-US" w:eastAsia="zh-CN"/>
        </w:rPr>
        <w:t xml:space="preserve">                             </w:t>
      </w:r>
      <w:r>
        <w:rPr>
          <w:rFonts w:hint="eastAsia" w:asciiTheme="majorEastAsia" w:hAnsiTheme="majorEastAsia" w:eastAsiaTheme="majorEastAsia" w:cstheme="majorEastAsia"/>
          <w:sz w:val="24"/>
          <w:u w:val="none"/>
          <w:lang w:val="en-US" w:eastAsia="zh-CN"/>
        </w:rPr>
        <w:t xml:space="preserve"> </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法人代表：</w:t>
      </w:r>
      <w:r>
        <w:rPr>
          <w:rFonts w:hint="eastAsia" w:asciiTheme="majorEastAsia" w:hAnsiTheme="majorEastAsia" w:eastAsiaTheme="majorEastAsia" w:cstheme="majorEastAsia"/>
          <w:sz w:val="24"/>
          <w:u w:val="single"/>
          <w:lang w:val="en-US" w:eastAsia="zh-CN"/>
        </w:rPr>
        <w:t xml:space="preserve">                            </w:t>
      </w:r>
    </w:p>
    <w:p w14:paraId="4B8D14A7">
      <w:pPr>
        <w:widowControl/>
        <w:spacing w:line="360" w:lineRule="auto"/>
        <w:jc w:val="left"/>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承诺有效期限：</w:t>
      </w:r>
      <w:r>
        <w:rPr>
          <w:rFonts w:hint="eastAsia" w:asciiTheme="majorEastAsia" w:hAnsiTheme="majorEastAsia" w:eastAsiaTheme="majorEastAsia" w:cstheme="majorEastAsia"/>
          <w:sz w:val="24"/>
          <w:u w:val="single"/>
          <w:lang w:val="en-US" w:eastAsia="zh-CN"/>
        </w:rPr>
        <w:t xml:space="preserve">     </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u w:val="single"/>
          <w:lang w:val="en-US" w:eastAsia="zh-CN"/>
        </w:rPr>
        <w:t xml:space="preserve">     </w:t>
      </w:r>
      <w:r>
        <w:rPr>
          <w:rFonts w:hint="eastAsia" w:asciiTheme="majorEastAsia" w:hAnsiTheme="majorEastAsia" w:eastAsiaTheme="majorEastAsia" w:cstheme="majorEastAsia"/>
          <w:sz w:val="24"/>
        </w:rPr>
        <w:t>月</w:t>
      </w:r>
      <w:r>
        <w:rPr>
          <w:rFonts w:hint="eastAsia" w:asciiTheme="majorEastAsia" w:hAnsiTheme="majorEastAsia" w:eastAsiaTheme="majorEastAsia" w:cstheme="majorEastAsia"/>
          <w:sz w:val="24"/>
          <w:u w:val="single"/>
          <w:lang w:val="en-US" w:eastAsia="zh-CN"/>
        </w:rPr>
        <w:t xml:space="preserve">     </w:t>
      </w:r>
      <w:r>
        <w:rPr>
          <w:rFonts w:hint="eastAsia" w:asciiTheme="majorEastAsia" w:hAnsiTheme="majorEastAsia" w:eastAsiaTheme="majorEastAsia" w:cstheme="majorEastAsia"/>
          <w:sz w:val="24"/>
        </w:rPr>
        <w:t>日—</w:t>
      </w:r>
      <w:r>
        <w:rPr>
          <w:rFonts w:hint="eastAsia" w:asciiTheme="majorEastAsia" w:hAnsiTheme="majorEastAsia" w:eastAsiaTheme="majorEastAsia" w:cstheme="majorEastAsia"/>
          <w:sz w:val="24"/>
          <w:u w:val="single"/>
          <w:lang w:val="en-US" w:eastAsia="zh-CN"/>
        </w:rPr>
        <w:t xml:space="preserve">     </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u w:val="single"/>
          <w:lang w:val="en-US" w:eastAsia="zh-CN"/>
        </w:rPr>
        <w:t xml:space="preserve">     </w:t>
      </w:r>
      <w:r>
        <w:rPr>
          <w:rFonts w:hint="eastAsia" w:asciiTheme="majorEastAsia" w:hAnsiTheme="majorEastAsia" w:eastAsiaTheme="majorEastAsia" w:cstheme="majorEastAsia"/>
          <w:sz w:val="24"/>
        </w:rPr>
        <w:t>月</w:t>
      </w:r>
      <w:r>
        <w:rPr>
          <w:rFonts w:hint="eastAsia" w:asciiTheme="majorEastAsia" w:hAnsiTheme="majorEastAsia" w:eastAsiaTheme="majorEastAsia" w:cstheme="majorEastAsia"/>
          <w:sz w:val="24"/>
          <w:u w:val="single"/>
          <w:lang w:val="en-US" w:eastAsia="zh-CN"/>
        </w:rPr>
        <w:t xml:space="preserve">     </w:t>
      </w:r>
      <w:r>
        <w:rPr>
          <w:rFonts w:hint="eastAsia" w:asciiTheme="majorEastAsia" w:hAnsiTheme="majorEastAsia" w:eastAsiaTheme="majorEastAsia" w:cstheme="majorEastAsia"/>
          <w:sz w:val="24"/>
        </w:rPr>
        <w:t>日</w:t>
      </w:r>
    </w:p>
    <w:p w14:paraId="7682DAA0">
      <w:pPr>
        <w:widowControl/>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在项目招投标活动中，我公司（单位）郑重作出以下信用承诺：</w:t>
      </w:r>
    </w:p>
    <w:p w14:paraId="0DE25911">
      <w:pPr>
        <w:widowControl/>
        <w:spacing w:line="360" w:lineRule="auto"/>
        <w:ind w:firstLine="48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一）能严格遵守法律法规、职业道德和行业规范，具有独立承担民事责任的能力；符合依法依规应当具备的相关资质（资格）条件；具有独立承担中标项目的履约能力；具有良好的商业信誉和健全的财务会计制度；有依法缴纳税收和社会保障资金的良好记录；无法律法规规定禁止开展从业活动情形。所递交文件资料合法、真实、准确、完整、有效。</w:t>
      </w:r>
    </w:p>
    <w:p w14:paraId="77B88FF2">
      <w:pPr>
        <w:widowControl/>
        <w:spacing w:line="360" w:lineRule="auto"/>
        <w:ind w:firstLine="48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磋商文件和投标文件与招标人签订合同；在签订合同时向招标人提出附加条件、或者改变投标文件的实质性内容；放弃中标；不按照招标文件的规定提交履约保证金。5.招投标法规定的其它违法违规行为。</w:t>
      </w:r>
    </w:p>
    <w:p w14:paraId="19F68CDD">
      <w:pPr>
        <w:spacing w:line="360" w:lineRule="auto"/>
        <w:ind w:firstLine="480" w:firstLineChars="200"/>
        <w:rPr>
          <w:rFonts w:asciiTheme="majorEastAsia" w:hAnsiTheme="majorEastAsia" w:eastAsiaTheme="majorEastAsia" w:cstheme="majorEastAsia"/>
          <w:sz w:val="24"/>
        </w:rPr>
      </w:pPr>
      <w:bookmarkStart w:id="156" w:name="_Toc14973"/>
      <w:r>
        <w:rPr>
          <w:rFonts w:hint="eastAsia" w:asciiTheme="majorEastAsia" w:hAnsiTheme="majorEastAsia" w:eastAsiaTheme="majorEastAsia" w:cstheme="majorEastAsia"/>
          <w:sz w:val="24"/>
        </w:rPr>
        <w:t>（三）自愿接受招投标监督部门和有关行政监督部门的依法检查。</w:t>
      </w:r>
      <w:bookmarkEnd w:id="156"/>
    </w:p>
    <w:p w14:paraId="62D7E66C">
      <w:pPr>
        <w:widowControl/>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（四）同意将此信用承诺纳入陕西省公共信用信息平台和榆林市公共信用信息共享平台，并上网公示，接受社会监督。</w:t>
      </w:r>
    </w:p>
    <w:p w14:paraId="0063E898">
      <w:pPr>
        <w:widowControl/>
        <w:spacing w:line="360" w:lineRule="auto"/>
        <w:ind w:firstLine="48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五）若我公司（单位）及相关参与人员违背以上承诺事项，即被视为失信企业（法人），依据《关于对公共资源交易领域严重失信主体开展联合惩戒的备忘录》（发改法规[2018]457号），自愿接受失信联合惩戒和依法给予的行政处罚（处理），并依法承担赔偿责任和刑事责任。</w:t>
      </w:r>
    </w:p>
    <w:p w14:paraId="10B9BE99">
      <w:pPr>
        <w:widowControl/>
        <w:tabs>
          <w:tab w:val="left" w:pos="4395"/>
        </w:tabs>
        <w:adjustRightInd w:val="0"/>
        <w:snapToGrid w:val="0"/>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法定代表人（签章）：                           投标人（盖章）：</w:t>
      </w:r>
    </w:p>
    <w:p w14:paraId="4C336FAE">
      <w:pPr>
        <w:adjustRightInd w:val="0"/>
        <w:snapToGrid w:val="0"/>
        <w:spacing w:line="360" w:lineRule="auto"/>
        <w:jc w:val="center"/>
        <w:rPr>
          <w:rFonts w:asciiTheme="majorEastAsia" w:hAnsiTheme="majorEastAsia" w:eastAsiaTheme="majorEastAsia" w:cstheme="majorEastAsia"/>
          <w:sz w:val="24"/>
        </w:rPr>
      </w:pPr>
    </w:p>
    <w:p w14:paraId="25852D89">
      <w:pPr>
        <w:adjustRightInd w:val="0"/>
        <w:snapToGrid w:val="0"/>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承诺时间：年月日</w:t>
      </w:r>
    </w:p>
    <w:p w14:paraId="5488BB13">
      <w:pPr>
        <w:spacing w:line="360" w:lineRule="auto"/>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Cs w:val="21"/>
        </w:rPr>
        <w:t>注：</w:t>
      </w:r>
      <w:r>
        <w:rPr>
          <w:rFonts w:hint="eastAsia" w:asciiTheme="majorEastAsia" w:hAnsiTheme="majorEastAsia" w:eastAsiaTheme="majorEastAsia" w:cstheme="majorEastAsia"/>
          <w:szCs w:val="21"/>
        </w:rPr>
        <w:t>此承诺书除附在投标文件中外还须上传至“信用中国（陕西榆林）”网站投标人自主上报信用承诺书附件。（承诺有效期同投标有效期，承诺起始时间为提交投标文件截止之日，须后附截图。）</w:t>
      </w:r>
      <w:r>
        <w:rPr>
          <w:rFonts w:hint="eastAsia" w:asciiTheme="majorEastAsia" w:hAnsiTheme="majorEastAsia" w:eastAsiaTheme="majorEastAsia" w:cstheme="majorEastAsia"/>
          <w:szCs w:val="21"/>
        </w:rPr>
        <w:br w:type="page"/>
      </w:r>
      <w:r>
        <w:rPr>
          <w:rFonts w:hint="eastAsia" w:asciiTheme="majorEastAsia" w:hAnsiTheme="majorEastAsia" w:eastAsiaTheme="majorEastAsia" w:cstheme="majorEastAsia"/>
          <w:b/>
          <w:bCs/>
          <w:sz w:val="24"/>
        </w:rPr>
        <w:t>投标信用承诺书</w:t>
      </w:r>
    </w:p>
    <w:p w14:paraId="5D1C7899">
      <w:pPr>
        <w:widowControl/>
        <w:spacing w:line="360" w:lineRule="auto"/>
        <w:jc w:val="left"/>
        <w:rPr>
          <w:rFonts w:asciiTheme="majorEastAsia" w:hAnsiTheme="majorEastAsia" w:eastAsiaTheme="majorEastAsia" w:cstheme="majorEastAsia"/>
          <w:sz w:val="24"/>
        </w:rPr>
      </w:pPr>
    </w:p>
    <w:p w14:paraId="49792A14">
      <w:pPr>
        <w:widowControl/>
        <w:spacing w:line="360" w:lineRule="auto"/>
        <w:jc w:val="left"/>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项目标段：</w:t>
      </w:r>
      <w:r>
        <w:rPr>
          <w:rFonts w:hint="eastAsia" w:asciiTheme="majorEastAsia" w:hAnsiTheme="majorEastAsia" w:eastAsiaTheme="majorEastAsia" w:cstheme="majorEastAsia"/>
          <w:sz w:val="24"/>
          <w:u w:val="single"/>
          <w:lang w:val="en-US" w:eastAsia="zh-CN"/>
        </w:rPr>
        <w:t xml:space="preserve">                                        </w:t>
      </w:r>
    </w:p>
    <w:p w14:paraId="3839ACF5">
      <w:pPr>
        <w:widowControl/>
        <w:spacing w:line="360" w:lineRule="auto"/>
        <w:jc w:val="left"/>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投标人：</w:t>
      </w:r>
      <w:r>
        <w:rPr>
          <w:rFonts w:hint="eastAsia" w:asciiTheme="majorEastAsia" w:hAnsiTheme="majorEastAsia" w:eastAsiaTheme="majorEastAsia" w:cstheme="majorEastAsia"/>
          <w:sz w:val="24"/>
          <w:u w:val="single"/>
          <w:lang w:val="en-US" w:eastAsia="zh-CN"/>
        </w:rPr>
        <w:t xml:space="preserve">                                        </w:t>
      </w:r>
    </w:p>
    <w:p w14:paraId="1BD020A1">
      <w:pPr>
        <w:widowControl/>
        <w:spacing w:line="360" w:lineRule="auto"/>
        <w:jc w:val="left"/>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统一社会信用代码：</w:t>
      </w:r>
      <w:r>
        <w:rPr>
          <w:rFonts w:hint="eastAsia" w:asciiTheme="majorEastAsia" w:hAnsiTheme="majorEastAsia" w:eastAsiaTheme="majorEastAsia" w:cstheme="majorEastAsia"/>
          <w:sz w:val="24"/>
          <w:u w:val="single"/>
          <w:lang w:val="en-US" w:eastAsia="zh-CN"/>
        </w:rPr>
        <w:t xml:space="preserve">                              </w:t>
      </w:r>
      <w:r>
        <w:rPr>
          <w:rFonts w:hint="eastAsia" w:asciiTheme="majorEastAsia" w:hAnsiTheme="majorEastAsia" w:eastAsiaTheme="majorEastAsia" w:cstheme="majorEastAsia"/>
          <w:sz w:val="24"/>
          <w:u w:val="none"/>
          <w:lang w:val="en-US" w:eastAsia="zh-CN"/>
        </w:rPr>
        <w:t xml:space="preserve">  </w:t>
      </w:r>
      <w:r>
        <w:rPr>
          <w:rFonts w:hint="eastAsia" w:asciiTheme="majorEastAsia" w:hAnsiTheme="majorEastAsia" w:eastAsiaTheme="majorEastAsia" w:cstheme="majorEastAsia"/>
          <w:sz w:val="24"/>
        </w:rPr>
        <w:t>法人代表：</w:t>
      </w:r>
      <w:r>
        <w:rPr>
          <w:rFonts w:hint="eastAsia" w:asciiTheme="majorEastAsia" w:hAnsiTheme="majorEastAsia" w:eastAsiaTheme="majorEastAsia" w:cstheme="majorEastAsia"/>
          <w:sz w:val="24"/>
          <w:u w:val="single"/>
          <w:lang w:val="en-US" w:eastAsia="zh-CN"/>
        </w:rPr>
        <w:t xml:space="preserve">           </w:t>
      </w:r>
    </w:p>
    <w:p w14:paraId="4C63DB45">
      <w:pPr>
        <w:widowControl/>
        <w:adjustRightInd w:val="0"/>
        <w:snapToGrid w:val="0"/>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在本项目标段招投标活动中，我公司（单位）自愿作出以下投标信用承诺：</w:t>
      </w:r>
    </w:p>
    <w:p w14:paraId="055EB1CF">
      <w:pPr>
        <w:widowControl/>
        <w:adjustRightInd w:val="0"/>
        <w:snapToGrid w:val="0"/>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（一）能严格遵守法律法规、职业道德和行业规范。</w:t>
      </w:r>
    </w:p>
    <w:p w14:paraId="33319B70">
      <w:pPr>
        <w:widowControl/>
        <w:adjustRightInd w:val="0"/>
        <w:snapToGrid w:val="0"/>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磋商文件和投标文件与招标人签订合同；在签订合同时向招标人提出附加条件、或者改变投标文件的实质性内容；放弃中标；不按照招标文件的规定提交履约保证金。5.招投标法规定的其它违法违规行为。</w:t>
      </w:r>
    </w:p>
    <w:p w14:paraId="2D0C711E">
      <w:pPr>
        <w:widowControl/>
        <w:adjustRightInd w:val="0"/>
        <w:snapToGrid w:val="0"/>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三）若我公司（单位）及相关参与人员违背以上承诺事项，即被视为失信企业（法人），依据《关于对公共资源交易领域严重失信主体开展联合惩戒的备忘录》（发改法规[2018]457号），自愿接受1至3年内限制参与公共资源交易活动。</w:t>
      </w:r>
    </w:p>
    <w:p w14:paraId="7E8B75A2">
      <w:pPr>
        <w:widowControl/>
        <w:adjustRightInd w:val="0"/>
        <w:snapToGrid w:val="0"/>
        <w:spacing w:line="360" w:lineRule="auto"/>
        <w:ind w:firstLine="480" w:firstLineChars="200"/>
        <w:jc w:val="left"/>
        <w:rPr>
          <w:rFonts w:asciiTheme="majorEastAsia" w:hAnsiTheme="majorEastAsia" w:eastAsiaTheme="majorEastAsia" w:cstheme="majorEastAsia"/>
          <w:sz w:val="24"/>
        </w:rPr>
      </w:pPr>
    </w:p>
    <w:p w14:paraId="6D1F64EF">
      <w:pPr>
        <w:widowControl/>
        <w:tabs>
          <w:tab w:val="left" w:pos="4395"/>
        </w:tabs>
        <w:adjustRightInd w:val="0"/>
        <w:snapToGrid w:val="0"/>
        <w:spacing w:line="360" w:lineRule="auto"/>
        <w:ind w:firstLine="720" w:firstLineChars="3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法定代表人（签章）：                           投标人（盖章）：</w:t>
      </w:r>
    </w:p>
    <w:p w14:paraId="2CF368F7">
      <w:pPr>
        <w:adjustRightInd w:val="0"/>
        <w:snapToGrid w:val="0"/>
        <w:spacing w:line="360" w:lineRule="auto"/>
        <w:rPr>
          <w:rFonts w:asciiTheme="majorEastAsia" w:hAnsiTheme="majorEastAsia" w:eastAsiaTheme="majorEastAsia" w:cstheme="majorEastAsia"/>
          <w:b/>
          <w:sz w:val="24"/>
        </w:rPr>
      </w:pPr>
    </w:p>
    <w:p w14:paraId="22F4D51D">
      <w:pPr>
        <w:adjustRightInd w:val="0"/>
        <w:snapToGrid w:val="0"/>
        <w:spacing w:line="360" w:lineRule="auto"/>
        <w:jc w:val="righ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承诺时间：年月日</w:t>
      </w:r>
    </w:p>
    <w:p w14:paraId="11881311">
      <w:pPr>
        <w:adjustRightInd w:val="0"/>
        <w:snapToGrid w:val="0"/>
        <w:spacing w:line="360" w:lineRule="auto"/>
        <w:rPr>
          <w:rFonts w:asciiTheme="majorEastAsia" w:hAnsiTheme="majorEastAsia" w:eastAsiaTheme="majorEastAsia" w:cstheme="majorEastAsia"/>
          <w:b/>
          <w:sz w:val="24"/>
        </w:rPr>
      </w:pPr>
    </w:p>
    <w:p w14:paraId="2F1AFCF9">
      <w:pPr>
        <w:widowControl/>
        <w:spacing w:line="360" w:lineRule="auto"/>
        <w:jc w:val="left"/>
        <w:rPr>
          <w:rFonts w:asciiTheme="majorEastAsia" w:hAnsiTheme="majorEastAsia" w:eastAsiaTheme="majorEastAsia" w:cstheme="majorEastAsia"/>
          <w:b/>
          <w:sz w:val="24"/>
        </w:rPr>
      </w:pPr>
    </w:p>
    <w:p w14:paraId="73D0310A">
      <w:pPr>
        <w:widowControl/>
        <w:spacing w:line="360" w:lineRule="auto"/>
        <w:jc w:val="left"/>
        <w:rPr>
          <w:rFonts w:asciiTheme="majorEastAsia" w:hAnsiTheme="majorEastAsia" w:eastAsiaTheme="majorEastAsia" w:cstheme="majorEastAsia"/>
          <w:b/>
          <w:sz w:val="24"/>
        </w:rPr>
      </w:pPr>
    </w:p>
    <w:p w14:paraId="20538516">
      <w:pPr>
        <w:widowControl/>
        <w:spacing w:line="360" w:lineRule="auto"/>
        <w:jc w:val="left"/>
        <w:rPr>
          <w:rFonts w:asciiTheme="majorEastAsia" w:hAnsiTheme="majorEastAsia" w:eastAsiaTheme="majorEastAsia" w:cstheme="majorEastAsia"/>
          <w:b/>
          <w:sz w:val="24"/>
        </w:rPr>
      </w:pPr>
    </w:p>
    <w:p w14:paraId="6C619E97">
      <w:pPr>
        <w:widowControl/>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b/>
          <w:szCs w:val="21"/>
        </w:rPr>
        <w:t>说明：本承诺书效力和作用等同投标保证金，其有效期与投标有效期一致。</w:t>
      </w:r>
    </w:p>
    <w:p w14:paraId="5B7CC73B">
      <w:pPr>
        <w:widowControl/>
        <w:spacing w:line="360" w:lineRule="auto"/>
        <w:jc w:val="left"/>
        <w:rPr>
          <w:rFonts w:asciiTheme="majorEastAsia" w:hAnsiTheme="majorEastAsia" w:eastAsiaTheme="majorEastAsia" w:cstheme="majorEastAsia"/>
          <w:szCs w:val="21"/>
        </w:rPr>
      </w:pPr>
    </w:p>
    <w:p w14:paraId="5E389EB6">
      <w:pPr>
        <w:widowControl/>
        <w:spacing w:line="360" w:lineRule="auto"/>
        <w:jc w:val="left"/>
        <w:rPr>
          <w:rFonts w:asciiTheme="majorEastAsia" w:hAnsiTheme="majorEastAsia" w:eastAsiaTheme="majorEastAsia" w:cstheme="majorEastAsia"/>
          <w:szCs w:val="21"/>
        </w:rPr>
        <w:sectPr>
          <w:pgSz w:w="11906" w:h="16838"/>
          <w:pgMar w:top="1440" w:right="1287" w:bottom="1440" w:left="1440" w:header="850" w:footer="992" w:gutter="0"/>
          <w:cols w:space="720" w:num="1"/>
          <w:titlePg/>
          <w:docGrid w:linePitch="360" w:charSpace="0"/>
        </w:sectPr>
      </w:pPr>
      <w:r>
        <w:rPr>
          <w:rFonts w:hint="eastAsia" w:asciiTheme="majorEastAsia" w:hAnsiTheme="majorEastAsia" w:eastAsiaTheme="majorEastAsia" w:cstheme="majorEastAsia"/>
          <w:b/>
          <w:bCs/>
          <w:szCs w:val="21"/>
        </w:rPr>
        <w:t>注：</w:t>
      </w:r>
      <w:r>
        <w:rPr>
          <w:rFonts w:hint="eastAsia" w:asciiTheme="majorEastAsia" w:hAnsiTheme="majorEastAsia" w:eastAsiaTheme="majorEastAsia" w:cstheme="majorEastAsia"/>
          <w:szCs w:val="21"/>
        </w:rPr>
        <w:t>此承诺书除附在投标文件中外还须上传至“信用中国（陕西榆林）”网站投标人自主上报信用承诺书附件。（须后附截图）</w:t>
      </w:r>
    </w:p>
    <w:p w14:paraId="00888572">
      <w:pPr>
        <w:widowControl/>
        <w:spacing w:line="360" w:lineRule="auto"/>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投标人委托代理人员信用承诺书</w:t>
      </w:r>
    </w:p>
    <w:p w14:paraId="11199ACF">
      <w:pPr>
        <w:widowControl/>
        <w:spacing w:line="360" w:lineRule="auto"/>
        <w:ind w:firstLine="480" w:firstLineChars="200"/>
        <w:jc w:val="left"/>
        <w:rPr>
          <w:rFonts w:asciiTheme="majorEastAsia" w:hAnsiTheme="majorEastAsia" w:eastAsiaTheme="majorEastAsia" w:cstheme="majorEastAsia"/>
          <w:sz w:val="24"/>
        </w:rPr>
      </w:pPr>
    </w:p>
    <w:p w14:paraId="2EDE8121">
      <w:pPr>
        <w:widowControl/>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在</w:t>
      </w:r>
      <w:r>
        <w:rPr>
          <w:rFonts w:hint="eastAsia" w:asciiTheme="majorEastAsia" w:hAnsiTheme="majorEastAsia" w:eastAsiaTheme="majorEastAsia" w:cstheme="majorEastAsia"/>
          <w:sz w:val="24"/>
          <w:u w:val="single"/>
          <w:lang w:val="en-US" w:eastAsia="zh-CN"/>
        </w:rPr>
        <w:t xml:space="preserve">                                   </w:t>
      </w:r>
      <w:r>
        <w:rPr>
          <w:rFonts w:hint="eastAsia" w:asciiTheme="majorEastAsia" w:hAnsiTheme="majorEastAsia" w:eastAsiaTheme="majorEastAsia" w:cstheme="majorEastAsia"/>
          <w:sz w:val="24"/>
        </w:rPr>
        <w:t>项目招投标活动中，我个人郑重作出以下信用承诺：</w:t>
      </w:r>
    </w:p>
    <w:p w14:paraId="7D9B0BAF">
      <w:pPr>
        <w:widowControl/>
        <w:spacing w:line="360" w:lineRule="auto"/>
        <w:ind w:firstLine="48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（一）能严格遵守法律法规、职业道德和行业规范，具有独立承担民事责任的能力；无法律法规规定禁止开展从业活动情形。我所递交的文件资料合法、真实、准确、完整、有效，无弄虚作假等情形。</w:t>
      </w:r>
    </w:p>
    <w:p w14:paraId="413A2313">
      <w:pPr>
        <w:widowControl/>
        <w:spacing w:line="360" w:lineRule="auto"/>
        <w:ind w:firstLine="48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磋商文件和投标文件与招标人签订合同；在签订合同时向招标人提出附加条件、或者改变投标文件的实质性内容；放弃中标；不按照招标文件的规定提交履约保证金。5.招投标法规定的其它违法违规行为。</w:t>
      </w:r>
    </w:p>
    <w:p w14:paraId="43E0ACE4">
      <w:pPr>
        <w:spacing w:line="360" w:lineRule="auto"/>
        <w:ind w:firstLine="480" w:firstLineChars="200"/>
        <w:rPr>
          <w:rFonts w:asciiTheme="majorEastAsia" w:hAnsiTheme="majorEastAsia" w:eastAsiaTheme="majorEastAsia" w:cstheme="majorEastAsia"/>
          <w:sz w:val="24"/>
        </w:rPr>
      </w:pPr>
      <w:bookmarkStart w:id="157" w:name="_Toc14892"/>
      <w:r>
        <w:rPr>
          <w:rFonts w:hint="eastAsia" w:asciiTheme="majorEastAsia" w:hAnsiTheme="majorEastAsia" w:eastAsiaTheme="majorEastAsia" w:cstheme="majorEastAsia"/>
          <w:sz w:val="24"/>
        </w:rPr>
        <w:t>（三）自愿接受招投标监督部门和有关行政监督部门的依法检查。</w:t>
      </w:r>
      <w:bookmarkEnd w:id="157"/>
    </w:p>
    <w:p w14:paraId="45B48047">
      <w:pPr>
        <w:widowControl/>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（四）同意将此信用承诺纳入陕西省公共信用信息平台和榆林市公共信用信息共享平台，并接受社会监督。</w:t>
      </w:r>
    </w:p>
    <w:p w14:paraId="19291B7D">
      <w:pPr>
        <w:widowControl/>
        <w:spacing w:line="360" w:lineRule="auto"/>
        <w:ind w:firstLine="48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五）若我违背以上承诺事项，即被视为失信人，依据《关于对公共资源交易领域严重失信主体开展联合惩戒的备忘录》（发改法规[2018]457号），自愿接受失信联合惩戒和依法给予的行政处罚（处理），并依法承担赔偿责任和刑事责任。</w:t>
      </w:r>
    </w:p>
    <w:p w14:paraId="547A7028">
      <w:pPr>
        <w:widowControl/>
        <w:spacing w:line="360" w:lineRule="auto"/>
        <w:ind w:firstLine="482"/>
        <w:jc w:val="left"/>
        <w:rPr>
          <w:rFonts w:asciiTheme="majorEastAsia" w:hAnsiTheme="majorEastAsia" w:eastAsiaTheme="majorEastAsia" w:cstheme="majorEastAsia"/>
          <w:sz w:val="24"/>
        </w:rPr>
      </w:pPr>
    </w:p>
    <w:p w14:paraId="59200542">
      <w:pPr>
        <w:widowControl/>
        <w:spacing w:line="360" w:lineRule="auto"/>
        <w:ind w:firstLine="482"/>
        <w:jc w:val="left"/>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承诺有效期限：</w:t>
      </w:r>
      <w:r>
        <w:rPr>
          <w:rFonts w:hint="eastAsia" w:asciiTheme="majorEastAsia" w:hAnsiTheme="majorEastAsia" w:eastAsiaTheme="majorEastAsia" w:cstheme="majorEastAsia"/>
          <w:sz w:val="24"/>
          <w:u w:val="single"/>
          <w:lang w:val="en-US" w:eastAsia="zh-CN"/>
        </w:rPr>
        <w:t xml:space="preserve">     </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u w:val="single"/>
          <w:lang w:val="en-US" w:eastAsia="zh-CN"/>
        </w:rPr>
        <w:t xml:space="preserve">     </w:t>
      </w:r>
      <w:r>
        <w:rPr>
          <w:rFonts w:hint="eastAsia" w:asciiTheme="majorEastAsia" w:hAnsiTheme="majorEastAsia" w:eastAsiaTheme="majorEastAsia" w:cstheme="majorEastAsia"/>
          <w:sz w:val="24"/>
        </w:rPr>
        <w:t>月</w:t>
      </w:r>
      <w:r>
        <w:rPr>
          <w:rFonts w:hint="eastAsia" w:asciiTheme="majorEastAsia" w:hAnsiTheme="majorEastAsia" w:eastAsiaTheme="majorEastAsia" w:cstheme="majorEastAsia"/>
          <w:sz w:val="24"/>
          <w:u w:val="single"/>
          <w:lang w:val="en-US" w:eastAsia="zh-CN"/>
        </w:rPr>
        <w:t xml:space="preserve">     </w:t>
      </w:r>
      <w:r>
        <w:rPr>
          <w:rFonts w:hint="eastAsia" w:asciiTheme="majorEastAsia" w:hAnsiTheme="majorEastAsia" w:eastAsiaTheme="majorEastAsia" w:cstheme="majorEastAsia"/>
          <w:sz w:val="24"/>
        </w:rPr>
        <w:t>日—</w:t>
      </w:r>
      <w:r>
        <w:rPr>
          <w:rFonts w:hint="eastAsia" w:asciiTheme="majorEastAsia" w:hAnsiTheme="majorEastAsia" w:eastAsiaTheme="majorEastAsia" w:cstheme="majorEastAsia"/>
          <w:sz w:val="24"/>
          <w:u w:val="single"/>
          <w:lang w:val="en-US" w:eastAsia="zh-CN"/>
        </w:rPr>
        <w:t xml:space="preserve">     </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u w:val="single"/>
          <w:lang w:val="en-US" w:eastAsia="zh-CN"/>
        </w:rPr>
        <w:t xml:space="preserve">     </w:t>
      </w:r>
      <w:r>
        <w:rPr>
          <w:rFonts w:hint="eastAsia" w:asciiTheme="majorEastAsia" w:hAnsiTheme="majorEastAsia" w:eastAsiaTheme="majorEastAsia" w:cstheme="majorEastAsia"/>
          <w:sz w:val="24"/>
        </w:rPr>
        <w:t>月</w:t>
      </w:r>
      <w:r>
        <w:rPr>
          <w:rFonts w:hint="eastAsia" w:asciiTheme="majorEastAsia" w:hAnsiTheme="majorEastAsia" w:eastAsiaTheme="majorEastAsia" w:cstheme="majorEastAsia"/>
          <w:sz w:val="24"/>
          <w:u w:val="single"/>
          <w:lang w:val="en-US" w:eastAsia="zh-CN"/>
        </w:rPr>
        <w:t xml:space="preserve">     </w:t>
      </w:r>
      <w:r>
        <w:rPr>
          <w:rFonts w:hint="eastAsia" w:asciiTheme="majorEastAsia" w:hAnsiTheme="majorEastAsia" w:eastAsiaTheme="majorEastAsia" w:cstheme="majorEastAsia"/>
          <w:sz w:val="24"/>
        </w:rPr>
        <w:t>日</w:t>
      </w:r>
    </w:p>
    <w:p w14:paraId="56D2FE6B">
      <w:pPr>
        <w:widowControl/>
        <w:spacing w:line="360" w:lineRule="auto"/>
        <w:ind w:firstLine="482"/>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投标人：</w:t>
      </w:r>
      <w:r>
        <w:rPr>
          <w:rFonts w:hint="eastAsia" w:asciiTheme="majorEastAsia" w:hAnsiTheme="majorEastAsia" w:eastAsiaTheme="majorEastAsia" w:cstheme="majorEastAsia"/>
          <w:sz w:val="24"/>
          <w:u w:val="single"/>
          <w:lang w:val="en-US" w:eastAsia="zh-CN"/>
        </w:rPr>
        <w:t xml:space="preserve">                                   </w:t>
      </w:r>
    </w:p>
    <w:p w14:paraId="6FAF52B4">
      <w:pPr>
        <w:widowControl/>
        <w:spacing w:line="360" w:lineRule="auto"/>
        <w:ind w:firstLine="482"/>
        <w:jc w:val="left"/>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承诺人（签字）：</w:t>
      </w:r>
      <w:r>
        <w:rPr>
          <w:rFonts w:hint="eastAsia" w:asciiTheme="majorEastAsia" w:hAnsiTheme="majorEastAsia" w:eastAsiaTheme="majorEastAsia" w:cstheme="majorEastAsia"/>
          <w:sz w:val="24"/>
          <w:u w:val="single"/>
          <w:lang w:val="en-US" w:eastAsia="zh-CN"/>
        </w:rPr>
        <w:t xml:space="preserve">                                   </w:t>
      </w:r>
    </w:p>
    <w:p w14:paraId="549F48F2">
      <w:pPr>
        <w:widowControl/>
        <w:spacing w:line="360" w:lineRule="auto"/>
        <w:ind w:firstLine="482"/>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承诺时间：</w:t>
      </w:r>
      <w:r>
        <w:rPr>
          <w:rFonts w:hint="eastAsia" w:asciiTheme="majorEastAsia" w:hAnsiTheme="majorEastAsia" w:eastAsiaTheme="majorEastAsia" w:cstheme="majorEastAsia"/>
          <w:sz w:val="24"/>
          <w:u w:val="single"/>
          <w:lang w:val="en-US" w:eastAsia="zh-CN"/>
        </w:rPr>
        <w:t xml:space="preserve">     </w:t>
      </w:r>
      <w:r>
        <w:rPr>
          <w:rFonts w:hint="eastAsia" w:asciiTheme="majorEastAsia" w:hAnsiTheme="majorEastAsia" w:eastAsiaTheme="majorEastAsia" w:cstheme="majorEastAsia"/>
          <w:sz w:val="24"/>
        </w:rPr>
        <w:t>年</w:t>
      </w:r>
      <w:r>
        <w:rPr>
          <w:rFonts w:hint="eastAsia" w:asciiTheme="majorEastAsia" w:hAnsiTheme="majorEastAsia" w:eastAsiaTheme="majorEastAsia" w:cstheme="majorEastAsia"/>
          <w:sz w:val="24"/>
          <w:u w:val="single"/>
          <w:lang w:val="en-US" w:eastAsia="zh-CN"/>
        </w:rPr>
        <w:t xml:space="preserve">     </w:t>
      </w:r>
      <w:r>
        <w:rPr>
          <w:rFonts w:hint="eastAsia" w:asciiTheme="majorEastAsia" w:hAnsiTheme="majorEastAsia" w:eastAsiaTheme="majorEastAsia" w:cstheme="majorEastAsia"/>
          <w:sz w:val="24"/>
        </w:rPr>
        <w:t>月</w:t>
      </w:r>
      <w:r>
        <w:rPr>
          <w:rFonts w:hint="eastAsia" w:asciiTheme="majorEastAsia" w:hAnsiTheme="majorEastAsia" w:eastAsiaTheme="majorEastAsia" w:cstheme="majorEastAsia"/>
          <w:sz w:val="24"/>
          <w:u w:val="single"/>
          <w:lang w:val="en-US" w:eastAsia="zh-CN"/>
        </w:rPr>
        <w:t xml:space="preserve">     </w:t>
      </w:r>
      <w:r>
        <w:rPr>
          <w:rFonts w:hint="eastAsia" w:asciiTheme="majorEastAsia" w:hAnsiTheme="majorEastAsia" w:eastAsiaTheme="majorEastAsia" w:cstheme="majorEastAsia"/>
          <w:sz w:val="24"/>
        </w:rPr>
        <w:t>日</w:t>
      </w:r>
    </w:p>
    <w:p w14:paraId="36A6357C">
      <w:pPr>
        <w:spacing w:line="360" w:lineRule="auto"/>
        <w:rPr>
          <w:rFonts w:asciiTheme="majorEastAsia" w:hAnsiTheme="majorEastAsia" w:eastAsiaTheme="majorEastAsia" w:cstheme="majorEastAsia"/>
          <w:b/>
          <w:bCs/>
          <w:sz w:val="24"/>
        </w:rPr>
      </w:pPr>
    </w:p>
    <w:p w14:paraId="2D94B4F7">
      <w:pPr>
        <w:pStyle w:val="10"/>
        <w:spacing w:line="360" w:lineRule="auto"/>
        <w:rPr>
          <w:rFonts w:asciiTheme="majorEastAsia" w:hAnsiTheme="majorEastAsia" w:eastAsiaTheme="majorEastAsia" w:cstheme="majorEastAsia"/>
          <w:sz w:val="21"/>
          <w:szCs w:val="21"/>
        </w:rPr>
        <w:sectPr>
          <w:pgSz w:w="11906" w:h="16838"/>
          <w:pgMar w:top="1440" w:right="1287" w:bottom="1440" w:left="1440" w:header="850" w:footer="992" w:gutter="0"/>
          <w:cols w:space="720" w:num="1"/>
          <w:titlePg/>
          <w:docGrid w:linePitch="360" w:charSpace="0"/>
        </w:sectPr>
      </w:pPr>
      <w:r>
        <w:rPr>
          <w:rFonts w:hint="eastAsia" w:asciiTheme="majorEastAsia" w:hAnsiTheme="majorEastAsia" w:eastAsiaTheme="majorEastAsia" w:cstheme="majorEastAsia"/>
          <w:b/>
          <w:bCs/>
          <w:sz w:val="21"/>
          <w:szCs w:val="21"/>
        </w:rPr>
        <w:t>注：</w:t>
      </w:r>
      <w:r>
        <w:rPr>
          <w:rFonts w:hint="eastAsia" w:asciiTheme="majorEastAsia" w:hAnsiTheme="majorEastAsia" w:eastAsiaTheme="majorEastAsia" w:cstheme="majorEastAsia"/>
          <w:sz w:val="21"/>
          <w:szCs w:val="21"/>
        </w:rPr>
        <w:t>法定代表人直接参与投标的无须上报和提供此附件；如由委托代理人参与投标的，此承诺书除附在投标文件中外还须上传至“信用中国（陕西榆林）”网站授权委托人自主上报信用承诺书附件。（承诺有效期同投标有效期，承诺起始时间为提交投标文件截止之日，须后附截图。）</w:t>
      </w:r>
    </w:p>
    <w:p w14:paraId="770C67A0">
      <w:pPr>
        <w:spacing w:line="440" w:lineRule="exact"/>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六、实施方案</w:t>
      </w:r>
    </w:p>
    <w:p w14:paraId="28A2FA3F">
      <w:pPr>
        <w:tabs>
          <w:tab w:val="left" w:pos="720"/>
          <w:tab w:val="left" w:pos="8364"/>
        </w:tabs>
        <w:adjustRightInd w:val="0"/>
        <w:snapToGrid w:val="0"/>
        <w:ind w:firstLine="4320" w:firstLineChars="1800"/>
        <w:rPr>
          <w:rFonts w:asciiTheme="majorEastAsia" w:hAnsiTheme="majorEastAsia" w:eastAsiaTheme="majorEastAsia" w:cstheme="majorEastAsia"/>
          <w:sz w:val="24"/>
        </w:rPr>
      </w:pPr>
    </w:p>
    <w:p w14:paraId="1576B7C4">
      <w:pPr>
        <w:pStyle w:val="42"/>
        <w:spacing w:line="480" w:lineRule="auto"/>
        <w:ind w:firstLine="0" w:firstLineChars="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（格式自拟）</w:t>
      </w:r>
    </w:p>
    <w:p w14:paraId="525F784A">
      <w:pPr>
        <w:pStyle w:val="42"/>
        <w:spacing w:line="480" w:lineRule="auto"/>
        <w:ind w:firstLine="0" w:firstLineChars="0"/>
        <w:rPr>
          <w:rFonts w:asciiTheme="majorEastAsia" w:hAnsiTheme="majorEastAsia" w:eastAsiaTheme="majorEastAsia" w:cstheme="majorEastAsia"/>
          <w:sz w:val="24"/>
        </w:rPr>
      </w:pPr>
    </w:p>
    <w:p w14:paraId="5CF036F7">
      <w:pPr>
        <w:tabs>
          <w:tab w:val="left" w:pos="720"/>
          <w:tab w:val="left" w:pos="8364"/>
        </w:tabs>
        <w:adjustRightInd w:val="0"/>
        <w:snapToGrid w:val="0"/>
        <w:spacing w:line="360" w:lineRule="auto"/>
        <w:ind w:firstLine="5880" w:firstLineChars="2100"/>
        <w:rPr>
          <w:rFonts w:asciiTheme="majorEastAsia" w:hAnsiTheme="majorEastAsia" w:eastAsiaTheme="majorEastAsia" w:cstheme="majorEastAsia"/>
          <w:sz w:val="28"/>
          <w:szCs w:val="28"/>
        </w:rPr>
      </w:pPr>
    </w:p>
    <w:p w14:paraId="7F8F6078">
      <w:pPr>
        <w:rPr>
          <w:rFonts w:asciiTheme="majorEastAsia" w:hAnsiTheme="majorEastAsia" w:eastAsiaTheme="majorEastAsia" w:cstheme="majorEastAsia"/>
          <w:sz w:val="24"/>
        </w:rPr>
      </w:pPr>
    </w:p>
    <w:p w14:paraId="7D636ACB">
      <w:pPr>
        <w:spacing w:line="480" w:lineRule="auto"/>
        <w:ind w:firstLine="2409" w:firstLineChars="1000"/>
        <w:rPr>
          <w:rFonts w:asciiTheme="majorEastAsia" w:hAnsiTheme="majorEastAsia" w:eastAsiaTheme="majorEastAsia" w:cstheme="majorEastAsia"/>
          <w:b/>
          <w:sz w:val="24"/>
        </w:rPr>
      </w:pPr>
    </w:p>
    <w:p w14:paraId="34A115F6">
      <w:pPr>
        <w:spacing w:line="480" w:lineRule="auto"/>
        <w:ind w:firstLine="2409" w:firstLineChars="1000"/>
        <w:rPr>
          <w:rFonts w:asciiTheme="majorEastAsia" w:hAnsiTheme="majorEastAsia" w:eastAsiaTheme="majorEastAsia" w:cstheme="majorEastAsia"/>
          <w:b/>
          <w:sz w:val="24"/>
        </w:rPr>
      </w:pPr>
    </w:p>
    <w:p w14:paraId="62EB563E">
      <w:pPr>
        <w:spacing w:line="480" w:lineRule="auto"/>
        <w:rPr>
          <w:rFonts w:asciiTheme="majorEastAsia" w:hAnsiTheme="majorEastAsia" w:eastAsiaTheme="majorEastAsia" w:cstheme="majorEastAsia"/>
          <w:b/>
          <w:sz w:val="24"/>
        </w:rPr>
      </w:pPr>
    </w:p>
    <w:p w14:paraId="5DB4171F">
      <w:pPr>
        <w:pStyle w:val="42"/>
        <w:rPr>
          <w:rFonts w:asciiTheme="majorEastAsia" w:hAnsiTheme="majorEastAsia" w:eastAsiaTheme="majorEastAsia" w:cstheme="majorEastAsia"/>
        </w:rPr>
      </w:pPr>
    </w:p>
    <w:p w14:paraId="2C48F349">
      <w:pPr>
        <w:pStyle w:val="42"/>
        <w:rPr>
          <w:rFonts w:asciiTheme="majorEastAsia" w:hAnsiTheme="majorEastAsia" w:eastAsiaTheme="majorEastAsia" w:cstheme="majorEastAsia"/>
        </w:rPr>
      </w:pPr>
    </w:p>
    <w:p w14:paraId="24CA37EC">
      <w:pPr>
        <w:pStyle w:val="42"/>
        <w:rPr>
          <w:rFonts w:asciiTheme="majorEastAsia" w:hAnsiTheme="majorEastAsia" w:eastAsiaTheme="majorEastAsia" w:cstheme="majorEastAsia"/>
        </w:rPr>
      </w:pPr>
    </w:p>
    <w:p w14:paraId="4CF55A4C">
      <w:pPr>
        <w:pStyle w:val="42"/>
        <w:rPr>
          <w:rFonts w:asciiTheme="majorEastAsia" w:hAnsiTheme="majorEastAsia" w:eastAsiaTheme="majorEastAsia" w:cstheme="majorEastAsia"/>
        </w:rPr>
      </w:pPr>
    </w:p>
    <w:p w14:paraId="0E56576D">
      <w:pPr>
        <w:keepNext/>
        <w:spacing w:line="360" w:lineRule="auto"/>
        <w:rPr>
          <w:rFonts w:asciiTheme="majorEastAsia" w:hAnsiTheme="majorEastAsia" w:eastAsiaTheme="majorEastAsia" w:cstheme="majorEastAsia"/>
          <w:b/>
          <w:bCs/>
          <w:sz w:val="32"/>
          <w:szCs w:val="32"/>
        </w:rPr>
      </w:pPr>
    </w:p>
    <w:p w14:paraId="0CC9E127">
      <w:pPr>
        <w:pStyle w:val="10"/>
        <w:rPr>
          <w:rFonts w:asciiTheme="majorEastAsia" w:hAnsiTheme="majorEastAsia" w:eastAsiaTheme="majorEastAsia" w:cstheme="majorEastAsia"/>
          <w:b/>
          <w:bCs/>
          <w:sz w:val="32"/>
          <w:szCs w:val="32"/>
        </w:rPr>
      </w:pPr>
    </w:p>
    <w:p w14:paraId="4E9634D3">
      <w:pPr>
        <w:widowControl/>
        <w:jc w:val="center"/>
        <w:rPr>
          <w:rFonts w:asciiTheme="majorEastAsia" w:hAnsiTheme="majorEastAsia" w:eastAsiaTheme="majorEastAsia" w:cstheme="majorEastAsia"/>
          <w:sz w:val="24"/>
        </w:rPr>
      </w:pPr>
    </w:p>
    <w:p w14:paraId="7871310A">
      <w:pPr>
        <w:widowControl/>
        <w:ind w:firstLine="964" w:firstLineChars="300"/>
        <w:rPr>
          <w:rFonts w:asciiTheme="majorEastAsia" w:hAnsiTheme="majorEastAsia" w:eastAsiaTheme="majorEastAsia" w:cstheme="majorEastAsia"/>
          <w:b/>
          <w:bCs/>
          <w:sz w:val="32"/>
          <w:szCs w:val="32"/>
        </w:rPr>
        <w:sectPr>
          <w:pgSz w:w="11906" w:h="16838"/>
          <w:pgMar w:top="1440" w:right="1417" w:bottom="1440" w:left="1417" w:header="851" w:footer="992" w:gutter="0"/>
          <w:cols w:space="720" w:num="1"/>
          <w:docGrid w:type="lines" w:linePitch="312" w:charSpace="0"/>
        </w:sectPr>
      </w:pPr>
    </w:p>
    <w:p w14:paraId="67776D3C">
      <w:pPr>
        <w:numPr>
          <w:ilvl w:val="1"/>
          <w:numId w:val="0"/>
        </w:numPr>
        <w:ind w:left="575"/>
        <w:jc w:val="center"/>
        <w:rPr>
          <w:rFonts w:hint="eastAsia" w:asciiTheme="majorEastAsia" w:hAnsiTheme="majorEastAsia" w:eastAsiaTheme="majorEastAsia" w:cstheme="majorEastAsia"/>
          <w:b/>
          <w:bCs/>
          <w:sz w:val="32"/>
          <w:szCs w:val="32"/>
          <w:lang w:eastAsia="zh-CN"/>
        </w:rPr>
      </w:pPr>
      <w:r>
        <w:rPr>
          <w:rFonts w:hint="eastAsia" w:asciiTheme="majorEastAsia" w:hAnsiTheme="majorEastAsia" w:eastAsiaTheme="majorEastAsia" w:cstheme="majorEastAsia"/>
          <w:b/>
          <w:bCs/>
          <w:sz w:val="32"/>
          <w:szCs w:val="32"/>
        </w:rPr>
        <w:t>七、投标人拒绝政府采购领域商业贿赂承诺书</w:t>
      </w:r>
    </w:p>
    <w:p w14:paraId="5F705514">
      <w:pPr>
        <w:numPr>
          <w:ilvl w:val="1"/>
          <w:numId w:val="0"/>
        </w:numPr>
        <w:ind w:left="575"/>
        <w:jc w:val="center"/>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承诺书（一）</w:t>
      </w:r>
    </w:p>
    <w:p w14:paraId="36E96B55">
      <w:pPr>
        <w:widowControl/>
        <w:spacing w:line="520" w:lineRule="exact"/>
        <w:ind w:firstLine="480" w:firstLineChars="200"/>
        <w:jc w:val="left"/>
        <w:rPr>
          <w:rFonts w:hint="eastAsia" w:asciiTheme="majorEastAsia" w:hAnsiTheme="majorEastAsia" w:eastAsiaTheme="majorEastAsia" w:cstheme="majorEastAsia"/>
          <w:kern w:val="0"/>
          <w:sz w:val="24"/>
          <w:lang w:eastAsia="zh-CN"/>
        </w:rPr>
      </w:pPr>
      <w:r>
        <w:rPr>
          <w:rFonts w:hint="eastAsia" w:asciiTheme="majorEastAsia" w:hAnsiTheme="majorEastAsia" w:eastAsiaTheme="majorEastAsia" w:cstheme="majorEastAsia"/>
          <w:kern w:val="0"/>
          <w:sz w:val="24"/>
        </w:rPr>
        <w:t xml:space="preserve">为响应党中央、国务院关于治理政府采购领域商业贿赂行为的号召，我单位在此庄严承诺： </w:t>
      </w:r>
    </w:p>
    <w:p w14:paraId="26A5F912">
      <w:pPr>
        <w:widowControl/>
        <w:spacing w:line="520" w:lineRule="exact"/>
        <w:ind w:firstLine="480" w:firstLineChars="200"/>
        <w:jc w:val="left"/>
        <w:rPr>
          <w:rFonts w:hint="eastAsia" w:asciiTheme="majorEastAsia" w:hAnsiTheme="majorEastAsia" w:eastAsiaTheme="majorEastAsia" w:cstheme="majorEastAsia"/>
          <w:kern w:val="0"/>
          <w:sz w:val="24"/>
          <w:lang w:eastAsia="zh-CN"/>
        </w:rPr>
      </w:pPr>
      <w:r>
        <w:rPr>
          <w:rFonts w:hint="eastAsia" w:asciiTheme="majorEastAsia" w:hAnsiTheme="majorEastAsia" w:eastAsiaTheme="majorEastAsia" w:cstheme="majorEastAsia"/>
          <w:kern w:val="0"/>
          <w:sz w:val="24"/>
        </w:rPr>
        <w:t xml:space="preserve">　　1、在参与政府采购活动中遵纪守法、诚信经营、公平竞标。 </w:t>
      </w:r>
    </w:p>
    <w:p w14:paraId="61D60ADA">
      <w:pPr>
        <w:widowControl/>
        <w:spacing w:line="520" w:lineRule="exact"/>
        <w:ind w:firstLine="480" w:firstLineChars="200"/>
        <w:jc w:val="left"/>
        <w:rPr>
          <w:rFonts w:hint="eastAsia" w:asciiTheme="majorEastAsia" w:hAnsiTheme="majorEastAsia" w:eastAsiaTheme="majorEastAsia" w:cstheme="majorEastAsia"/>
          <w:kern w:val="0"/>
          <w:sz w:val="24"/>
          <w:lang w:eastAsia="zh-CN"/>
        </w:rPr>
      </w:pPr>
      <w:r>
        <w:rPr>
          <w:rFonts w:hint="eastAsia" w:asciiTheme="majorEastAsia" w:hAnsiTheme="majorEastAsia" w:eastAsiaTheme="majorEastAsia" w:cstheme="majorEastAsia"/>
          <w:kern w:val="0"/>
          <w:sz w:val="24"/>
        </w:rPr>
        <w:t xml:space="preserve">　　2、不向政府采购人、采购代理机构和政府采购评审专家进行任何形式的商业贿赂以谋取交易机会。 </w:t>
      </w:r>
    </w:p>
    <w:p w14:paraId="0F4C910A">
      <w:pPr>
        <w:widowControl/>
        <w:spacing w:line="520" w:lineRule="exact"/>
        <w:ind w:firstLine="480" w:firstLineChars="200"/>
        <w:jc w:val="left"/>
        <w:rPr>
          <w:rFonts w:hint="eastAsia" w:asciiTheme="majorEastAsia" w:hAnsiTheme="majorEastAsia" w:eastAsiaTheme="majorEastAsia" w:cstheme="majorEastAsia"/>
          <w:kern w:val="0"/>
          <w:sz w:val="24"/>
          <w:lang w:eastAsia="zh-CN"/>
        </w:rPr>
      </w:pPr>
      <w:r>
        <w:rPr>
          <w:rFonts w:hint="eastAsia" w:asciiTheme="majorEastAsia" w:hAnsiTheme="majorEastAsia" w:eastAsiaTheme="majorEastAsia" w:cstheme="majorEastAsia"/>
          <w:kern w:val="0"/>
          <w:sz w:val="24"/>
        </w:rPr>
        <w:t xml:space="preserve">  3、不向政府采购代理机构和采购人提供虚假资质文件或采用虚假应标方式参与政府采购市场竞争并谋取中标、成交。 </w:t>
      </w:r>
    </w:p>
    <w:p w14:paraId="0A6263D8">
      <w:pPr>
        <w:widowControl/>
        <w:spacing w:line="520" w:lineRule="exact"/>
        <w:ind w:firstLine="480" w:firstLineChars="200"/>
        <w:jc w:val="left"/>
        <w:rPr>
          <w:rFonts w:hint="eastAsia" w:asciiTheme="majorEastAsia" w:hAnsiTheme="majorEastAsia" w:eastAsiaTheme="majorEastAsia" w:cstheme="majorEastAsia"/>
          <w:kern w:val="0"/>
          <w:sz w:val="24"/>
          <w:lang w:eastAsia="zh-CN"/>
        </w:rPr>
      </w:pPr>
      <w:r>
        <w:rPr>
          <w:rFonts w:hint="eastAsia" w:asciiTheme="majorEastAsia" w:hAnsiTheme="majorEastAsia" w:eastAsiaTheme="majorEastAsia" w:cstheme="majorEastAsia"/>
          <w:kern w:val="0"/>
          <w:sz w:val="24"/>
        </w:rPr>
        <w:t xml:space="preserve">  4、不采取“围标、陪标”等商业欺诈手段获得政府采购定单。 </w:t>
      </w:r>
    </w:p>
    <w:p w14:paraId="3DB87990">
      <w:pPr>
        <w:widowControl/>
        <w:spacing w:line="520" w:lineRule="exact"/>
        <w:ind w:firstLine="480" w:firstLineChars="200"/>
        <w:jc w:val="left"/>
        <w:rPr>
          <w:rFonts w:hint="eastAsia" w:asciiTheme="majorEastAsia" w:hAnsiTheme="majorEastAsia" w:eastAsiaTheme="majorEastAsia" w:cstheme="majorEastAsia"/>
          <w:kern w:val="0"/>
          <w:sz w:val="24"/>
          <w:lang w:eastAsia="zh-CN"/>
        </w:rPr>
      </w:pPr>
      <w:r>
        <w:rPr>
          <w:rFonts w:hint="eastAsia" w:asciiTheme="majorEastAsia" w:hAnsiTheme="majorEastAsia" w:eastAsiaTheme="majorEastAsia" w:cstheme="majorEastAsia"/>
          <w:kern w:val="0"/>
          <w:sz w:val="24"/>
        </w:rPr>
        <w:t xml:space="preserve">  5、不采取不正当手段低毁、排挤其他供应商。 </w:t>
      </w:r>
    </w:p>
    <w:p w14:paraId="65492381">
      <w:pPr>
        <w:widowControl/>
        <w:spacing w:line="520" w:lineRule="exact"/>
        <w:ind w:firstLine="480" w:firstLineChars="200"/>
        <w:jc w:val="left"/>
        <w:rPr>
          <w:rFonts w:hint="eastAsia" w:asciiTheme="majorEastAsia" w:hAnsiTheme="majorEastAsia" w:eastAsiaTheme="majorEastAsia" w:cstheme="majorEastAsia"/>
          <w:kern w:val="0"/>
          <w:sz w:val="24"/>
          <w:lang w:eastAsia="zh-CN"/>
        </w:rPr>
      </w:pPr>
      <w:r>
        <w:rPr>
          <w:rFonts w:hint="eastAsia" w:asciiTheme="majorEastAsia" w:hAnsiTheme="majorEastAsia" w:eastAsiaTheme="majorEastAsia" w:cstheme="majorEastAsia"/>
          <w:kern w:val="0"/>
          <w:sz w:val="24"/>
        </w:rPr>
        <w:t xml:space="preserve">  6、不在提供商品和服务时“偷梁换柱、以次充好”损害采购人的合法权益。 </w:t>
      </w:r>
    </w:p>
    <w:p w14:paraId="380D79D4">
      <w:pPr>
        <w:widowControl/>
        <w:spacing w:line="520" w:lineRule="exact"/>
        <w:ind w:firstLine="480" w:firstLineChars="200"/>
        <w:jc w:val="left"/>
        <w:rPr>
          <w:rFonts w:hint="eastAsia" w:asciiTheme="majorEastAsia" w:hAnsiTheme="majorEastAsia" w:eastAsiaTheme="majorEastAsia" w:cstheme="majorEastAsia"/>
          <w:kern w:val="0"/>
          <w:sz w:val="24"/>
          <w:lang w:eastAsia="zh-CN"/>
        </w:rPr>
      </w:pPr>
      <w:r>
        <w:rPr>
          <w:rFonts w:hint="eastAsia" w:asciiTheme="majorEastAsia" w:hAnsiTheme="majorEastAsia" w:eastAsiaTheme="majorEastAsia" w:cstheme="majorEastAsia"/>
          <w:kern w:val="0"/>
          <w:sz w:val="24"/>
        </w:rPr>
        <w:t xml:space="preserve">  7、不与采购人、采购代理机构政府采购评审专家或其它供应商恶意串通，进行质疑和投诉，维护政府采购市场秩序。 </w:t>
      </w:r>
    </w:p>
    <w:p w14:paraId="11827BDA">
      <w:pPr>
        <w:widowControl/>
        <w:spacing w:line="520" w:lineRule="exact"/>
        <w:ind w:firstLine="480" w:firstLineChars="200"/>
        <w:jc w:val="left"/>
        <w:rPr>
          <w:rFonts w:hint="eastAsia" w:asciiTheme="majorEastAsia" w:hAnsiTheme="majorEastAsia" w:eastAsiaTheme="majorEastAsia" w:cstheme="majorEastAsia"/>
          <w:kern w:val="0"/>
          <w:sz w:val="24"/>
          <w:lang w:eastAsia="zh-CN"/>
        </w:rPr>
      </w:pPr>
      <w:r>
        <w:rPr>
          <w:rFonts w:hint="eastAsia" w:asciiTheme="majorEastAsia" w:hAnsiTheme="majorEastAsia" w:eastAsiaTheme="majorEastAsia" w:cstheme="majorEastAsia"/>
          <w:kern w:val="0"/>
          <w:sz w:val="24"/>
        </w:rPr>
        <w:t xml:space="preserve">  8、尊重和接受政府采购监督管理部门的监督和政府采购代理机构招标采购要求，承担因违约行为给采购人造成的损失。 </w:t>
      </w:r>
    </w:p>
    <w:p w14:paraId="1DAB7FBA">
      <w:pPr>
        <w:widowControl/>
        <w:spacing w:line="520" w:lineRule="exact"/>
        <w:ind w:firstLine="480" w:firstLineChars="200"/>
        <w:jc w:val="left"/>
        <w:rPr>
          <w:rFonts w:hint="eastAsia" w:asciiTheme="majorEastAsia" w:hAnsiTheme="majorEastAsia" w:eastAsiaTheme="majorEastAsia" w:cstheme="majorEastAsia"/>
          <w:kern w:val="0"/>
          <w:sz w:val="24"/>
          <w:lang w:eastAsia="zh-CN"/>
        </w:rPr>
      </w:pPr>
      <w:r>
        <w:rPr>
          <w:rFonts w:hint="eastAsia" w:asciiTheme="majorEastAsia" w:hAnsiTheme="majorEastAsia" w:eastAsiaTheme="majorEastAsia" w:cstheme="majorEastAsia"/>
          <w:kern w:val="0"/>
          <w:sz w:val="24"/>
        </w:rPr>
        <w:t xml:space="preserve">　　9、不发生其他有悖于政府采购公开、公平、公正和诚信原则的行为。 </w:t>
      </w:r>
    </w:p>
    <w:p w14:paraId="23ACB923">
      <w:pPr>
        <w:widowControl/>
        <w:spacing w:line="520" w:lineRule="exact"/>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p>
    <w:p w14:paraId="42C313AE">
      <w:pPr>
        <w:widowControl/>
        <w:spacing w:line="520" w:lineRule="exact"/>
        <w:ind w:firstLine="720" w:firstLineChars="3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承诺单位：</w:t>
      </w:r>
      <w:r>
        <w:rPr>
          <w:rFonts w:hint="eastAsia" w:asciiTheme="majorEastAsia" w:hAnsiTheme="majorEastAsia" w:eastAsiaTheme="majorEastAsia" w:cstheme="majorEastAsia"/>
          <w:kern w:val="0"/>
          <w:sz w:val="24"/>
          <w:u w:val="single"/>
        </w:rPr>
        <w:t>　　                        　</w:t>
      </w:r>
      <w:r>
        <w:rPr>
          <w:rFonts w:hint="eastAsia" w:asciiTheme="majorEastAsia" w:hAnsiTheme="majorEastAsia" w:eastAsiaTheme="majorEastAsia" w:cstheme="majorEastAsia"/>
          <w:kern w:val="0"/>
          <w:sz w:val="24"/>
        </w:rPr>
        <w:t>（盖章）</w:t>
      </w:r>
    </w:p>
    <w:p w14:paraId="55FB92A0">
      <w:pPr>
        <w:widowControl/>
        <w:spacing w:line="520" w:lineRule="exact"/>
        <w:ind w:firstLine="720" w:firstLineChars="3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全权代表：</w:t>
      </w:r>
      <w:r>
        <w:rPr>
          <w:rFonts w:hint="eastAsia" w:asciiTheme="majorEastAsia" w:hAnsiTheme="majorEastAsia" w:eastAsiaTheme="majorEastAsia" w:cstheme="majorEastAsia"/>
          <w:kern w:val="0"/>
          <w:sz w:val="24"/>
          <w:u w:val="single"/>
        </w:rPr>
        <w:t>　　　　　     　　　       　</w:t>
      </w:r>
      <w:r>
        <w:rPr>
          <w:rFonts w:hint="eastAsia" w:asciiTheme="majorEastAsia" w:hAnsiTheme="majorEastAsia" w:eastAsiaTheme="majorEastAsia" w:cstheme="majorEastAsia"/>
          <w:kern w:val="0"/>
          <w:sz w:val="24"/>
        </w:rPr>
        <w:t>（签字）</w:t>
      </w:r>
    </w:p>
    <w:p w14:paraId="0647465B">
      <w:pPr>
        <w:widowControl/>
        <w:spacing w:line="520" w:lineRule="exact"/>
        <w:ind w:firstLine="720" w:firstLineChars="300"/>
        <w:jc w:val="left"/>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rPr>
        <w:t>地　　址：</w:t>
      </w:r>
      <w:r>
        <w:rPr>
          <w:rFonts w:hint="eastAsia" w:asciiTheme="majorEastAsia" w:hAnsiTheme="majorEastAsia" w:eastAsiaTheme="majorEastAsia" w:cstheme="majorEastAsia"/>
          <w:kern w:val="0"/>
          <w:sz w:val="24"/>
          <w:u w:val="single"/>
        </w:rPr>
        <w:t>　　　　　     　　　       　</w:t>
      </w:r>
    </w:p>
    <w:p w14:paraId="04E77B1B">
      <w:pPr>
        <w:widowControl/>
        <w:spacing w:line="520" w:lineRule="exact"/>
        <w:ind w:firstLine="720" w:firstLineChars="300"/>
        <w:jc w:val="left"/>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rPr>
        <w:t>邮    编：</w:t>
      </w:r>
      <w:r>
        <w:rPr>
          <w:rFonts w:hint="eastAsia" w:asciiTheme="majorEastAsia" w:hAnsiTheme="majorEastAsia" w:eastAsiaTheme="majorEastAsia" w:cstheme="majorEastAsia"/>
          <w:kern w:val="0"/>
          <w:sz w:val="24"/>
          <w:u w:val="single"/>
        </w:rPr>
        <w:t xml:space="preserve">　　                     　　 </w:t>
      </w:r>
    </w:p>
    <w:p w14:paraId="50BA0DD1">
      <w:pPr>
        <w:widowControl/>
        <w:spacing w:line="520" w:lineRule="exact"/>
        <w:ind w:firstLine="720" w:firstLineChars="300"/>
        <w:jc w:val="left"/>
        <w:rPr>
          <w:rFonts w:hint="eastAsia" w:asciiTheme="majorEastAsia" w:hAnsiTheme="majorEastAsia" w:eastAsiaTheme="majorEastAsia" w:cstheme="majorEastAsia"/>
          <w:kern w:val="0"/>
          <w:sz w:val="24"/>
          <w:u w:val="single"/>
          <w:lang w:eastAsia="zh-CN"/>
        </w:rPr>
      </w:pPr>
      <w:r>
        <w:rPr>
          <w:rFonts w:hint="eastAsia" w:asciiTheme="majorEastAsia" w:hAnsiTheme="majorEastAsia" w:eastAsiaTheme="majorEastAsia" w:cstheme="majorEastAsia"/>
          <w:kern w:val="0"/>
          <w:sz w:val="24"/>
        </w:rPr>
        <w:t>电　　话：</w:t>
      </w:r>
      <w:r>
        <w:rPr>
          <w:rFonts w:hint="eastAsia" w:asciiTheme="majorEastAsia" w:hAnsiTheme="majorEastAsia" w:eastAsiaTheme="majorEastAsia" w:cstheme="majorEastAsia"/>
          <w:kern w:val="0"/>
          <w:sz w:val="24"/>
          <w:u w:val="single"/>
        </w:rPr>
        <w:t>　　　                　　　　</w:t>
      </w:r>
    </w:p>
    <w:p w14:paraId="1A6D335C">
      <w:pPr>
        <w:widowControl/>
        <w:spacing w:line="520" w:lineRule="exact"/>
        <w:ind w:firstLine="720" w:firstLineChars="3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　　　　                                    </w:t>
      </w:r>
    </w:p>
    <w:p w14:paraId="785EC0A0">
      <w:pPr>
        <w:widowControl/>
        <w:spacing w:line="520" w:lineRule="exact"/>
        <w:ind w:firstLine="720" w:firstLineChars="300"/>
        <w:jc w:val="right"/>
        <w:rPr>
          <w:rFonts w:asciiTheme="majorEastAsia" w:hAnsiTheme="majorEastAsia" w:eastAsiaTheme="majorEastAsia" w:cstheme="majorEastAsia"/>
          <w:kern w:val="0"/>
          <w:sz w:val="28"/>
          <w:szCs w:val="28"/>
        </w:rPr>
      </w:pPr>
      <w:r>
        <w:rPr>
          <w:rFonts w:hint="eastAsia" w:asciiTheme="majorEastAsia" w:hAnsiTheme="majorEastAsia" w:eastAsiaTheme="majorEastAsia" w:cstheme="majorEastAsia"/>
          <w:kern w:val="0"/>
          <w:sz w:val="24"/>
        </w:rPr>
        <w:t xml:space="preserve">  年　　月　　日   </w:t>
      </w:r>
    </w:p>
    <w:p w14:paraId="1A96871F">
      <w:pPr>
        <w:widowControl/>
        <w:spacing w:line="520" w:lineRule="exact"/>
        <w:jc w:val="center"/>
        <w:rPr>
          <w:rFonts w:asciiTheme="majorEastAsia" w:hAnsiTheme="majorEastAsia" w:eastAsiaTheme="majorEastAsia" w:cstheme="majorEastAsia"/>
          <w:b/>
          <w:sz w:val="32"/>
          <w:szCs w:val="32"/>
        </w:rPr>
      </w:pPr>
    </w:p>
    <w:p w14:paraId="6D05E032">
      <w:pPr>
        <w:widowControl/>
        <w:spacing w:line="520" w:lineRule="exact"/>
        <w:jc w:val="center"/>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承诺书（二）</w:t>
      </w:r>
    </w:p>
    <w:p w14:paraId="602B1C53">
      <w:pPr>
        <w:spacing w:line="360" w:lineRule="atLeast"/>
        <w:jc w:val="center"/>
        <w:rPr>
          <w:rFonts w:asciiTheme="majorEastAsia" w:hAnsiTheme="majorEastAsia" w:eastAsiaTheme="majorEastAsia" w:cstheme="majorEastAsia"/>
          <w:b/>
          <w:sz w:val="24"/>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503D5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ign w:val="center"/>
          </w:tcPr>
          <w:p w14:paraId="467B4D7F">
            <w:pPr>
              <w:spacing w:line="360" w:lineRule="atLeas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致：陕西华旭晟信项目管理有限责任公司</w:t>
            </w:r>
          </w:p>
        </w:tc>
      </w:tr>
      <w:tr w14:paraId="69497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ign w:val="center"/>
          </w:tcPr>
          <w:p w14:paraId="53195854">
            <w:pPr>
              <w:spacing w:line="360" w:lineRule="atLeas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作为参加贵公司组织的本次招标项目的供应商，本公司承诺：在参加本项目招标之前不存在被依法禁止经营行为、财产被接管或冻结的情况，如有隐瞒实情，愿承担一切责任及后果。</w:t>
            </w:r>
          </w:p>
        </w:tc>
      </w:tr>
      <w:tr w14:paraId="35BF7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3240" w:type="dxa"/>
            <w:noWrap/>
            <w:vAlign w:val="center"/>
          </w:tcPr>
          <w:p w14:paraId="41A4DC7F">
            <w:pPr>
              <w:spacing w:line="360" w:lineRule="atLeas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供应商</w:t>
            </w:r>
          </w:p>
        </w:tc>
        <w:tc>
          <w:tcPr>
            <w:tcW w:w="3420" w:type="dxa"/>
            <w:noWrap/>
            <w:vAlign w:val="center"/>
          </w:tcPr>
          <w:p w14:paraId="49F7C703">
            <w:pPr>
              <w:spacing w:line="360" w:lineRule="atLeas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法定代表人</w:t>
            </w:r>
          </w:p>
        </w:tc>
        <w:tc>
          <w:tcPr>
            <w:tcW w:w="2340" w:type="dxa"/>
            <w:noWrap/>
            <w:vAlign w:val="center"/>
          </w:tcPr>
          <w:p w14:paraId="1CF3862B">
            <w:pPr>
              <w:spacing w:line="360" w:lineRule="atLeas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日  期</w:t>
            </w:r>
          </w:p>
        </w:tc>
      </w:tr>
      <w:tr w14:paraId="2193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ign w:val="center"/>
          </w:tcPr>
          <w:p w14:paraId="6F220600">
            <w:pPr>
              <w:spacing w:line="360" w:lineRule="atLeas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（公章）</w:t>
            </w:r>
          </w:p>
        </w:tc>
        <w:tc>
          <w:tcPr>
            <w:tcW w:w="3420" w:type="dxa"/>
            <w:noWrap/>
            <w:vAlign w:val="center"/>
          </w:tcPr>
          <w:p w14:paraId="6CBECD62">
            <w:pPr>
              <w:spacing w:line="360" w:lineRule="atLeas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（签字或盖章）</w:t>
            </w:r>
          </w:p>
        </w:tc>
        <w:tc>
          <w:tcPr>
            <w:tcW w:w="2340" w:type="dxa"/>
            <w:noWrap/>
            <w:vAlign w:val="center"/>
          </w:tcPr>
          <w:p w14:paraId="0D501120">
            <w:pPr>
              <w:spacing w:line="360" w:lineRule="atLeast"/>
              <w:ind w:firstLine="240" w:firstLineChars="10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年  月  日</w:t>
            </w:r>
          </w:p>
        </w:tc>
      </w:tr>
    </w:tbl>
    <w:p w14:paraId="39044358">
      <w:pPr>
        <w:spacing w:line="360" w:lineRule="atLeast"/>
        <w:jc w:val="center"/>
        <w:rPr>
          <w:rFonts w:asciiTheme="majorEastAsia" w:hAnsiTheme="majorEastAsia" w:eastAsiaTheme="majorEastAsia" w:cstheme="majorEastAsia"/>
          <w:b/>
          <w:sz w:val="32"/>
          <w:szCs w:val="32"/>
        </w:rPr>
      </w:pPr>
    </w:p>
    <w:p w14:paraId="6F2C5983">
      <w:pPr>
        <w:spacing w:line="360" w:lineRule="atLeast"/>
        <w:jc w:val="center"/>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承诺书（三）</w:t>
      </w:r>
    </w:p>
    <w:p w14:paraId="747D7B3E">
      <w:pPr>
        <w:spacing w:line="360" w:lineRule="atLeast"/>
        <w:jc w:val="center"/>
        <w:rPr>
          <w:rFonts w:asciiTheme="majorEastAsia" w:hAnsiTheme="majorEastAsia" w:eastAsiaTheme="majorEastAsia" w:cstheme="majorEastAsia"/>
          <w:b/>
          <w:sz w:val="24"/>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6D91D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ign w:val="center"/>
          </w:tcPr>
          <w:p w14:paraId="38E3FF6E">
            <w:pPr>
              <w:spacing w:line="360" w:lineRule="atLeas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致：陕西华旭晟信项目管理有限责任公司</w:t>
            </w:r>
          </w:p>
        </w:tc>
      </w:tr>
      <w:tr w14:paraId="69009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ign w:val="center"/>
          </w:tcPr>
          <w:p w14:paraId="157408FB">
            <w:pPr>
              <w:spacing w:line="360" w:lineRule="atLeas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作为参加贵公司组织的本次招标项目的供应商，本公司郑重申告并承诺：近三年受到有关行政主管部门的行政处理、不良行为记录为</w:t>
            </w:r>
            <w:r>
              <w:rPr>
                <w:rFonts w:hint="eastAsia" w:asciiTheme="majorEastAsia" w:hAnsiTheme="majorEastAsia" w:eastAsiaTheme="majorEastAsia" w:cstheme="majorEastAsia"/>
                <w:sz w:val="24"/>
                <w:u w:val="single"/>
                <w:lang w:val="en-US" w:eastAsia="zh-CN"/>
              </w:rPr>
              <w:t xml:space="preserve">   </w:t>
            </w:r>
            <w:r>
              <w:rPr>
                <w:rFonts w:hint="eastAsia" w:asciiTheme="majorEastAsia" w:hAnsiTheme="majorEastAsia" w:eastAsiaTheme="majorEastAsia" w:cstheme="majorEastAsia"/>
                <w:sz w:val="24"/>
              </w:rPr>
              <w:t>次（没有填零），如有隐瞒实情，愿承担一切责任及后果。</w:t>
            </w:r>
          </w:p>
        </w:tc>
      </w:tr>
      <w:tr w14:paraId="3150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3240" w:type="dxa"/>
            <w:noWrap/>
            <w:vAlign w:val="center"/>
          </w:tcPr>
          <w:p w14:paraId="520E79A0">
            <w:pPr>
              <w:spacing w:line="360" w:lineRule="atLeas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供应商</w:t>
            </w:r>
          </w:p>
        </w:tc>
        <w:tc>
          <w:tcPr>
            <w:tcW w:w="3420" w:type="dxa"/>
            <w:noWrap/>
            <w:vAlign w:val="center"/>
          </w:tcPr>
          <w:p w14:paraId="3877626A">
            <w:pPr>
              <w:spacing w:line="360" w:lineRule="atLeas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法定代表人</w:t>
            </w:r>
          </w:p>
        </w:tc>
        <w:tc>
          <w:tcPr>
            <w:tcW w:w="2340" w:type="dxa"/>
            <w:noWrap/>
            <w:vAlign w:val="center"/>
          </w:tcPr>
          <w:p w14:paraId="573F53F6">
            <w:pPr>
              <w:spacing w:line="360" w:lineRule="atLeas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日  期</w:t>
            </w:r>
          </w:p>
        </w:tc>
      </w:tr>
      <w:tr w14:paraId="2ECE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ign w:val="center"/>
          </w:tcPr>
          <w:p w14:paraId="4280A705">
            <w:pPr>
              <w:spacing w:line="360" w:lineRule="atLeas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（公章）</w:t>
            </w:r>
          </w:p>
        </w:tc>
        <w:tc>
          <w:tcPr>
            <w:tcW w:w="3420" w:type="dxa"/>
            <w:noWrap/>
            <w:vAlign w:val="center"/>
          </w:tcPr>
          <w:p w14:paraId="4E82D83F">
            <w:pPr>
              <w:spacing w:line="360" w:lineRule="atLeas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（签字或盖章）</w:t>
            </w:r>
          </w:p>
        </w:tc>
        <w:tc>
          <w:tcPr>
            <w:tcW w:w="2340" w:type="dxa"/>
            <w:noWrap/>
            <w:vAlign w:val="center"/>
          </w:tcPr>
          <w:p w14:paraId="2CFF66D0">
            <w:pPr>
              <w:spacing w:line="360" w:lineRule="atLeast"/>
              <w:ind w:firstLine="240" w:firstLineChars="10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年  月  日</w:t>
            </w:r>
          </w:p>
        </w:tc>
      </w:tr>
    </w:tbl>
    <w:p w14:paraId="3466C47D">
      <w:pPr>
        <w:spacing w:line="360" w:lineRule="atLeast"/>
        <w:jc w:val="center"/>
        <w:rPr>
          <w:rFonts w:asciiTheme="majorEastAsia" w:hAnsiTheme="majorEastAsia" w:eastAsiaTheme="majorEastAsia" w:cstheme="majorEastAsia"/>
          <w:b/>
          <w:sz w:val="32"/>
          <w:szCs w:val="32"/>
        </w:rPr>
      </w:pPr>
    </w:p>
    <w:p w14:paraId="42B24017">
      <w:pPr>
        <w:spacing w:line="360" w:lineRule="atLeast"/>
        <w:jc w:val="center"/>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承诺书（四）</w:t>
      </w:r>
    </w:p>
    <w:p w14:paraId="574C47F8">
      <w:pPr>
        <w:spacing w:line="360" w:lineRule="atLeast"/>
        <w:jc w:val="center"/>
        <w:rPr>
          <w:rFonts w:asciiTheme="majorEastAsia" w:hAnsiTheme="majorEastAsia" w:eastAsiaTheme="majorEastAsia" w:cstheme="majorEastAsia"/>
          <w:b/>
          <w:sz w:val="24"/>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44AEA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ign w:val="center"/>
          </w:tcPr>
          <w:p w14:paraId="63C96A5A">
            <w:pPr>
              <w:spacing w:line="360" w:lineRule="atLeas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致：陕西华旭晟信项目管理有限责任公司</w:t>
            </w:r>
          </w:p>
        </w:tc>
      </w:tr>
      <w:tr w14:paraId="7AAE4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ign w:val="center"/>
          </w:tcPr>
          <w:p w14:paraId="14DED39C">
            <w:pPr>
              <w:spacing w:line="360" w:lineRule="atLeas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作为参加贵公司组织的本次招标项目的供应商，本公司郑重申告：近三年因产品供货问题（水货、替代品、次品、翻新品等）的不法行为记录为</w:t>
            </w:r>
            <w:r>
              <w:rPr>
                <w:rFonts w:hint="eastAsia" w:asciiTheme="majorEastAsia" w:hAnsiTheme="majorEastAsia" w:eastAsiaTheme="majorEastAsia" w:cstheme="majorEastAsia"/>
                <w:sz w:val="24"/>
                <w:u w:val="single"/>
                <w:lang w:val="en-US" w:eastAsia="zh-CN"/>
              </w:rPr>
              <w:t xml:space="preserve">   </w:t>
            </w:r>
            <w:r>
              <w:rPr>
                <w:rFonts w:hint="eastAsia" w:asciiTheme="majorEastAsia" w:hAnsiTheme="majorEastAsia" w:eastAsiaTheme="majorEastAsia" w:cstheme="majorEastAsia"/>
                <w:sz w:val="24"/>
              </w:rPr>
              <w:t>次（没有填零），如有隐瞒实情，愿承担一切责任及后果。</w:t>
            </w:r>
          </w:p>
          <w:p w14:paraId="5397B98E">
            <w:pPr>
              <w:spacing w:line="360" w:lineRule="atLeas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本公司承诺：本次招标标的物为正品行货。</w:t>
            </w:r>
          </w:p>
        </w:tc>
      </w:tr>
      <w:tr w14:paraId="09818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ign w:val="center"/>
          </w:tcPr>
          <w:p w14:paraId="18B0ADE9">
            <w:pPr>
              <w:spacing w:line="360" w:lineRule="atLeas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供应商</w:t>
            </w:r>
          </w:p>
        </w:tc>
        <w:tc>
          <w:tcPr>
            <w:tcW w:w="3420" w:type="dxa"/>
            <w:noWrap/>
            <w:vAlign w:val="center"/>
          </w:tcPr>
          <w:p w14:paraId="43209394">
            <w:pPr>
              <w:spacing w:line="360" w:lineRule="atLeas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法定代表人</w:t>
            </w:r>
          </w:p>
        </w:tc>
        <w:tc>
          <w:tcPr>
            <w:tcW w:w="2340" w:type="dxa"/>
            <w:noWrap/>
            <w:vAlign w:val="center"/>
          </w:tcPr>
          <w:p w14:paraId="4CB21AF4">
            <w:pPr>
              <w:spacing w:line="360" w:lineRule="atLeas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日   期</w:t>
            </w:r>
          </w:p>
        </w:tc>
      </w:tr>
      <w:tr w14:paraId="380F5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jc w:val="center"/>
        </w:trPr>
        <w:tc>
          <w:tcPr>
            <w:tcW w:w="3240" w:type="dxa"/>
            <w:noWrap/>
            <w:vAlign w:val="center"/>
          </w:tcPr>
          <w:p w14:paraId="66ADBF53">
            <w:pPr>
              <w:spacing w:line="360" w:lineRule="atLeas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（公章）</w:t>
            </w:r>
          </w:p>
        </w:tc>
        <w:tc>
          <w:tcPr>
            <w:tcW w:w="3420" w:type="dxa"/>
            <w:noWrap/>
            <w:vAlign w:val="center"/>
          </w:tcPr>
          <w:p w14:paraId="455B5E01">
            <w:pPr>
              <w:spacing w:line="360" w:lineRule="atLeas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（签字或盖章）</w:t>
            </w:r>
          </w:p>
        </w:tc>
        <w:tc>
          <w:tcPr>
            <w:tcW w:w="2340" w:type="dxa"/>
            <w:noWrap/>
            <w:vAlign w:val="center"/>
          </w:tcPr>
          <w:p w14:paraId="37F76F28">
            <w:pPr>
              <w:spacing w:line="360" w:lineRule="atLeast"/>
              <w:ind w:firstLine="240" w:firstLineChars="10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年  月  日</w:t>
            </w:r>
          </w:p>
        </w:tc>
      </w:tr>
    </w:tbl>
    <w:p w14:paraId="413FEAB8">
      <w:pPr>
        <w:spacing w:line="360" w:lineRule="atLeast"/>
        <w:jc w:val="center"/>
        <w:rPr>
          <w:rFonts w:asciiTheme="majorEastAsia" w:hAnsiTheme="majorEastAsia" w:eastAsiaTheme="majorEastAsia" w:cstheme="majorEastAsia"/>
          <w:b/>
          <w:sz w:val="32"/>
          <w:szCs w:val="32"/>
        </w:rPr>
      </w:pPr>
    </w:p>
    <w:p w14:paraId="2B76C02D">
      <w:pPr>
        <w:spacing w:line="360" w:lineRule="atLeast"/>
        <w:jc w:val="center"/>
        <w:rPr>
          <w:rFonts w:asciiTheme="majorEastAsia" w:hAnsiTheme="majorEastAsia" w:eastAsiaTheme="majorEastAsia" w:cstheme="majorEastAsia"/>
          <w:b/>
          <w:sz w:val="32"/>
          <w:szCs w:val="32"/>
        </w:rPr>
      </w:pPr>
    </w:p>
    <w:p w14:paraId="432A9990">
      <w:pPr>
        <w:spacing w:line="360" w:lineRule="atLeast"/>
        <w:jc w:val="center"/>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承诺书（五）</w:t>
      </w:r>
    </w:p>
    <w:p w14:paraId="3B990334">
      <w:pPr>
        <w:spacing w:line="360" w:lineRule="atLeast"/>
        <w:jc w:val="center"/>
        <w:rPr>
          <w:rFonts w:asciiTheme="majorEastAsia" w:hAnsiTheme="majorEastAsia" w:eastAsiaTheme="majorEastAsia" w:cstheme="majorEastAsia"/>
          <w:b/>
          <w:sz w:val="24"/>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2D4F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ign w:val="center"/>
          </w:tcPr>
          <w:p w14:paraId="060C0F3E">
            <w:pPr>
              <w:spacing w:line="360" w:lineRule="atLeas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致：陕西华旭晟信项目管理有限责任公司</w:t>
            </w:r>
          </w:p>
        </w:tc>
      </w:tr>
      <w:tr w14:paraId="17BA4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ign w:val="center"/>
          </w:tcPr>
          <w:p w14:paraId="7DA3F30E">
            <w:pPr>
              <w:spacing w:line="360" w:lineRule="atLeas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作为参加贵公司组织的本次招标项目的供应商，本公司承诺：参加本次招标提交的所有资质证明文件及业绩证明文件是真实的、有效的，如有隐瞒实情，愿承担一切责任及后果。</w:t>
            </w:r>
          </w:p>
        </w:tc>
      </w:tr>
      <w:tr w14:paraId="2F15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ign w:val="center"/>
          </w:tcPr>
          <w:p w14:paraId="33F2F6EB">
            <w:pPr>
              <w:spacing w:line="360" w:lineRule="atLeas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供应商</w:t>
            </w:r>
          </w:p>
        </w:tc>
        <w:tc>
          <w:tcPr>
            <w:tcW w:w="3420" w:type="dxa"/>
            <w:noWrap/>
            <w:vAlign w:val="center"/>
          </w:tcPr>
          <w:p w14:paraId="34DEBEAF">
            <w:pPr>
              <w:spacing w:line="360" w:lineRule="atLeas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法定代表人</w:t>
            </w:r>
          </w:p>
        </w:tc>
        <w:tc>
          <w:tcPr>
            <w:tcW w:w="2340" w:type="dxa"/>
            <w:noWrap/>
            <w:vAlign w:val="center"/>
          </w:tcPr>
          <w:p w14:paraId="15294F29">
            <w:pPr>
              <w:spacing w:line="360" w:lineRule="atLeas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日   期</w:t>
            </w:r>
          </w:p>
        </w:tc>
      </w:tr>
      <w:tr w14:paraId="1A980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jc w:val="center"/>
        </w:trPr>
        <w:tc>
          <w:tcPr>
            <w:tcW w:w="3240" w:type="dxa"/>
            <w:noWrap/>
            <w:vAlign w:val="center"/>
          </w:tcPr>
          <w:p w14:paraId="2A8C588F">
            <w:pPr>
              <w:spacing w:line="360" w:lineRule="atLeas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（公章）</w:t>
            </w:r>
          </w:p>
        </w:tc>
        <w:tc>
          <w:tcPr>
            <w:tcW w:w="3420" w:type="dxa"/>
            <w:noWrap/>
            <w:vAlign w:val="center"/>
          </w:tcPr>
          <w:p w14:paraId="07675411">
            <w:pPr>
              <w:spacing w:line="360" w:lineRule="atLeas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（签字或盖章）</w:t>
            </w:r>
          </w:p>
        </w:tc>
        <w:tc>
          <w:tcPr>
            <w:tcW w:w="2340" w:type="dxa"/>
            <w:noWrap/>
            <w:vAlign w:val="center"/>
          </w:tcPr>
          <w:p w14:paraId="52E95444">
            <w:pPr>
              <w:spacing w:line="360" w:lineRule="atLeast"/>
              <w:ind w:firstLine="240" w:firstLineChars="10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年  月  日</w:t>
            </w:r>
          </w:p>
        </w:tc>
      </w:tr>
    </w:tbl>
    <w:p w14:paraId="5E713E08">
      <w:pPr>
        <w:rPr>
          <w:rFonts w:asciiTheme="majorEastAsia" w:hAnsiTheme="majorEastAsia" w:eastAsiaTheme="majorEastAsia" w:cstheme="majorEastAsia"/>
        </w:rPr>
      </w:pPr>
    </w:p>
    <w:p w14:paraId="33E3C55D">
      <w:pPr>
        <w:pStyle w:val="10"/>
        <w:rPr>
          <w:rFonts w:asciiTheme="majorEastAsia" w:hAnsiTheme="majorEastAsia" w:eastAsiaTheme="majorEastAsia" w:cstheme="majorEastAsia"/>
        </w:rPr>
      </w:pPr>
    </w:p>
    <w:p w14:paraId="1E6ADAB7">
      <w:pPr>
        <w:spacing w:line="360" w:lineRule="auto"/>
        <w:jc w:val="center"/>
        <w:rPr>
          <w:rFonts w:asciiTheme="majorEastAsia" w:hAnsiTheme="majorEastAsia" w:eastAsiaTheme="majorEastAsia" w:cstheme="majorEastAsia"/>
          <w:b/>
          <w:sz w:val="32"/>
          <w:szCs w:val="32"/>
        </w:rPr>
      </w:pPr>
      <w:bookmarkStart w:id="158" w:name="_Toc7502"/>
      <w:bookmarkStart w:id="159" w:name="_Toc29982"/>
      <w:bookmarkStart w:id="160" w:name="_Toc1084"/>
      <w:bookmarkStart w:id="161" w:name="_Toc23423"/>
      <w:bookmarkStart w:id="162" w:name="_Toc25732"/>
      <w:r>
        <w:rPr>
          <w:rFonts w:hint="eastAsia" w:asciiTheme="majorEastAsia" w:hAnsiTheme="majorEastAsia" w:eastAsiaTheme="majorEastAsia" w:cstheme="majorEastAsia"/>
          <w:b/>
          <w:sz w:val="32"/>
          <w:szCs w:val="32"/>
        </w:rPr>
        <w:t>八、中小企业、监狱企业、残疾人福利单位声明函或证明</w:t>
      </w:r>
      <w:bookmarkEnd w:id="158"/>
    </w:p>
    <w:p w14:paraId="72C17BD1">
      <w:pPr>
        <w:pStyle w:val="10"/>
        <w:rPr>
          <w:rFonts w:asciiTheme="majorEastAsia" w:hAnsiTheme="majorEastAsia" w:eastAsiaTheme="majorEastAsia" w:cstheme="majorEastAsia"/>
        </w:rPr>
      </w:pPr>
    </w:p>
    <w:p w14:paraId="7493542B">
      <w:pPr>
        <w:spacing w:line="500" w:lineRule="exact"/>
        <w:jc w:val="center"/>
        <w:rPr>
          <w:rFonts w:asciiTheme="majorEastAsia" w:hAnsiTheme="majorEastAsia" w:eastAsiaTheme="majorEastAsia" w:cstheme="majorEastAsia"/>
          <w:b/>
          <w:spacing w:val="6"/>
          <w:sz w:val="28"/>
          <w:szCs w:val="28"/>
        </w:rPr>
      </w:pPr>
      <w:bookmarkStart w:id="163" w:name="_Toc25215"/>
      <w:r>
        <w:rPr>
          <w:rFonts w:hint="eastAsia" w:asciiTheme="majorEastAsia" w:hAnsiTheme="majorEastAsia" w:eastAsiaTheme="majorEastAsia" w:cstheme="majorEastAsia"/>
          <w:b/>
          <w:spacing w:val="6"/>
          <w:sz w:val="28"/>
          <w:szCs w:val="28"/>
        </w:rPr>
        <w:t>1.中小企业声明函</w:t>
      </w:r>
      <w:bookmarkEnd w:id="163"/>
    </w:p>
    <w:p w14:paraId="63261A36">
      <w:pPr>
        <w:spacing w:beforeLines="50" w:line="50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本公司（联合体）郑重声明，根据《政府采购促进中小企业发展管理办法》（财库﹝2020﹞46 号）的规定，本公司（联合体）参加</w:t>
      </w:r>
      <w:r>
        <w:rPr>
          <w:rFonts w:hint="eastAsia" w:asciiTheme="majorEastAsia" w:hAnsiTheme="majorEastAsia" w:eastAsiaTheme="majorEastAsia" w:cstheme="majorEastAsia"/>
          <w:sz w:val="24"/>
          <w:u w:val="single"/>
        </w:rPr>
        <w:t>（单位名称）</w:t>
      </w:r>
      <w:r>
        <w:rPr>
          <w:rFonts w:hint="eastAsia" w:asciiTheme="majorEastAsia" w:hAnsiTheme="majorEastAsia" w:eastAsiaTheme="majorEastAsia" w:cstheme="majorEastAsia"/>
          <w:sz w:val="24"/>
        </w:rPr>
        <w:t>的</w:t>
      </w:r>
      <w:r>
        <w:rPr>
          <w:rFonts w:hint="eastAsia" w:asciiTheme="majorEastAsia" w:hAnsiTheme="majorEastAsia" w:eastAsiaTheme="majorEastAsia" w:cstheme="majorEastAsia"/>
          <w:sz w:val="24"/>
          <w:u w:val="single"/>
        </w:rPr>
        <w:t>（项目名称）</w:t>
      </w:r>
      <w:r>
        <w:rPr>
          <w:rFonts w:hint="eastAsia" w:asciiTheme="majorEastAsia" w:hAnsiTheme="majorEastAsia" w:eastAsiaTheme="majorEastAsia" w:cstheme="majorEastAsia"/>
          <w:sz w:val="24"/>
        </w:rPr>
        <w:t>采购活动，提供的货物全部由符合政策要求的中小企业制造。相关企业（含联合体中的中小企业、签订分包意向协议的中小企业）的具体情况如下：</w:t>
      </w:r>
    </w:p>
    <w:p w14:paraId="0696C08D">
      <w:pPr>
        <w:spacing w:beforeLines="50" w:line="50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1. </w:t>
      </w:r>
      <w:r>
        <w:rPr>
          <w:rFonts w:hint="eastAsia" w:asciiTheme="majorEastAsia" w:hAnsiTheme="majorEastAsia" w:eastAsiaTheme="majorEastAsia" w:cstheme="majorEastAsia"/>
          <w:sz w:val="24"/>
          <w:u w:val="single"/>
        </w:rPr>
        <w:t>（标的名称）</w:t>
      </w:r>
      <w:r>
        <w:rPr>
          <w:rFonts w:hint="eastAsia" w:asciiTheme="majorEastAsia" w:hAnsiTheme="majorEastAsia" w:eastAsiaTheme="majorEastAsia" w:cstheme="majorEastAsia"/>
          <w:sz w:val="24"/>
        </w:rPr>
        <w:t xml:space="preserve"> ，属于</w:t>
      </w:r>
      <w:r>
        <w:rPr>
          <w:rFonts w:hint="eastAsia" w:asciiTheme="majorEastAsia" w:hAnsiTheme="majorEastAsia" w:eastAsiaTheme="majorEastAsia" w:cstheme="majorEastAsia"/>
          <w:sz w:val="24"/>
          <w:u w:val="single"/>
          <w:lang w:val="en-US" w:eastAsia="zh-CN"/>
        </w:rPr>
        <w:t xml:space="preserve">   </w:t>
      </w:r>
      <w:r>
        <w:rPr>
          <w:rFonts w:hint="eastAsia" w:asciiTheme="majorEastAsia" w:hAnsiTheme="majorEastAsia" w:eastAsiaTheme="majorEastAsia" w:cstheme="majorEastAsia"/>
          <w:sz w:val="24"/>
        </w:rPr>
        <w:t>（采购文件中明确的所属行业）；制造商为</w:t>
      </w:r>
      <w:r>
        <w:rPr>
          <w:rFonts w:hint="eastAsia" w:asciiTheme="majorEastAsia" w:hAnsiTheme="majorEastAsia" w:eastAsiaTheme="majorEastAsia" w:cstheme="majorEastAsia"/>
          <w:sz w:val="24"/>
          <w:u w:val="single"/>
        </w:rPr>
        <w:t>（企业名称）</w:t>
      </w:r>
      <w:r>
        <w:rPr>
          <w:rFonts w:hint="eastAsia" w:asciiTheme="majorEastAsia" w:hAnsiTheme="majorEastAsia" w:eastAsiaTheme="majorEastAsia" w:cstheme="majorEastAsia"/>
          <w:sz w:val="24"/>
        </w:rPr>
        <w:t>，从业人员</w:t>
      </w:r>
      <w:r>
        <w:rPr>
          <w:rFonts w:hint="eastAsia" w:asciiTheme="majorEastAsia" w:hAnsiTheme="majorEastAsia" w:eastAsiaTheme="majorEastAsia" w:cstheme="majorEastAsia"/>
          <w:sz w:val="24"/>
          <w:u w:val="single"/>
          <w:lang w:val="en-US" w:eastAsia="zh-CN"/>
        </w:rPr>
        <w:t xml:space="preserve">   </w:t>
      </w:r>
      <w:r>
        <w:rPr>
          <w:rFonts w:hint="eastAsia" w:asciiTheme="majorEastAsia" w:hAnsiTheme="majorEastAsia" w:eastAsiaTheme="majorEastAsia" w:cstheme="majorEastAsia"/>
          <w:sz w:val="24"/>
        </w:rPr>
        <w:t>人，营业收入为</w:t>
      </w:r>
      <w:r>
        <w:rPr>
          <w:rFonts w:hint="eastAsia" w:asciiTheme="majorEastAsia" w:hAnsiTheme="majorEastAsia" w:eastAsiaTheme="majorEastAsia" w:cstheme="majorEastAsia"/>
          <w:sz w:val="24"/>
          <w:u w:val="single"/>
          <w:lang w:val="en-US" w:eastAsia="zh-CN"/>
        </w:rPr>
        <w:t xml:space="preserve">   </w:t>
      </w:r>
      <w:r>
        <w:rPr>
          <w:rFonts w:hint="eastAsia" w:asciiTheme="majorEastAsia" w:hAnsiTheme="majorEastAsia" w:eastAsiaTheme="majorEastAsia" w:cstheme="majorEastAsia"/>
          <w:sz w:val="24"/>
        </w:rPr>
        <w:t>万元，资产总额为</w:t>
      </w:r>
      <w:r>
        <w:rPr>
          <w:rFonts w:hint="eastAsia" w:asciiTheme="majorEastAsia" w:hAnsiTheme="majorEastAsia" w:eastAsiaTheme="majorEastAsia" w:cstheme="majorEastAsia"/>
          <w:sz w:val="24"/>
          <w:u w:val="single"/>
          <w:lang w:val="en-US" w:eastAsia="zh-CN"/>
        </w:rPr>
        <w:t xml:space="preserve">   </w:t>
      </w:r>
      <w:r>
        <w:rPr>
          <w:rFonts w:hint="eastAsia" w:asciiTheme="majorEastAsia" w:hAnsiTheme="majorEastAsia" w:eastAsiaTheme="majorEastAsia" w:cstheme="majorEastAsia"/>
          <w:sz w:val="24"/>
        </w:rPr>
        <w:t>万元，属于</w:t>
      </w:r>
      <w:r>
        <w:rPr>
          <w:rFonts w:hint="eastAsia" w:asciiTheme="majorEastAsia" w:hAnsiTheme="majorEastAsia" w:eastAsiaTheme="majorEastAsia" w:cstheme="majorEastAsia"/>
          <w:sz w:val="24"/>
          <w:u w:val="single"/>
          <w:lang w:val="en-US" w:eastAsia="zh-CN"/>
        </w:rPr>
        <w:t xml:space="preserve">   </w:t>
      </w:r>
      <w:r>
        <w:rPr>
          <w:rFonts w:hint="eastAsia" w:asciiTheme="majorEastAsia" w:hAnsiTheme="majorEastAsia" w:eastAsiaTheme="majorEastAsia" w:cstheme="majorEastAsia"/>
          <w:sz w:val="24"/>
        </w:rPr>
        <w:t>（中型企业、小型企业、微型企业）；</w:t>
      </w:r>
    </w:p>
    <w:p w14:paraId="2D7DE888">
      <w:pPr>
        <w:spacing w:beforeLines="50" w:line="50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2. </w:t>
      </w:r>
      <w:r>
        <w:rPr>
          <w:rFonts w:hint="eastAsia" w:asciiTheme="majorEastAsia" w:hAnsiTheme="majorEastAsia" w:eastAsiaTheme="majorEastAsia" w:cstheme="majorEastAsia"/>
          <w:sz w:val="24"/>
          <w:u w:val="single"/>
        </w:rPr>
        <w:t>（标的名称）</w:t>
      </w:r>
      <w:r>
        <w:rPr>
          <w:rFonts w:hint="eastAsia" w:asciiTheme="majorEastAsia" w:hAnsiTheme="majorEastAsia" w:eastAsiaTheme="majorEastAsia" w:cstheme="majorEastAsia"/>
          <w:sz w:val="24"/>
        </w:rPr>
        <w:t xml:space="preserve"> ，属于</w:t>
      </w:r>
      <w:r>
        <w:rPr>
          <w:rFonts w:hint="eastAsia" w:asciiTheme="majorEastAsia" w:hAnsiTheme="majorEastAsia" w:eastAsiaTheme="majorEastAsia" w:cstheme="majorEastAsia"/>
          <w:sz w:val="24"/>
          <w:u w:val="single"/>
          <w:lang w:val="en-US" w:eastAsia="zh-CN"/>
        </w:rPr>
        <w:t xml:space="preserve">   </w:t>
      </w:r>
      <w:r>
        <w:rPr>
          <w:rFonts w:hint="eastAsia" w:asciiTheme="majorEastAsia" w:hAnsiTheme="majorEastAsia" w:eastAsiaTheme="majorEastAsia" w:cstheme="majorEastAsia"/>
          <w:sz w:val="24"/>
        </w:rPr>
        <w:t>（采购文件中明确的所属行业）；制造商为</w:t>
      </w:r>
      <w:r>
        <w:rPr>
          <w:rFonts w:hint="eastAsia" w:asciiTheme="majorEastAsia" w:hAnsiTheme="majorEastAsia" w:eastAsiaTheme="majorEastAsia" w:cstheme="majorEastAsia"/>
          <w:sz w:val="24"/>
          <w:u w:val="single"/>
        </w:rPr>
        <w:t>（企业名称）</w:t>
      </w:r>
      <w:r>
        <w:rPr>
          <w:rFonts w:hint="eastAsia" w:asciiTheme="majorEastAsia" w:hAnsiTheme="majorEastAsia" w:eastAsiaTheme="majorEastAsia" w:cstheme="majorEastAsia"/>
          <w:sz w:val="24"/>
        </w:rPr>
        <w:t>，从业人员</w:t>
      </w:r>
      <w:r>
        <w:rPr>
          <w:rFonts w:hint="eastAsia" w:asciiTheme="majorEastAsia" w:hAnsiTheme="majorEastAsia" w:eastAsiaTheme="majorEastAsia" w:cstheme="majorEastAsia"/>
          <w:sz w:val="24"/>
          <w:u w:val="single"/>
          <w:lang w:val="en-US" w:eastAsia="zh-CN"/>
        </w:rPr>
        <w:t xml:space="preserve">   </w:t>
      </w:r>
      <w:r>
        <w:rPr>
          <w:rFonts w:hint="eastAsia" w:asciiTheme="majorEastAsia" w:hAnsiTheme="majorEastAsia" w:eastAsiaTheme="majorEastAsia" w:cstheme="majorEastAsia"/>
          <w:sz w:val="24"/>
        </w:rPr>
        <w:t>人，营业收入为</w:t>
      </w:r>
      <w:r>
        <w:rPr>
          <w:rFonts w:hint="eastAsia" w:asciiTheme="majorEastAsia" w:hAnsiTheme="majorEastAsia" w:eastAsiaTheme="majorEastAsia" w:cstheme="majorEastAsia"/>
          <w:sz w:val="24"/>
          <w:u w:val="single"/>
          <w:lang w:val="en-US" w:eastAsia="zh-CN"/>
        </w:rPr>
        <w:t xml:space="preserve">   </w:t>
      </w:r>
      <w:r>
        <w:rPr>
          <w:rFonts w:hint="eastAsia" w:asciiTheme="majorEastAsia" w:hAnsiTheme="majorEastAsia" w:eastAsiaTheme="majorEastAsia" w:cstheme="majorEastAsia"/>
          <w:sz w:val="24"/>
        </w:rPr>
        <w:t>万元，资产总额为</w:t>
      </w:r>
      <w:r>
        <w:rPr>
          <w:rFonts w:hint="eastAsia" w:asciiTheme="majorEastAsia" w:hAnsiTheme="majorEastAsia" w:eastAsiaTheme="majorEastAsia" w:cstheme="majorEastAsia"/>
          <w:sz w:val="24"/>
          <w:u w:val="single"/>
          <w:lang w:val="en-US" w:eastAsia="zh-CN"/>
        </w:rPr>
        <w:t xml:space="preserve">   </w:t>
      </w:r>
      <w:r>
        <w:rPr>
          <w:rFonts w:hint="eastAsia" w:asciiTheme="majorEastAsia" w:hAnsiTheme="majorEastAsia" w:eastAsiaTheme="majorEastAsia" w:cstheme="majorEastAsia"/>
          <w:sz w:val="24"/>
        </w:rPr>
        <w:t>万元，属于</w:t>
      </w:r>
      <w:r>
        <w:rPr>
          <w:rFonts w:hint="eastAsia" w:asciiTheme="majorEastAsia" w:hAnsiTheme="majorEastAsia" w:eastAsiaTheme="majorEastAsia" w:cstheme="majorEastAsia"/>
          <w:sz w:val="24"/>
          <w:u w:val="single"/>
          <w:lang w:val="en-US" w:eastAsia="zh-CN"/>
        </w:rPr>
        <w:t xml:space="preserve">   </w:t>
      </w:r>
      <w:r>
        <w:rPr>
          <w:rFonts w:hint="eastAsia" w:asciiTheme="majorEastAsia" w:hAnsiTheme="majorEastAsia" w:eastAsiaTheme="majorEastAsia" w:cstheme="majorEastAsia"/>
          <w:sz w:val="24"/>
        </w:rPr>
        <w:t>（中型企业、小型企业、微型企业）；</w:t>
      </w:r>
    </w:p>
    <w:p w14:paraId="61EA9010">
      <w:pPr>
        <w:spacing w:beforeLines="50" w:line="50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w:t>
      </w:r>
    </w:p>
    <w:p w14:paraId="6EEBAFE0">
      <w:pPr>
        <w:spacing w:beforeLines="50" w:line="50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以上企业，不属于大企业的分支机构，不存在控股股东为大企业的情形，也不存在与大企业的负责人为同一人的情形。</w:t>
      </w:r>
    </w:p>
    <w:p w14:paraId="295EE570">
      <w:pPr>
        <w:spacing w:beforeLines="50" w:line="50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本企业对上述声明内容的真实性负责。如有虚假，将依法承担相应责任。</w:t>
      </w:r>
    </w:p>
    <w:p w14:paraId="457D4C56">
      <w:pPr>
        <w:spacing w:beforeLines="50" w:line="50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企业名称（盖章）：</w:t>
      </w:r>
    </w:p>
    <w:p w14:paraId="7CDA254E">
      <w:pPr>
        <w:spacing w:beforeLines="50" w:line="50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日期：</w:t>
      </w:r>
    </w:p>
    <w:p w14:paraId="1D7653AF">
      <w:pPr>
        <w:pStyle w:val="24"/>
        <w:ind w:firstLine="540"/>
        <w:rPr>
          <w:rFonts w:asciiTheme="majorEastAsia" w:hAnsiTheme="majorEastAsia" w:eastAsiaTheme="majorEastAsia" w:cstheme="majorEastAsia"/>
        </w:rPr>
      </w:pPr>
    </w:p>
    <w:p w14:paraId="1ED2C750">
      <w:pPr>
        <w:spacing w:beforeLines="50" w:line="50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注：从业人员、营业收入、资产总额填报上一年度数据，无上一年度数据的新成立企业可不填报。</w:t>
      </w:r>
    </w:p>
    <w:p w14:paraId="0623F7C1">
      <w:pPr>
        <w:spacing w:line="500" w:lineRule="exact"/>
        <w:jc w:val="center"/>
        <w:rPr>
          <w:rFonts w:asciiTheme="majorEastAsia" w:hAnsiTheme="majorEastAsia" w:eastAsiaTheme="majorEastAsia" w:cstheme="majorEastAsia"/>
          <w:b/>
          <w:spacing w:val="6"/>
          <w:sz w:val="28"/>
          <w:szCs w:val="28"/>
        </w:rPr>
        <w:sectPr>
          <w:footerReference r:id="rId14" w:type="default"/>
          <w:pgSz w:w="11906" w:h="16838"/>
          <w:pgMar w:top="1440" w:right="1800" w:bottom="1440" w:left="1800" w:header="851" w:footer="992" w:gutter="0"/>
          <w:cols w:space="720" w:num="1"/>
          <w:docGrid w:type="lines" w:linePitch="312" w:charSpace="0"/>
        </w:sectPr>
      </w:pPr>
    </w:p>
    <w:p w14:paraId="2481E4EF">
      <w:pPr>
        <w:spacing w:line="500" w:lineRule="exact"/>
        <w:jc w:val="center"/>
        <w:rPr>
          <w:rFonts w:asciiTheme="majorEastAsia" w:hAnsiTheme="majorEastAsia" w:eastAsiaTheme="majorEastAsia" w:cstheme="majorEastAsia"/>
          <w:b/>
          <w:spacing w:val="6"/>
          <w:sz w:val="28"/>
          <w:szCs w:val="28"/>
        </w:rPr>
      </w:pPr>
      <w:r>
        <w:rPr>
          <w:rFonts w:hint="eastAsia" w:asciiTheme="majorEastAsia" w:hAnsiTheme="majorEastAsia" w:eastAsiaTheme="majorEastAsia" w:cstheme="majorEastAsia"/>
          <w:b/>
          <w:spacing w:val="6"/>
          <w:sz w:val="28"/>
          <w:szCs w:val="28"/>
        </w:rPr>
        <w:t>2.残疾人福利性单位声明函</w:t>
      </w:r>
      <w:bookmarkEnd w:id="159"/>
    </w:p>
    <w:p w14:paraId="065D7549">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（注：符合条件的残疾人福利性单位请提供本函，不符合的不提供本函）</w:t>
      </w:r>
    </w:p>
    <w:p w14:paraId="6BCA47C6">
      <w:pPr>
        <w:spacing w:line="500" w:lineRule="exact"/>
        <w:rPr>
          <w:rFonts w:asciiTheme="majorEastAsia" w:hAnsiTheme="majorEastAsia" w:eastAsiaTheme="majorEastAsia" w:cstheme="majorEastAsia"/>
          <w:b/>
          <w:spacing w:val="6"/>
          <w:sz w:val="30"/>
          <w:szCs w:val="30"/>
        </w:rPr>
      </w:pPr>
    </w:p>
    <w:p w14:paraId="6E45E80E">
      <w:pPr>
        <w:spacing w:line="500" w:lineRule="exact"/>
        <w:ind w:firstLine="504" w:firstLineChars="200"/>
        <w:rPr>
          <w:rFonts w:asciiTheme="majorEastAsia" w:hAnsiTheme="majorEastAsia" w:eastAsiaTheme="majorEastAsia" w:cstheme="majorEastAsia"/>
          <w:spacing w:val="6"/>
          <w:sz w:val="24"/>
        </w:rPr>
      </w:pPr>
      <w:r>
        <w:rPr>
          <w:rFonts w:hint="eastAsia" w:asciiTheme="majorEastAsia" w:hAnsiTheme="majorEastAsia" w:eastAsiaTheme="majorEastAsia" w:cstheme="majorEastAsia"/>
          <w:spacing w:val="6"/>
          <w:sz w:val="24"/>
        </w:rPr>
        <w:t>本单位郑重声明，根据《财政部 民政部 中国残疾人联合会关于促进残疾人就业政府采购政策的通知》（财库</w:t>
      </w:r>
      <w:r>
        <w:rPr>
          <w:rFonts w:hint="eastAsia" w:asciiTheme="majorEastAsia" w:hAnsiTheme="majorEastAsia" w:eastAsiaTheme="majorEastAsia" w:cstheme="majorEastAsia"/>
          <w:sz w:val="24"/>
        </w:rPr>
        <w:t>〔2017〕 141</w:t>
      </w:r>
      <w:r>
        <w:rPr>
          <w:rFonts w:hint="eastAsia" w:asciiTheme="majorEastAsia" w:hAnsiTheme="majorEastAsia" w:eastAsiaTheme="majorEastAsia" w:cstheme="majorEastAsia"/>
          <w:spacing w:val="6"/>
          <w:sz w:val="24"/>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081A1AC">
      <w:pPr>
        <w:spacing w:line="500" w:lineRule="exact"/>
        <w:ind w:firstLine="504" w:firstLineChars="200"/>
        <w:rPr>
          <w:rFonts w:asciiTheme="majorEastAsia" w:hAnsiTheme="majorEastAsia" w:eastAsiaTheme="majorEastAsia" w:cstheme="majorEastAsia"/>
          <w:spacing w:val="6"/>
          <w:sz w:val="24"/>
        </w:rPr>
      </w:pPr>
      <w:r>
        <w:rPr>
          <w:rFonts w:hint="eastAsia" w:asciiTheme="majorEastAsia" w:hAnsiTheme="majorEastAsia" w:eastAsiaTheme="majorEastAsia" w:cstheme="majorEastAsia"/>
          <w:spacing w:val="6"/>
          <w:sz w:val="24"/>
        </w:rPr>
        <w:t>本单位对上述声明的真实性负责。如有虚假，将依法承担相应责任。</w:t>
      </w:r>
    </w:p>
    <w:p w14:paraId="4CF9CF26">
      <w:pPr>
        <w:spacing w:line="500" w:lineRule="exact"/>
        <w:rPr>
          <w:rFonts w:asciiTheme="majorEastAsia" w:hAnsiTheme="majorEastAsia" w:eastAsiaTheme="majorEastAsia" w:cstheme="majorEastAsia"/>
          <w:spacing w:val="6"/>
          <w:sz w:val="24"/>
        </w:rPr>
      </w:pPr>
    </w:p>
    <w:p w14:paraId="1FACFA32">
      <w:pPr>
        <w:tabs>
          <w:tab w:val="left" w:pos="4860"/>
        </w:tabs>
        <w:spacing w:line="500" w:lineRule="exact"/>
        <w:ind w:right="1560" w:firstLine="504" w:firstLineChars="200"/>
        <w:jc w:val="center"/>
        <w:rPr>
          <w:rFonts w:asciiTheme="majorEastAsia" w:hAnsiTheme="majorEastAsia" w:eastAsiaTheme="majorEastAsia" w:cstheme="majorEastAsia"/>
          <w:spacing w:val="6"/>
          <w:sz w:val="24"/>
        </w:rPr>
      </w:pPr>
      <w:r>
        <w:rPr>
          <w:rFonts w:hint="eastAsia" w:asciiTheme="majorEastAsia" w:hAnsiTheme="majorEastAsia" w:eastAsiaTheme="majorEastAsia" w:cstheme="majorEastAsia"/>
          <w:spacing w:val="6"/>
          <w:sz w:val="24"/>
        </w:rPr>
        <w:t xml:space="preserve">                                  单位名称（盖章）：</w:t>
      </w:r>
    </w:p>
    <w:p w14:paraId="3EDE565B">
      <w:pPr>
        <w:adjustRightInd w:val="0"/>
        <w:snapToGrid w:val="0"/>
        <w:spacing w:line="500" w:lineRule="exact"/>
        <w:ind w:firstLine="630" w:firstLineChars="250"/>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6"/>
          <w:sz w:val="24"/>
        </w:rPr>
        <w:t xml:space="preserve">                                         日  期：</w:t>
      </w:r>
    </w:p>
    <w:p w14:paraId="697C1695">
      <w:pPr>
        <w:adjustRightInd w:val="0"/>
        <w:snapToGrid w:val="0"/>
        <w:spacing w:line="500" w:lineRule="exact"/>
        <w:rPr>
          <w:rFonts w:asciiTheme="majorEastAsia" w:hAnsiTheme="majorEastAsia" w:eastAsiaTheme="majorEastAsia" w:cstheme="majorEastAsia"/>
          <w:szCs w:val="21"/>
        </w:rPr>
      </w:pPr>
    </w:p>
    <w:p w14:paraId="2EE5CA22">
      <w:pPr>
        <w:tabs>
          <w:tab w:val="left" w:pos="5670"/>
        </w:tabs>
        <w:ind w:firstLine="566"/>
        <w:rPr>
          <w:rFonts w:asciiTheme="majorEastAsia" w:hAnsiTheme="majorEastAsia" w:eastAsiaTheme="majorEastAsia" w:cstheme="majorEastAsia"/>
          <w:szCs w:val="21"/>
        </w:rPr>
      </w:pPr>
      <w:r>
        <w:rPr>
          <w:rFonts w:hint="eastAsia" w:asciiTheme="majorEastAsia" w:hAnsiTheme="majorEastAsia" w:eastAsiaTheme="majorEastAsia" w:cstheme="majorEastAsia"/>
          <w:b/>
          <w:bCs/>
          <w:szCs w:val="21"/>
        </w:rPr>
        <w:t>备注：</w:t>
      </w:r>
      <w:r>
        <w:rPr>
          <w:rFonts w:hint="eastAsia" w:asciiTheme="majorEastAsia" w:hAnsiTheme="majorEastAsia" w:eastAsiaTheme="majorEastAsia" w:cstheme="majorEastAsia"/>
          <w:szCs w:val="21"/>
        </w:rPr>
        <w:t>项目不分标段的，第___标段空白处填写“/”。</w:t>
      </w:r>
    </w:p>
    <w:p w14:paraId="5A0D539F">
      <w:pPr>
        <w:tabs>
          <w:tab w:val="left" w:pos="5670"/>
        </w:tabs>
        <w:ind w:firstLine="566"/>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根据《财政部 民政部 中国残疾人联合会关于促进残疾人就业政府采购政策的通知》（财库〔2017〕141号）的规定：</w:t>
      </w:r>
    </w:p>
    <w:p w14:paraId="619FA6FB">
      <w:pPr>
        <w:tabs>
          <w:tab w:val="left" w:pos="5670"/>
        </w:tabs>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一、享受政府采购支持政策的残疾人福利性单位应当同时满足以下条件：</w:t>
      </w:r>
    </w:p>
    <w:p w14:paraId="3224A198">
      <w:pPr>
        <w:tabs>
          <w:tab w:val="left" w:pos="5670"/>
        </w:tabs>
        <w:ind w:firstLine="566"/>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（一）安置的残疾人占本单位在职职工人数的比例不低于25%（含25%），并且安置的残疾人人数不少于10人（含10人）；</w:t>
      </w:r>
    </w:p>
    <w:p w14:paraId="2A47C418">
      <w:pPr>
        <w:tabs>
          <w:tab w:val="left" w:pos="5670"/>
        </w:tabs>
        <w:ind w:firstLine="566"/>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（二）依法与安置的每位残疾人签订了一年以上（含一年）的劳动合同或服务协议；</w:t>
      </w:r>
    </w:p>
    <w:p w14:paraId="2B453A83">
      <w:pPr>
        <w:tabs>
          <w:tab w:val="left" w:pos="5670"/>
        </w:tabs>
        <w:ind w:firstLine="566"/>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（三）为安置的每位残疾人按月足额缴纳了基本养老保险、基本医疗保险、失业保险、工伤保险和生育保险等社会保险费；</w:t>
      </w:r>
    </w:p>
    <w:p w14:paraId="24C5259A">
      <w:pPr>
        <w:tabs>
          <w:tab w:val="left" w:pos="5670"/>
        </w:tabs>
        <w:ind w:firstLine="566"/>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（四）通过银行等金融机构向安置的每位残疾人，按月支付了不低于单位所在区县适用的经省级人民政府批准的月最低工资标准的工资；</w:t>
      </w:r>
    </w:p>
    <w:p w14:paraId="1268CBA2">
      <w:pPr>
        <w:tabs>
          <w:tab w:val="left" w:pos="5670"/>
        </w:tabs>
        <w:ind w:firstLine="566"/>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（五）提供本单位承担的服务（以下简称产品），或者提供其他残疾人福利性单位提供的服。</w:t>
      </w:r>
    </w:p>
    <w:p w14:paraId="02C061B9">
      <w:pPr>
        <w:tabs>
          <w:tab w:val="left" w:pos="5670"/>
        </w:tabs>
        <w:ind w:firstLine="566"/>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C3714B3">
      <w:pPr>
        <w:tabs>
          <w:tab w:val="left" w:pos="5670"/>
        </w:tabs>
        <w:ind w:firstLine="420" w:firstLineChars="200"/>
        <w:rPr>
          <w:rFonts w:asciiTheme="majorEastAsia" w:hAnsiTheme="majorEastAsia" w:eastAsiaTheme="majorEastAsia" w:cstheme="majorEastAsia"/>
          <w:b/>
          <w:bCs/>
          <w:szCs w:val="21"/>
        </w:rPr>
      </w:pPr>
      <w:r>
        <w:rPr>
          <w:rFonts w:hint="eastAsia" w:asciiTheme="majorEastAsia" w:hAnsiTheme="majorEastAsia" w:eastAsiaTheme="majorEastAsia" w:cstheme="majorEastAsia"/>
          <w:szCs w:val="21"/>
        </w:rPr>
        <w:t>二、中标、成交供应商为残疾人福利性单位的，采购人或者其委托的采购代理机构应当随中标、成交结果同时公告其《残疾人福利性单位声明函》，接受社会监督。</w:t>
      </w:r>
      <w:r>
        <w:rPr>
          <w:rFonts w:hint="eastAsia" w:asciiTheme="majorEastAsia" w:hAnsiTheme="majorEastAsia" w:eastAsiaTheme="majorEastAsia" w:cstheme="majorEastAsia"/>
          <w:b/>
          <w:bCs/>
          <w:szCs w:val="21"/>
        </w:rPr>
        <w:t>非残疾人福利性单位无需提供此函。</w:t>
      </w:r>
    </w:p>
    <w:p w14:paraId="1017FF7E">
      <w:pPr>
        <w:tabs>
          <w:tab w:val="left" w:pos="5670"/>
        </w:tabs>
        <w:ind w:firstLine="420" w:firstLineChars="200"/>
        <w:rPr>
          <w:rFonts w:asciiTheme="majorEastAsia" w:hAnsiTheme="majorEastAsia" w:eastAsiaTheme="majorEastAsia" w:cstheme="majorEastAsia"/>
          <w:szCs w:val="21"/>
        </w:rPr>
      </w:pPr>
    </w:p>
    <w:p w14:paraId="16AF15E8">
      <w:pPr>
        <w:tabs>
          <w:tab w:val="left" w:pos="5670"/>
        </w:tabs>
        <w:jc w:val="center"/>
        <w:rPr>
          <w:rFonts w:asciiTheme="majorEastAsia" w:hAnsiTheme="majorEastAsia" w:eastAsiaTheme="majorEastAsia" w:cstheme="majorEastAsia"/>
          <w:b/>
          <w:spacing w:val="6"/>
          <w:sz w:val="28"/>
          <w:szCs w:val="28"/>
        </w:rPr>
      </w:pPr>
      <w:r>
        <w:rPr>
          <w:rFonts w:hint="eastAsia" w:asciiTheme="majorEastAsia" w:hAnsiTheme="majorEastAsia" w:eastAsiaTheme="majorEastAsia" w:cstheme="majorEastAsia"/>
          <w:b/>
          <w:bCs/>
          <w:sz w:val="36"/>
          <w:szCs w:val="36"/>
        </w:rPr>
        <w:br w:type="page"/>
      </w:r>
      <w:bookmarkStart w:id="164" w:name="_Toc3485"/>
      <w:r>
        <w:rPr>
          <w:rFonts w:hint="eastAsia" w:asciiTheme="majorEastAsia" w:hAnsiTheme="majorEastAsia" w:eastAsiaTheme="majorEastAsia" w:cstheme="majorEastAsia"/>
          <w:b/>
          <w:bCs/>
          <w:sz w:val="28"/>
          <w:szCs w:val="28"/>
        </w:rPr>
        <w:t>3.</w:t>
      </w:r>
      <w:r>
        <w:rPr>
          <w:rFonts w:hint="eastAsia" w:asciiTheme="majorEastAsia" w:hAnsiTheme="majorEastAsia" w:eastAsiaTheme="majorEastAsia" w:cstheme="majorEastAsia"/>
          <w:b/>
          <w:spacing w:val="6"/>
          <w:sz w:val="28"/>
          <w:szCs w:val="28"/>
        </w:rPr>
        <w:t>监狱企业证明函</w:t>
      </w:r>
      <w:bookmarkEnd w:id="164"/>
    </w:p>
    <w:p w14:paraId="1E895FD0">
      <w:pPr>
        <w:pStyle w:val="17"/>
        <w:rPr>
          <w:rFonts w:asciiTheme="majorEastAsia" w:hAnsiTheme="majorEastAsia" w:eastAsiaTheme="majorEastAsia" w:cstheme="majorEastAsia"/>
        </w:rPr>
      </w:pPr>
    </w:p>
    <w:p w14:paraId="1B35B0B8">
      <w:pPr>
        <w:jc w:val="center"/>
        <w:outlineLvl w:val="0"/>
        <w:rPr>
          <w:rFonts w:asciiTheme="majorEastAsia" w:hAnsiTheme="majorEastAsia" w:eastAsiaTheme="majorEastAsia" w:cstheme="majorEastAsia"/>
          <w:sz w:val="24"/>
        </w:rPr>
      </w:pPr>
      <w:bookmarkStart w:id="165" w:name="_Toc29333"/>
      <w:bookmarkStart w:id="166" w:name="_Toc20880"/>
      <w:bookmarkStart w:id="167" w:name="_Toc15286"/>
      <w:r>
        <w:rPr>
          <w:rFonts w:hint="eastAsia" w:asciiTheme="majorEastAsia" w:hAnsiTheme="majorEastAsia" w:eastAsiaTheme="majorEastAsia" w:cstheme="majorEastAsia"/>
          <w:sz w:val="24"/>
        </w:rPr>
        <w:t>（注：符合条件的监狱企业请提供本函，不符合的不提供本函）</w:t>
      </w:r>
      <w:bookmarkEnd w:id="165"/>
      <w:bookmarkEnd w:id="166"/>
      <w:bookmarkEnd w:id="167"/>
    </w:p>
    <w:p w14:paraId="6AAB0967">
      <w:pPr>
        <w:rPr>
          <w:rFonts w:asciiTheme="majorEastAsia" w:hAnsiTheme="majorEastAsia" w:eastAsiaTheme="majorEastAsia" w:cstheme="majorEastAsia"/>
        </w:rPr>
      </w:pPr>
    </w:p>
    <w:p w14:paraId="4A994F8A">
      <w:pPr>
        <w:spacing w:line="50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监狱企业参加政府采购活动，要求享受相关优惠政策的，应当提供由省级以上监狱管理局、戒毒管理局（含新疆生产建设兵团）出具的属于监狱企业的证明文件。</w:t>
      </w:r>
    </w:p>
    <w:p w14:paraId="2B9966CF">
      <w:pPr>
        <w:spacing w:line="500" w:lineRule="exact"/>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备注：财政部 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CFB0D49">
      <w:pPr>
        <w:pStyle w:val="23"/>
        <w:ind w:firstLine="183"/>
        <w:rPr>
          <w:rFonts w:asciiTheme="majorEastAsia" w:hAnsiTheme="majorEastAsia" w:eastAsiaTheme="majorEastAsia" w:cstheme="majorEastAsia"/>
        </w:rPr>
      </w:pPr>
    </w:p>
    <w:p w14:paraId="2539CA51">
      <w:pPr>
        <w:rPr>
          <w:rFonts w:asciiTheme="majorEastAsia" w:hAnsiTheme="majorEastAsia" w:eastAsiaTheme="majorEastAsia" w:cstheme="majorEastAsia"/>
        </w:rPr>
      </w:pPr>
    </w:p>
    <w:p w14:paraId="14FD5F83">
      <w:pPr>
        <w:rPr>
          <w:rFonts w:asciiTheme="majorEastAsia" w:hAnsiTheme="majorEastAsia" w:eastAsiaTheme="majorEastAsia" w:cstheme="majorEastAsia"/>
        </w:rPr>
      </w:pPr>
    </w:p>
    <w:p w14:paraId="4ADACB76">
      <w:pPr>
        <w:rPr>
          <w:rFonts w:asciiTheme="majorEastAsia" w:hAnsiTheme="majorEastAsia" w:eastAsiaTheme="majorEastAsia" w:cstheme="majorEastAsia"/>
        </w:rPr>
      </w:pPr>
    </w:p>
    <w:p w14:paraId="5982F7F1">
      <w:pPr>
        <w:rPr>
          <w:rFonts w:asciiTheme="majorEastAsia" w:hAnsiTheme="majorEastAsia" w:eastAsiaTheme="majorEastAsia" w:cstheme="majorEastAsia"/>
        </w:rPr>
      </w:pPr>
    </w:p>
    <w:p w14:paraId="5B02D7BA">
      <w:pPr>
        <w:rPr>
          <w:rFonts w:asciiTheme="majorEastAsia" w:hAnsiTheme="majorEastAsia" w:eastAsiaTheme="majorEastAsia" w:cstheme="majorEastAsia"/>
        </w:rPr>
      </w:pPr>
    </w:p>
    <w:p w14:paraId="644A9013">
      <w:pPr>
        <w:rPr>
          <w:rFonts w:asciiTheme="majorEastAsia" w:hAnsiTheme="majorEastAsia" w:eastAsiaTheme="majorEastAsia" w:cstheme="majorEastAsia"/>
        </w:rPr>
      </w:pPr>
    </w:p>
    <w:p w14:paraId="20398250">
      <w:pPr>
        <w:widowControl/>
        <w:jc w:val="left"/>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rPr>
        <w:tab/>
      </w:r>
      <w:r>
        <w:rPr>
          <w:rFonts w:hint="eastAsia" w:asciiTheme="majorEastAsia" w:hAnsiTheme="majorEastAsia" w:eastAsiaTheme="majorEastAsia" w:cstheme="majorEastAsia"/>
          <w:kern w:val="0"/>
          <w:sz w:val="24"/>
        </w:rPr>
        <w:t>供应商（盖章）：</w:t>
      </w:r>
    </w:p>
    <w:p w14:paraId="42EAFA87">
      <w:pPr>
        <w:widowControl/>
        <w:ind w:firstLine="482"/>
        <w:jc w:val="left"/>
        <w:rPr>
          <w:rFonts w:asciiTheme="majorEastAsia" w:hAnsiTheme="majorEastAsia" w:eastAsiaTheme="majorEastAsia" w:cstheme="majorEastAsia"/>
          <w:kern w:val="0"/>
          <w:sz w:val="24"/>
        </w:rPr>
      </w:pPr>
    </w:p>
    <w:p w14:paraId="2C5B4D6F">
      <w:pPr>
        <w:widowControl/>
        <w:ind w:firstLine="480" w:firstLineChars="200"/>
        <w:jc w:val="left"/>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rPr>
        <w:t>承诺人（签字）：</w:t>
      </w:r>
    </w:p>
    <w:p w14:paraId="22FB2F1D">
      <w:pPr>
        <w:widowControl/>
        <w:ind w:firstLine="482"/>
        <w:jc w:val="left"/>
        <w:rPr>
          <w:rFonts w:asciiTheme="majorEastAsia" w:hAnsiTheme="majorEastAsia" w:eastAsiaTheme="majorEastAsia" w:cstheme="majorEastAsia"/>
          <w:kern w:val="0"/>
          <w:sz w:val="24"/>
          <w:u w:val="single"/>
        </w:rPr>
      </w:pPr>
    </w:p>
    <w:p w14:paraId="5B078A9A">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承诺时间：年月日</w:t>
      </w:r>
    </w:p>
    <w:p w14:paraId="6D5153F8">
      <w:pPr>
        <w:pStyle w:val="17"/>
        <w:rPr>
          <w:rFonts w:asciiTheme="majorEastAsia" w:hAnsiTheme="majorEastAsia" w:eastAsiaTheme="majorEastAsia" w:cstheme="majorEastAsia"/>
          <w:sz w:val="24"/>
        </w:rPr>
      </w:pPr>
    </w:p>
    <w:p w14:paraId="7DC428C1">
      <w:pPr>
        <w:rPr>
          <w:rFonts w:asciiTheme="majorEastAsia" w:hAnsiTheme="majorEastAsia" w:eastAsiaTheme="majorEastAsia" w:cstheme="majorEastAsia"/>
        </w:rPr>
      </w:pPr>
    </w:p>
    <w:p w14:paraId="7D42ECDD">
      <w:pPr>
        <w:pStyle w:val="17"/>
        <w:rPr>
          <w:rFonts w:asciiTheme="majorEastAsia" w:hAnsiTheme="majorEastAsia" w:eastAsiaTheme="majorEastAsia" w:cstheme="majorEastAsia"/>
          <w:sz w:val="24"/>
          <w:szCs w:val="24"/>
        </w:rPr>
        <w:sectPr>
          <w:footerReference r:id="rId15" w:type="default"/>
          <w:pgSz w:w="11906" w:h="16838"/>
          <w:pgMar w:top="1440" w:right="1287" w:bottom="1440" w:left="1440" w:header="850" w:footer="992" w:gutter="0"/>
          <w:cols w:space="720" w:num="1"/>
          <w:titlePg/>
          <w:docGrid w:linePitch="360" w:charSpace="0"/>
        </w:sectPr>
      </w:pPr>
    </w:p>
    <w:bookmarkEnd w:id="160"/>
    <w:bookmarkEnd w:id="161"/>
    <w:bookmarkEnd w:id="162"/>
    <w:p w14:paraId="12FC3425">
      <w:pPr>
        <w:spacing w:line="360" w:lineRule="auto"/>
        <w:ind w:firstLine="964" w:firstLineChars="300"/>
        <w:jc w:val="center"/>
        <w:outlineLvl w:val="0"/>
        <w:rPr>
          <w:rFonts w:asciiTheme="majorEastAsia" w:hAnsiTheme="majorEastAsia" w:eastAsiaTheme="majorEastAsia" w:cstheme="majorEastAsia"/>
          <w:b/>
          <w:bCs/>
          <w:sz w:val="32"/>
          <w:szCs w:val="32"/>
        </w:rPr>
      </w:pPr>
      <w:bookmarkStart w:id="168" w:name="_Toc622"/>
      <w:bookmarkStart w:id="169" w:name="_Toc22483"/>
      <w:r>
        <w:rPr>
          <w:rFonts w:hint="eastAsia" w:asciiTheme="majorEastAsia" w:hAnsiTheme="majorEastAsia" w:eastAsiaTheme="majorEastAsia" w:cstheme="majorEastAsia"/>
          <w:b/>
          <w:bCs/>
          <w:sz w:val="32"/>
          <w:szCs w:val="32"/>
        </w:rPr>
        <w:t>第八章  榆林市公共资源交易平台全流程电子化</w:t>
      </w:r>
      <w:bookmarkStart w:id="170" w:name="_Toc23465"/>
      <w:r>
        <w:rPr>
          <w:rFonts w:hint="eastAsia" w:asciiTheme="majorEastAsia" w:hAnsiTheme="majorEastAsia" w:eastAsiaTheme="majorEastAsia" w:cstheme="majorEastAsia"/>
          <w:b/>
          <w:bCs/>
          <w:sz w:val="32"/>
          <w:szCs w:val="32"/>
        </w:rPr>
        <w:t>政府采购项目内容</w:t>
      </w:r>
      <w:bookmarkEnd w:id="168"/>
      <w:bookmarkEnd w:id="169"/>
      <w:bookmarkEnd w:id="170"/>
    </w:p>
    <w:p w14:paraId="5560333E">
      <w:pPr>
        <w:spacing w:line="360" w:lineRule="auto"/>
        <w:rPr>
          <w:rFonts w:asciiTheme="majorEastAsia" w:hAnsiTheme="majorEastAsia" w:eastAsiaTheme="majorEastAsia" w:cstheme="majorEastAsia"/>
          <w:bCs/>
          <w:sz w:val="24"/>
        </w:rPr>
      </w:pPr>
      <w:bookmarkStart w:id="171" w:name="_Toc19434"/>
      <w:bookmarkStart w:id="172" w:name="_Toc17329"/>
      <w:bookmarkStart w:id="173" w:name="_Toc5026"/>
      <w:bookmarkStart w:id="174" w:name="_Toc7893"/>
      <w:bookmarkStart w:id="175" w:name="_Toc29408"/>
      <w:bookmarkStart w:id="176" w:name="_Toc24424"/>
      <w:bookmarkStart w:id="177" w:name="_Toc13044"/>
      <w:bookmarkStart w:id="178" w:name="_Toc17326"/>
      <w:bookmarkStart w:id="179" w:name="_Toc30256"/>
      <w:bookmarkStart w:id="180" w:name="_Toc2927"/>
      <w:bookmarkStart w:id="181" w:name="_Toc21640"/>
      <w:bookmarkStart w:id="182" w:name="_Toc13032"/>
      <w:r>
        <w:rPr>
          <w:rFonts w:hint="eastAsia" w:asciiTheme="majorEastAsia" w:hAnsiTheme="majorEastAsia" w:eastAsiaTheme="majorEastAsia" w:cstheme="majorEastAsia"/>
          <w:bCs/>
          <w:sz w:val="24"/>
        </w:rPr>
        <w:t>一、关于需要特别提醒供应商的内容</w:t>
      </w:r>
      <w:bookmarkEnd w:id="171"/>
      <w:bookmarkEnd w:id="172"/>
      <w:bookmarkEnd w:id="173"/>
      <w:bookmarkEnd w:id="174"/>
      <w:bookmarkEnd w:id="175"/>
      <w:bookmarkEnd w:id="176"/>
      <w:bookmarkEnd w:id="177"/>
      <w:bookmarkEnd w:id="178"/>
      <w:bookmarkEnd w:id="179"/>
    </w:p>
    <w:p w14:paraId="4A752D59">
      <w:pPr>
        <w:spacing w:line="360" w:lineRule="auto"/>
        <w:ind w:firstLine="480" w:firstLineChars="200"/>
        <w:rPr>
          <w:rFonts w:asciiTheme="majorEastAsia" w:hAnsiTheme="majorEastAsia" w:eastAsiaTheme="majorEastAsia" w:cstheme="majorEastAsia"/>
          <w:bCs/>
          <w:sz w:val="24"/>
        </w:rPr>
      </w:pPr>
      <w:bookmarkStart w:id="183" w:name="_Toc21468"/>
      <w:bookmarkStart w:id="184" w:name="_Toc21400"/>
      <w:bookmarkStart w:id="185" w:name="_Toc3743"/>
      <w:bookmarkStart w:id="186" w:name="_Toc31636"/>
      <w:bookmarkStart w:id="187" w:name="_Toc19423"/>
      <w:bookmarkStart w:id="188" w:name="_Toc9072"/>
      <w:bookmarkStart w:id="189" w:name="_Toc28365"/>
      <w:bookmarkStart w:id="190" w:name="_Toc22444"/>
      <w:bookmarkStart w:id="191" w:name="_Toc11575"/>
      <w:r>
        <w:rPr>
          <w:rFonts w:hint="eastAsia" w:asciiTheme="majorEastAsia" w:hAnsiTheme="majorEastAsia" w:eastAsiaTheme="majorEastAsia" w:cstheme="majorEastAsia"/>
          <w:bCs/>
          <w:sz w:val="24"/>
        </w:rPr>
        <w:t>1、本项目采用电子化投标的方式投标，投标人须使用数字认证证书（CA锁）对电子投标文件进行签章、加密、递交及开标时解密等相关招投标事宜。</w:t>
      </w:r>
      <w:bookmarkEnd w:id="183"/>
      <w:bookmarkEnd w:id="184"/>
      <w:bookmarkEnd w:id="185"/>
      <w:bookmarkEnd w:id="186"/>
      <w:bookmarkEnd w:id="187"/>
    </w:p>
    <w:p w14:paraId="5A986050">
      <w:pPr>
        <w:spacing w:line="360" w:lineRule="auto"/>
        <w:ind w:firstLine="480" w:firstLineChars="200"/>
        <w:rPr>
          <w:rFonts w:asciiTheme="majorEastAsia" w:hAnsiTheme="majorEastAsia" w:eastAsiaTheme="majorEastAsia" w:cstheme="majorEastAsia"/>
          <w:bCs/>
          <w:sz w:val="24"/>
        </w:rPr>
      </w:pPr>
      <w:bookmarkStart w:id="192" w:name="_Toc26209"/>
      <w:bookmarkStart w:id="193" w:name="_Toc21967"/>
      <w:bookmarkStart w:id="194" w:name="_Toc29324"/>
      <w:bookmarkStart w:id="195" w:name="_Toc8218"/>
      <w:bookmarkStart w:id="196" w:name="_Toc16386"/>
      <w:r>
        <w:rPr>
          <w:rFonts w:hint="eastAsia" w:asciiTheme="majorEastAsia" w:hAnsiTheme="majorEastAsia" w:eastAsiaTheme="majorEastAsia" w:cstheme="majorEastAsia"/>
          <w:bCs/>
          <w:sz w:val="24"/>
        </w:rPr>
        <w:t>2、制作电子投标文件</w:t>
      </w:r>
      <w:bookmarkEnd w:id="192"/>
      <w:bookmarkEnd w:id="193"/>
      <w:bookmarkEnd w:id="194"/>
      <w:bookmarkEnd w:id="195"/>
      <w:bookmarkEnd w:id="196"/>
    </w:p>
    <w:p w14:paraId="0290EAFC">
      <w:pPr>
        <w:spacing w:line="360" w:lineRule="auto"/>
        <w:ind w:firstLine="480" w:firstLineChars="200"/>
        <w:rPr>
          <w:rFonts w:asciiTheme="majorEastAsia" w:hAnsiTheme="majorEastAsia" w:eastAsiaTheme="majorEastAsia" w:cstheme="majorEastAsia"/>
          <w:bCs/>
          <w:sz w:val="24"/>
        </w:rPr>
      </w:pPr>
      <w:bookmarkStart w:id="197" w:name="_Toc22290"/>
      <w:bookmarkStart w:id="198" w:name="_Toc20309"/>
      <w:r>
        <w:rPr>
          <w:rFonts w:hint="eastAsia" w:asciiTheme="majorEastAsia" w:hAnsiTheme="majorEastAsia" w:eastAsiaTheme="majorEastAsia" w:cstheme="majorEastAsia"/>
          <w:bCs/>
          <w:sz w:val="24"/>
        </w:rPr>
        <w:t>投标供应商须在“全国公共资源交易中心平台（陕西省）（http://www.sxggzyjy.cn/）”的“服务指南”栏目“下载专区”中，免费下载“陕西省公共资源交易平台政府采购电子标书制作工具(V8.0.0.44)”，并升级至最新版本，使用该客户端制作电子投标文件，制作扩展名为“.SXSTF”的电子投标文件。”</w:t>
      </w:r>
      <w:bookmarkEnd w:id="197"/>
      <w:bookmarkEnd w:id="198"/>
    </w:p>
    <w:p w14:paraId="096A72A7">
      <w:pPr>
        <w:spacing w:line="360" w:lineRule="auto"/>
        <w:ind w:firstLine="480" w:firstLineChars="200"/>
        <w:rPr>
          <w:rFonts w:asciiTheme="majorEastAsia" w:hAnsiTheme="majorEastAsia" w:eastAsiaTheme="majorEastAsia" w:cstheme="majorEastAsia"/>
          <w:bCs/>
          <w:sz w:val="24"/>
        </w:rPr>
      </w:pPr>
      <w:bookmarkStart w:id="199" w:name="_Toc15991"/>
      <w:bookmarkStart w:id="200" w:name="_Toc11240"/>
      <w:bookmarkStart w:id="201" w:name="_Toc8778"/>
      <w:bookmarkStart w:id="202" w:name="_Toc29229"/>
      <w:bookmarkStart w:id="203" w:name="_Toc26633"/>
      <w:r>
        <w:rPr>
          <w:rFonts w:hint="eastAsia" w:asciiTheme="majorEastAsia" w:hAnsiTheme="majorEastAsia" w:eastAsiaTheme="majorEastAsia" w:cstheme="majorEastAsia"/>
          <w:bCs/>
          <w:sz w:val="24"/>
        </w:rPr>
        <w:t>3、递交电子投标文件</w:t>
      </w:r>
      <w:bookmarkEnd w:id="199"/>
      <w:bookmarkEnd w:id="200"/>
      <w:bookmarkEnd w:id="201"/>
      <w:bookmarkEnd w:id="202"/>
      <w:bookmarkEnd w:id="203"/>
    </w:p>
    <w:p w14:paraId="0017D096">
      <w:pPr>
        <w:spacing w:line="360" w:lineRule="auto"/>
        <w:ind w:firstLine="480" w:firstLineChars="200"/>
        <w:rPr>
          <w:rFonts w:asciiTheme="majorEastAsia" w:hAnsiTheme="majorEastAsia" w:eastAsiaTheme="majorEastAsia" w:cstheme="majorEastAsia"/>
          <w:bCs/>
          <w:sz w:val="24"/>
        </w:rPr>
      </w:pPr>
      <w:bookmarkStart w:id="204" w:name="_Toc26499"/>
      <w:bookmarkStart w:id="205" w:name="_Toc10172"/>
      <w:bookmarkStart w:id="206" w:name="_Toc26907"/>
      <w:bookmarkStart w:id="207" w:name="_Toc2403"/>
      <w:bookmarkStart w:id="208" w:name="_Toc12111"/>
      <w:r>
        <w:rPr>
          <w:rFonts w:hint="eastAsia" w:asciiTheme="majorEastAsia" w:hAnsiTheme="majorEastAsia" w:eastAsiaTheme="majorEastAsia" w:cstheme="majorEastAsia"/>
          <w:bCs/>
          <w:sz w:val="24"/>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bookmarkEnd w:id="204"/>
      <w:bookmarkEnd w:id="205"/>
      <w:bookmarkEnd w:id="206"/>
      <w:bookmarkEnd w:id="207"/>
      <w:bookmarkEnd w:id="208"/>
    </w:p>
    <w:bookmarkEnd w:id="188"/>
    <w:bookmarkEnd w:id="189"/>
    <w:bookmarkEnd w:id="190"/>
    <w:bookmarkEnd w:id="191"/>
    <w:p w14:paraId="4155398A">
      <w:pPr>
        <w:spacing w:line="360" w:lineRule="auto"/>
        <w:rPr>
          <w:rFonts w:asciiTheme="majorEastAsia" w:hAnsiTheme="majorEastAsia" w:eastAsiaTheme="majorEastAsia" w:cstheme="majorEastAsia"/>
          <w:bCs/>
          <w:sz w:val="24"/>
        </w:rPr>
      </w:pPr>
      <w:bookmarkStart w:id="209" w:name="_Toc18685"/>
      <w:bookmarkStart w:id="210" w:name="_Toc6717"/>
      <w:bookmarkStart w:id="211" w:name="_Toc2373"/>
      <w:bookmarkStart w:id="212" w:name="_Toc23397"/>
      <w:bookmarkStart w:id="213" w:name="_Toc14917"/>
      <w:bookmarkStart w:id="214" w:name="_Toc2638"/>
      <w:bookmarkStart w:id="215" w:name="_Toc31754"/>
      <w:bookmarkStart w:id="216" w:name="_Toc17398"/>
      <w:bookmarkStart w:id="217" w:name="_Toc22823"/>
      <w:r>
        <w:rPr>
          <w:rFonts w:hint="eastAsia" w:asciiTheme="majorEastAsia" w:hAnsiTheme="majorEastAsia" w:eastAsiaTheme="majorEastAsia" w:cstheme="majorEastAsia"/>
          <w:bCs/>
          <w:sz w:val="24"/>
        </w:rPr>
        <w:t>二、关于文件的制作和签名</w:t>
      </w:r>
      <w:bookmarkEnd w:id="209"/>
      <w:bookmarkEnd w:id="210"/>
      <w:bookmarkEnd w:id="211"/>
      <w:bookmarkEnd w:id="212"/>
      <w:bookmarkEnd w:id="213"/>
      <w:bookmarkEnd w:id="214"/>
      <w:bookmarkEnd w:id="215"/>
      <w:bookmarkEnd w:id="216"/>
      <w:bookmarkEnd w:id="217"/>
    </w:p>
    <w:p w14:paraId="783EB123">
      <w:pPr>
        <w:spacing w:line="360" w:lineRule="auto"/>
        <w:ind w:firstLine="480" w:firstLineChars="200"/>
        <w:rPr>
          <w:rFonts w:asciiTheme="majorEastAsia" w:hAnsiTheme="majorEastAsia" w:eastAsiaTheme="majorEastAsia" w:cstheme="majorEastAsia"/>
          <w:bCs/>
          <w:sz w:val="24"/>
        </w:rPr>
      </w:pPr>
      <w:bookmarkStart w:id="218" w:name="_Toc22512"/>
      <w:r>
        <w:rPr>
          <w:rFonts w:hint="eastAsia" w:asciiTheme="majorEastAsia" w:hAnsiTheme="majorEastAsia" w:eastAsiaTheme="majorEastAsia" w:cstheme="majorEastAsia"/>
          <w:bCs/>
          <w:sz w:val="24"/>
        </w:rPr>
        <w:t>1.</w:t>
      </w:r>
      <w:bookmarkEnd w:id="218"/>
      <w:bookmarkStart w:id="219" w:name="_Toc30680"/>
      <w:r>
        <w:rPr>
          <w:rFonts w:hint="eastAsia" w:asciiTheme="majorEastAsia" w:hAnsiTheme="majorEastAsia" w:eastAsiaTheme="majorEastAsia" w:cstheme="majorEastAsia"/>
          <w:bCs/>
          <w:sz w:val="24"/>
        </w:rPr>
        <w:t xml:space="preserve"> 编制电子投标文件时，应使用最新发布的电子招标文件及专用制作工具进行编制。并使用数字认证证书（CA）对电子投标文件进行签署、加密、递交及开标时解密等相关操作。</w:t>
      </w:r>
      <w:bookmarkEnd w:id="219"/>
    </w:p>
    <w:p w14:paraId="02323204">
      <w:pPr>
        <w:spacing w:line="360" w:lineRule="auto"/>
        <w:ind w:firstLine="240" w:firstLineChars="100"/>
        <w:rPr>
          <w:rFonts w:asciiTheme="majorEastAsia" w:hAnsiTheme="majorEastAsia" w:eastAsiaTheme="majorEastAsia" w:cstheme="majorEastAsia"/>
          <w:bCs/>
          <w:sz w:val="24"/>
        </w:rPr>
      </w:pPr>
      <w:bookmarkStart w:id="220" w:name="_Toc5190"/>
      <w:r>
        <w:rPr>
          <w:rFonts w:hint="eastAsia" w:asciiTheme="majorEastAsia" w:hAnsiTheme="majorEastAsia" w:eastAsiaTheme="majorEastAsia" w:cstheme="majorEastAsia"/>
          <w:bCs/>
          <w:sz w:val="24"/>
        </w:rPr>
        <w:t>（1）电子招标文件下载</w:t>
      </w:r>
      <w:bookmarkEnd w:id="220"/>
    </w:p>
    <w:p w14:paraId="6517854F">
      <w:pPr>
        <w:spacing w:line="360" w:lineRule="auto"/>
        <w:ind w:firstLine="480" w:firstLineChars="200"/>
        <w:rPr>
          <w:rFonts w:asciiTheme="majorEastAsia" w:hAnsiTheme="majorEastAsia" w:eastAsiaTheme="majorEastAsia" w:cstheme="majorEastAsia"/>
          <w:bCs/>
          <w:sz w:val="24"/>
        </w:rPr>
      </w:pPr>
      <w:bookmarkStart w:id="221" w:name="_Toc17854"/>
      <w:r>
        <w:rPr>
          <w:rFonts w:hint="eastAsia" w:asciiTheme="majorEastAsia" w:hAnsiTheme="majorEastAsia" w:eastAsiaTheme="majorEastAsia" w:cstheme="majorEastAsia"/>
          <w:bCs/>
          <w:sz w:val="24"/>
        </w:rPr>
        <w:t>供应商登录全国公共资源交易平台（陕西省）网站[电子交易平台-企业端]后，在[我的项目]中点击“项目流程-交易文件下载”下载电子招标文件（*.SXSZF）;</w:t>
      </w:r>
      <w:bookmarkEnd w:id="221"/>
    </w:p>
    <w:p w14:paraId="4DB1D05E">
      <w:pPr>
        <w:spacing w:line="360" w:lineRule="auto"/>
        <w:rPr>
          <w:rFonts w:asciiTheme="majorEastAsia" w:hAnsiTheme="majorEastAsia" w:eastAsiaTheme="majorEastAsia" w:cstheme="majorEastAsia"/>
          <w:bCs/>
          <w:sz w:val="24"/>
        </w:rPr>
      </w:pPr>
      <w:bookmarkStart w:id="222" w:name="_Toc27523"/>
      <w:r>
        <w:rPr>
          <w:rFonts w:hint="eastAsia" w:asciiTheme="majorEastAsia" w:hAnsiTheme="majorEastAsia" w:eastAsiaTheme="majorEastAsia" w:cstheme="majorEastAsia"/>
          <w:bCs/>
          <w:sz w:val="24"/>
        </w:rPr>
        <w:t>注意：该项目如有变更文件，则应点击“项目流程&gt;答疑文件下载”下载更新后的电子招标文件（*.SXSCF），使用旧版电子招标文件制作的电子投标文件，系统将拒绝接收。</w:t>
      </w:r>
      <w:bookmarkEnd w:id="222"/>
    </w:p>
    <w:p w14:paraId="1FB5E83C">
      <w:pPr>
        <w:spacing w:line="360" w:lineRule="auto"/>
        <w:ind w:firstLine="240" w:firstLineChars="100"/>
        <w:rPr>
          <w:rFonts w:asciiTheme="majorEastAsia" w:hAnsiTheme="majorEastAsia" w:eastAsiaTheme="majorEastAsia" w:cstheme="majorEastAsia"/>
          <w:bCs/>
          <w:sz w:val="24"/>
        </w:rPr>
      </w:pPr>
      <w:bookmarkStart w:id="223" w:name="_Toc8282"/>
      <w:r>
        <w:rPr>
          <w:rFonts w:hint="eastAsia" w:asciiTheme="majorEastAsia" w:hAnsiTheme="majorEastAsia" w:eastAsiaTheme="majorEastAsia" w:cstheme="majorEastAsia"/>
          <w:bCs/>
          <w:sz w:val="24"/>
        </w:rPr>
        <w:t>（2）电子招标文件需要使用专用软件打开、浏览</w:t>
      </w:r>
      <w:bookmarkEnd w:id="223"/>
      <w:bookmarkStart w:id="224" w:name="_Toc20814"/>
      <w:r>
        <w:rPr>
          <w:rFonts w:hint="eastAsia" w:asciiTheme="majorEastAsia" w:hAnsiTheme="majorEastAsia" w:eastAsiaTheme="majorEastAsia" w:cstheme="majorEastAsia"/>
          <w:bCs/>
          <w:sz w:val="24"/>
        </w:rPr>
        <w:t>，供应商登录全国公共资源交易平台（陕西省）网站[服务指南-下载专区]免费下载《陕西省公共资源交易平台政府采购电子标书制作工具(V8.0.0.44)》，下载网址：</w:t>
      </w:r>
      <w:r>
        <w:fldChar w:fldCharType="begin"/>
      </w:r>
      <w:r>
        <w:instrText xml:space="preserve"> HYPERLINK "https://download.bqpoint.com/download/downloaddetail.html?SourceFrom=Ztb&amp;ZtbSoftXiaQuCode=1805&amp;ZtbSoftType=tballinclusive" </w:instrText>
      </w:r>
      <w:r>
        <w:fldChar w:fldCharType="separate"/>
      </w:r>
      <w:r>
        <w:rPr>
          <w:rFonts w:hint="eastAsia" w:asciiTheme="majorEastAsia" w:hAnsiTheme="majorEastAsia" w:eastAsiaTheme="majorEastAsia" w:cstheme="majorEastAsia"/>
          <w:bCs/>
          <w:sz w:val="24"/>
        </w:rPr>
        <w:t>https://download.bqpoint.com/download/downloaddetail.html?SourceFrom=Ztb&amp;ZtbSoftXiaQuCode=1805&amp;ZtbSoftType=tballinclusive</w:t>
      </w:r>
      <w:r>
        <w:rPr>
          <w:rFonts w:hint="eastAsia" w:asciiTheme="majorEastAsia" w:hAnsiTheme="majorEastAsia" w:eastAsiaTheme="majorEastAsia" w:cstheme="majorEastAsia"/>
          <w:bCs/>
          <w:sz w:val="24"/>
        </w:rPr>
        <w:fldChar w:fldCharType="end"/>
      </w:r>
      <w:r>
        <w:rPr>
          <w:rFonts w:hint="eastAsia" w:asciiTheme="majorEastAsia" w:hAnsiTheme="majorEastAsia" w:eastAsiaTheme="majorEastAsia" w:cstheme="majorEastAsia"/>
          <w:bCs/>
          <w:sz w:val="24"/>
        </w:rPr>
        <w:t>，并升级至最新版本，使用该客户端可以打开电子招标文件。</w:t>
      </w:r>
      <w:bookmarkEnd w:id="224"/>
    </w:p>
    <w:p w14:paraId="1C7E9CA7">
      <w:pPr>
        <w:spacing w:line="360" w:lineRule="auto"/>
        <w:ind w:firstLine="240" w:firstLineChars="100"/>
        <w:rPr>
          <w:rFonts w:asciiTheme="majorEastAsia" w:hAnsiTheme="majorEastAsia" w:eastAsiaTheme="majorEastAsia" w:cstheme="majorEastAsia"/>
          <w:bCs/>
          <w:sz w:val="24"/>
        </w:rPr>
      </w:pPr>
      <w:bookmarkStart w:id="225" w:name="_Toc3479"/>
      <w:r>
        <w:rPr>
          <w:rFonts w:hint="eastAsia" w:asciiTheme="majorEastAsia" w:hAnsiTheme="majorEastAsia" w:eastAsiaTheme="majorEastAsia" w:cstheme="majorEastAsia"/>
          <w:bCs/>
          <w:sz w:val="24"/>
        </w:rPr>
        <w:t>（3）制作电子投标文件</w:t>
      </w:r>
      <w:bookmarkEnd w:id="225"/>
    </w:p>
    <w:p w14:paraId="157BC1B4">
      <w:pPr>
        <w:spacing w:line="360" w:lineRule="auto"/>
        <w:ind w:firstLine="480" w:firstLineChars="200"/>
        <w:rPr>
          <w:rFonts w:asciiTheme="majorEastAsia" w:hAnsiTheme="majorEastAsia" w:eastAsiaTheme="majorEastAsia" w:cstheme="majorEastAsia"/>
          <w:bCs/>
          <w:sz w:val="24"/>
        </w:rPr>
      </w:pPr>
      <w:bookmarkStart w:id="226" w:name="_Toc1229"/>
      <w:r>
        <w:rPr>
          <w:rFonts w:hint="eastAsia" w:asciiTheme="majorEastAsia" w:hAnsiTheme="majorEastAsia" w:eastAsiaTheme="majorEastAsia" w:cstheme="majorEastAsia"/>
          <w:bCs/>
          <w:sz w:val="24"/>
        </w:rPr>
        <w:t>电子投标文件同样需要使用上述软件进行编制。在编制过程中，如有技术性问题，请先翻阅操作手册或致电软件开发商，技术支持热线：4009280095、4009980000。</w:t>
      </w:r>
      <w:bookmarkEnd w:id="226"/>
    </w:p>
    <w:p w14:paraId="249CD027">
      <w:pPr>
        <w:spacing w:line="360" w:lineRule="auto"/>
        <w:rPr>
          <w:rFonts w:asciiTheme="majorEastAsia" w:hAnsiTheme="majorEastAsia" w:eastAsiaTheme="majorEastAsia" w:cstheme="majorEastAsia"/>
          <w:bCs/>
          <w:sz w:val="24"/>
        </w:rPr>
      </w:pPr>
      <w:bookmarkStart w:id="227" w:name="_Toc9181"/>
      <w:bookmarkStart w:id="228" w:name="_Toc24522"/>
      <w:bookmarkStart w:id="229" w:name="_Toc30034"/>
      <w:bookmarkStart w:id="230" w:name="_Toc29731"/>
      <w:bookmarkStart w:id="231" w:name="_Toc17424"/>
      <w:r>
        <w:rPr>
          <w:rFonts w:hint="eastAsia" w:asciiTheme="majorEastAsia" w:hAnsiTheme="majorEastAsia" w:eastAsiaTheme="majorEastAsia" w:cstheme="majorEastAsia"/>
          <w:bCs/>
          <w:sz w:val="24"/>
        </w:rPr>
        <w:t>四、该项目将采取“不见面”开标的形式，供应商无须到达开标现场，即可在网上直接参与开标活动。相关注意事项如下：</w:t>
      </w:r>
      <w:bookmarkEnd w:id="227"/>
      <w:bookmarkEnd w:id="228"/>
      <w:bookmarkEnd w:id="229"/>
      <w:bookmarkEnd w:id="230"/>
      <w:bookmarkEnd w:id="231"/>
    </w:p>
    <w:p w14:paraId="2420C996">
      <w:pPr>
        <w:spacing w:line="360" w:lineRule="auto"/>
        <w:ind w:firstLine="480" w:firstLineChars="200"/>
        <w:rPr>
          <w:rFonts w:asciiTheme="majorEastAsia" w:hAnsiTheme="majorEastAsia" w:eastAsiaTheme="majorEastAsia" w:cstheme="majorEastAsia"/>
          <w:bCs/>
          <w:sz w:val="24"/>
        </w:rPr>
      </w:pPr>
      <w:bookmarkStart w:id="232" w:name="_Toc31554"/>
      <w:bookmarkStart w:id="233" w:name="_Toc25309"/>
      <w:bookmarkStart w:id="234" w:name="_Toc10914"/>
      <w:bookmarkStart w:id="235" w:name="_Toc29064"/>
      <w:bookmarkStart w:id="236" w:name="_Toc28289"/>
      <w:r>
        <w:rPr>
          <w:rFonts w:hint="eastAsia" w:asciiTheme="majorEastAsia" w:hAnsiTheme="majorEastAsia" w:eastAsiaTheme="majorEastAsia" w:cstheme="majorEastAsia"/>
          <w:bCs/>
          <w:sz w:val="24"/>
        </w:rPr>
        <w:t>①开标当日，请各供应商在开标截止时间前至少提前半小时登录“不见面”开标系统登录方式有以下几种：</w:t>
      </w:r>
      <w:bookmarkEnd w:id="232"/>
      <w:bookmarkEnd w:id="233"/>
      <w:bookmarkEnd w:id="234"/>
      <w:bookmarkEnd w:id="235"/>
      <w:bookmarkEnd w:id="236"/>
    </w:p>
    <w:p w14:paraId="2C8DAB5B">
      <w:pPr>
        <w:spacing w:line="360" w:lineRule="auto"/>
        <w:ind w:firstLine="480" w:firstLineChars="200"/>
        <w:rPr>
          <w:rFonts w:asciiTheme="majorEastAsia" w:hAnsiTheme="majorEastAsia" w:eastAsiaTheme="majorEastAsia" w:cstheme="majorEastAsia"/>
          <w:bCs/>
          <w:sz w:val="24"/>
        </w:rPr>
      </w:pPr>
      <w:bookmarkStart w:id="237" w:name="_Toc23987"/>
      <w:bookmarkStart w:id="238" w:name="_Toc6547"/>
      <w:bookmarkStart w:id="239" w:name="_Toc15638"/>
      <w:bookmarkStart w:id="240" w:name="_Toc5810"/>
      <w:bookmarkStart w:id="241" w:name="_Toc136"/>
      <w:r>
        <w:rPr>
          <w:rFonts w:hint="eastAsia" w:asciiTheme="majorEastAsia" w:hAnsiTheme="majorEastAsia" w:eastAsiaTheme="majorEastAsia" w:cstheme="majorEastAsia"/>
          <w:bCs/>
          <w:sz w:val="24"/>
        </w:rPr>
        <w:t>IE浏览器输入网址：</w:t>
      </w:r>
      <w:bookmarkEnd w:id="237"/>
      <w:bookmarkEnd w:id="238"/>
      <w:bookmarkEnd w:id="239"/>
      <w:bookmarkEnd w:id="240"/>
      <w:bookmarkEnd w:id="241"/>
    </w:p>
    <w:p w14:paraId="1CD8269E">
      <w:pPr>
        <w:spacing w:line="360" w:lineRule="auto"/>
        <w:ind w:firstLine="480" w:firstLineChars="200"/>
        <w:rPr>
          <w:rFonts w:asciiTheme="majorEastAsia" w:hAnsiTheme="majorEastAsia" w:eastAsiaTheme="majorEastAsia" w:cstheme="majorEastAsia"/>
          <w:bCs/>
          <w:sz w:val="24"/>
        </w:rPr>
      </w:pPr>
      <w:bookmarkStart w:id="242" w:name="_Toc11544"/>
      <w:bookmarkStart w:id="243" w:name="_Toc14974"/>
      <w:bookmarkStart w:id="244" w:name="_Toc31069"/>
      <w:bookmarkStart w:id="245" w:name="_Toc21170"/>
      <w:bookmarkStart w:id="246" w:name="_Toc9929"/>
      <w:r>
        <w:rPr>
          <w:rFonts w:hint="eastAsia" w:asciiTheme="majorEastAsia" w:hAnsiTheme="majorEastAsia" w:eastAsiaTheme="majorEastAsia" w:cstheme="majorEastAsia"/>
          <w:bCs/>
          <w:sz w:val="24"/>
        </w:rPr>
        <w:fldChar w:fldCharType="begin"/>
      </w:r>
      <w:r>
        <w:rPr>
          <w:rFonts w:hint="eastAsia" w:asciiTheme="majorEastAsia" w:hAnsiTheme="majorEastAsia" w:eastAsiaTheme="majorEastAsia" w:cstheme="majorEastAsia"/>
          <w:bCs/>
          <w:sz w:val="24"/>
        </w:rPr>
        <w:instrText xml:space="preserve"> HYPERLINK "http://219.145.120.168:8082/BidOpeningHall/bidhall/default/login），"</w:instrText>
      </w:r>
      <w:r>
        <w:rPr>
          <w:rFonts w:hint="eastAsia" w:asciiTheme="majorEastAsia" w:hAnsiTheme="majorEastAsia" w:eastAsiaTheme="majorEastAsia" w:cstheme="majorEastAsia"/>
          <w:bCs/>
          <w:sz w:val="24"/>
        </w:rPr>
        <w:fldChar w:fldCharType="separate"/>
      </w:r>
      <w:r>
        <w:rPr>
          <w:rFonts w:hint="eastAsia" w:asciiTheme="majorEastAsia" w:hAnsiTheme="majorEastAsia" w:eastAsiaTheme="majorEastAsia" w:cstheme="majorEastAsia"/>
          <w:bCs/>
          <w:sz w:val="24"/>
        </w:rPr>
        <w:t>http://111.20.184.126:8081/BidOpeningHallCS/bidhall/dqxianyang/login.html；</w:t>
      </w:r>
      <w:r>
        <w:rPr>
          <w:rFonts w:hint="eastAsia" w:asciiTheme="majorEastAsia" w:hAnsiTheme="majorEastAsia" w:eastAsiaTheme="majorEastAsia" w:cstheme="majorEastAsia"/>
          <w:bCs/>
          <w:sz w:val="24"/>
        </w:rPr>
        <w:fldChar w:fldCharType="end"/>
      </w:r>
      <w:bookmarkEnd w:id="242"/>
      <w:bookmarkEnd w:id="243"/>
      <w:bookmarkEnd w:id="244"/>
      <w:bookmarkEnd w:id="245"/>
      <w:bookmarkEnd w:id="246"/>
    </w:p>
    <w:p w14:paraId="65B9ACBE">
      <w:pPr>
        <w:spacing w:line="360" w:lineRule="auto"/>
        <w:ind w:firstLine="480" w:firstLineChars="200"/>
        <w:rPr>
          <w:rFonts w:asciiTheme="majorEastAsia" w:hAnsiTheme="majorEastAsia" w:eastAsiaTheme="majorEastAsia" w:cstheme="majorEastAsia"/>
          <w:bCs/>
          <w:sz w:val="24"/>
        </w:rPr>
      </w:pPr>
      <w:bookmarkStart w:id="247" w:name="_Toc2339"/>
      <w:bookmarkStart w:id="248" w:name="_Toc4145"/>
      <w:bookmarkStart w:id="249" w:name="_Toc22457"/>
      <w:bookmarkStart w:id="250" w:name="_Toc32358"/>
      <w:bookmarkStart w:id="251" w:name="_Toc23601"/>
      <w:r>
        <w:rPr>
          <w:rFonts w:hint="eastAsia" w:asciiTheme="majorEastAsia" w:hAnsiTheme="majorEastAsia" w:eastAsiaTheme="majorEastAsia" w:cstheme="majorEastAsia"/>
          <w:bCs/>
          <w:sz w:val="24"/>
        </w:rPr>
        <w:t>在【全国公共资源交易平台（陕西省）】网站电子交易平台点击不见面开标模块进入；</w:t>
      </w:r>
      <w:bookmarkEnd w:id="247"/>
      <w:bookmarkEnd w:id="248"/>
      <w:bookmarkEnd w:id="249"/>
      <w:bookmarkEnd w:id="250"/>
      <w:bookmarkEnd w:id="251"/>
    </w:p>
    <w:p w14:paraId="2C49DE6A">
      <w:pPr>
        <w:spacing w:line="360" w:lineRule="auto"/>
        <w:ind w:firstLine="480" w:firstLineChars="200"/>
        <w:outlineLvl w:val="0"/>
        <w:rPr>
          <w:rFonts w:asciiTheme="majorEastAsia" w:hAnsiTheme="majorEastAsia" w:eastAsiaTheme="majorEastAsia" w:cstheme="majorEastAsia"/>
          <w:bCs/>
          <w:sz w:val="24"/>
        </w:rPr>
      </w:pPr>
      <w:bookmarkStart w:id="252" w:name="_Toc23882"/>
      <w:bookmarkStart w:id="253" w:name="_Toc28382"/>
      <w:bookmarkStart w:id="254" w:name="_Toc20049"/>
      <w:bookmarkStart w:id="255" w:name="_Toc3689"/>
      <w:bookmarkStart w:id="256" w:name="_Toc21166"/>
      <w:bookmarkStart w:id="257" w:name="_Toc29673"/>
      <w:bookmarkStart w:id="258" w:name="_Toc3562"/>
      <w:bookmarkStart w:id="259" w:name="_Toc11969"/>
      <w:r>
        <w:rPr>
          <w:rFonts w:hint="eastAsia" w:asciiTheme="majorEastAsia" w:hAnsiTheme="majorEastAsia" w:eastAsiaTheme="majorEastAsia" w:cstheme="majorEastAsia"/>
          <w:bCs/>
          <w:sz w:val="24"/>
        </w:rPr>
        <w:t>注：登录不见面开标系统请选择IE11浏览器</w:t>
      </w:r>
      <w:bookmarkEnd w:id="252"/>
      <w:bookmarkEnd w:id="253"/>
      <w:bookmarkEnd w:id="254"/>
      <w:bookmarkEnd w:id="255"/>
      <w:bookmarkEnd w:id="256"/>
      <w:bookmarkEnd w:id="257"/>
      <w:bookmarkEnd w:id="258"/>
      <w:bookmarkEnd w:id="259"/>
    </w:p>
    <w:p w14:paraId="7AC063AD">
      <w:pPr>
        <w:spacing w:line="360" w:lineRule="auto"/>
        <w:ind w:firstLine="480" w:firstLineChars="200"/>
        <w:rPr>
          <w:rFonts w:asciiTheme="majorEastAsia" w:hAnsiTheme="majorEastAsia" w:eastAsiaTheme="majorEastAsia" w:cstheme="majorEastAsia"/>
          <w:bCs/>
          <w:sz w:val="24"/>
        </w:rPr>
      </w:pPr>
      <w:bookmarkStart w:id="260" w:name="_Toc3002"/>
      <w:bookmarkStart w:id="261" w:name="_Toc25466"/>
      <w:bookmarkStart w:id="262" w:name="_Toc5982"/>
      <w:bookmarkStart w:id="263" w:name="_Toc14094"/>
      <w:bookmarkStart w:id="264" w:name="_Toc28533"/>
      <w:r>
        <w:rPr>
          <w:rFonts w:hint="eastAsia" w:asciiTheme="majorEastAsia" w:hAnsiTheme="majorEastAsia" w:eastAsiaTheme="majorEastAsia" w:cstheme="majorEastAsia"/>
          <w:bCs/>
          <w:sz w:val="24"/>
        </w:rPr>
        <w:t>②供应商应按要求及时签到（签到时间为投标截止时间前1小时内，如果未签到将视为放弃投标资格），评审过程中，评标委员会可能会就某些问题要求供应商进行在线澄清，请供应商保持在线直到评审结束；</w:t>
      </w:r>
      <w:bookmarkEnd w:id="260"/>
      <w:bookmarkEnd w:id="261"/>
      <w:bookmarkEnd w:id="262"/>
      <w:bookmarkEnd w:id="263"/>
      <w:bookmarkEnd w:id="264"/>
    </w:p>
    <w:p w14:paraId="0C4961D1">
      <w:pPr>
        <w:spacing w:line="360" w:lineRule="auto"/>
        <w:ind w:firstLine="480" w:firstLineChars="200"/>
        <w:rPr>
          <w:rFonts w:asciiTheme="majorEastAsia" w:hAnsiTheme="majorEastAsia" w:eastAsiaTheme="majorEastAsia" w:cstheme="majorEastAsia"/>
          <w:bCs/>
          <w:sz w:val="24"/>
        </w:rPr>
      </w:pPr>
      <w:bookmarkStart w:id="265" w:name="_Toc27782"/>
      <w:bookmarkStart w:id="266" w:name="_Toc24908"/>
      <w:bookmarkStart w:id="267" w:name="_Toc10575"/>
      <w:bookmarkStart w:id="268" w:name="_Toc17893"/>
      <w:r>
        <w:rPr>
          <w:rFonts w:hint="eastAsia" w:asciiTheme="majorEastAsia" w:hAnsiTheme="majorEastAsia" w:eastAsiaTheme="majorEastAsia" w:cstheme="majorEastAsia"/>
          <w:bCs/>
          <w:sz w:val="24"/>
        </w:rPr>
        <w:t>③投标供应商无需提交纸质响应文件，待采购结果公告后，由成交供应商补交一正二副 纸质响应文件及电子版（光盘或 U 盘，包含可编辑 word 版，签字盖章后的扫描件 1 份）响应文件一份（备案用）</w:t>
      </w:r>
      <w:bookmarkEnd w:id="265"/>
      <w:bookmarkEnd w:id="266"/>
      <w:bookmarkEnd w:id="267"/>
      <w:bookmarkEnd w:id="268"/>
    </w:p>
    <w:p w14:paraId="74A798D7">
      <w:pPr>
        <w:spacing w:line="360" w:lineRule="auto"/>
        <w:ind w:firstLine="480" w:firstLineChars="200"/>
        <w:rPr>
          <w:rFonts w:asciiTheme="majorEastAsia" w:hAnsiTheme="majorEastAsia" w:eastAsiaTheme="majorEastAsia" w:cstheme="majorEastAsia"/>
          <w:bCs/>
          <w:sz w:val="24"/>
        </w:rPr>
      </w:pPr>
      <w:bookmarkStart w:id="269" w:name="_Toc18391"/>
      <w:bookmarkStart w:id="270" w:name="_Toc2001"/>
      <w:bookmarkStart w:id="271" w:name="_Toc30945"/>
      <w:bookmarkStart w:id="272" w:name="_Toc27404"/>
      <w:bookmarkStart w:id="273" w:name="_Toc14264"/>
      <w:r>
        <w:rPr>
          <w:rFonts w:hint="eastAsia" w:asciiTheme="majorEastAsia" w:hAnsiTheme="majorEastAsia" w:eastAsiaTheme="majorEastAsia" w:cstheme="majorEastAsia"/>
          <w:bCs/>
          <w:sz w:val="24"/>
        </w:rPr>
        <w:t>④开标过程中，供应商在收到工作人员“开始解密”指令后，请及时使用CA对电子投标文件进行解密。解密时所用CA应与加密投标文件时所用CA相同；注：解密时间为30分钟，在解密时间内供应商全部解密完成后，可提前进入开标下一阶段。</w:t>
      </w:r>
      <w:bookmarkEnd w:id="269"/>
      <w:bookmarkEnd w:id="270"/>
      <w:bookmarkEnd w:id="271"/>
      <w:bookmarkEnd w:id="272"/>
      <w:bookmarkEnd w:id="273"/>
    </w:p>
    <w:p w14:paraId="0A7A2C55">
      <w:pPr>
        <w:spacing w:line="360" w:lineRule="auto"/>
        <w:ind w:firstLine="480" w:firstLineChars="200"/>
        <w:rPr>
          <w:rFonts w:asciiTheme="majorEastAsia" w:hAnsiTheme="majorEastAsia" w:eastAsiaTheme="majorEastAsia" w:cstheme="majorEastAsia"/>
          <w:bCs/>
          <w:sz w:val="24"/>
        </w:rPr>
      </w:pPr>
      <w:bookmarkStart w:id="274" w:name="_Toc14040"/>
      <w:bookmarkStart w:id="275" w:name="_Toc18873"/>
      <w:bookmarkStart w:id="276" w:name="_Toc12288"/>
      <w:bookmarkStart w:id="277" w:name="_Toc30018"/>
      <w:bookmarkStart w:id="278" w:name="_Toc1352"/>
      <w:r>
        <w:rPr>
          <w:rFonts w:hint="eastAsia" w:asciiTheme="majorEastAsia" w:hAnsiTheme="majorEastAsia" w:eastAsiaTheme="majorEastAsia" w:cstheme="majorEastAsia"/>
          <w:bCs/>
          <w:sz w:val="24"/>
        </w:rPr>
        <w:t>⑤相关技术问题，请咨询软件开发商：</w:t>
      </w:r>
      <w:bookmarkEnd w:id="274"/>
      <w:bookmarkEnd w:id="275"/>
      <w:bookmarkEnd w:id="276"/>
      <w:bookmarkEnd w:id="277"/>
      <w:bookmarkEnd w:id="278"/>
    </w:p>
    <w:p w14:paraId="37682B60">
      <w:pPr>
        <w:spacing w:line="360" w:lineRule="auto"/>
        <w:ind w:firstLine="480" w:firstLineChars="200"/>
        <w:rPr>
          <w:rFonts w:asciiTheme="majorEastAsia" w:hAnsiTheme="majorEastAsia" w:eastAsiaTheme="majorEastAsia" w:cstheme="majorEastAsia"/>
          <w:bCs/>
          <w:sz w:val="24"/>
        </w:rPr>
      </w:pPr>
      <w:bookmarkStart w:id="279" w:name="_Toc13241"/>
      <w:bookmarkStart w:id="280" w:name="_Toc29562"/>
      <w:bookmarkStart w:id="281" w:name="_Toc17735"/>
      <w:bookmarkStart w:id="282" w:name="_Toc21234"/>
      <w:bookmarkStart w:id="283" w:name="_Toc23949"/>
      <w:r>
        <w:rPr>
          <w:rFonts w:hint="eastAsia" w:asciiTheme="majorEastAsia" w:hAnsiTheme="majorEastAsia" w:eastAsiaTheme="majorEastAsia" w:cstheme="majorEastAsia"/>
          <w:bCs/>
          <w:sz w:val="24"/>
        </w:rPr>
        <w:t>技术支持热线：400-998-0000/400-928-0095</w:t>
      </w:r>
      <w:bookmarkEnd w:id="279"/>
      <w:bookmarkEnd w:id="280"/>
      <w:bookmarkEnd w:id="281"/>
      <w:bookmarkEnd w:id="282"/>
      <w:bookmarkEnd w:id="283"/>
    </w:p>
    <w:p w14:paraId="08D23C66">
      <w:pPr>
        <w:spacing w:line="360" w:lineRule="auto"/>
        <w:ind w:firstLine="480" w:firstLineChars="200"/>
        <w:rPr>
          <w:rFonts w:asciiTheme="majorEastAsia" w:hAnsiTheme="majorEastAsia" w:eastAsiaTheme="majorEastAsia" w:cstheme="majorEastAsia"/>
          <w:bCs/>
          <w:sz w:val="24"/>
        </w:rPr>
      </w:pPr>
      <w:bookmarkStart w:id="284" w:name="_Toc29721"/>
      <w:r>
        <w:rPr>
          <w:rFonts w:hint="eastAsia" w:asciiTheme="majorEastAsia" w:hAnsiTheme="majorEastAsia" w:eastAsiaTheme="majorEastAsia" w:cstheme="majorEastAsia"/>
          <w:bCs/>
          <w:sz w:val="24"/>
        </w:rPr>
        <w:t>⑥不见面开标系统操作手册下载方式：登录【全国公共资源交易平台（陕西省）】网站首页选择【服务指南】-【下载专区】-点击【关于陕西省公共资源交易平台多CA互认系统正式上线运行的通知】进行下载。</w:t>
      </w:r>
      <w:bookmarkEnd w:id="180"/>
      <w:bookmarkEnd w:id="181"/>
      <w:bookmarkEnd w:id="182"/>
      <w:bookmarkEnd w:id="284"/>
    </w:p>
    <w:p w14:paraId="53D3CEE5">
      <w:pPr>
        <w:pStyle w:val="17"/>
        <w:rPr>
          <w:rFonts w:asciiTheme="majorEastAsia" w:hAnsiTheme="majorEastAsia" w:eastAsiaTheme="majorEastAsia" w:cstheme="majorEastAsia"/>
          <w:bCs/>
          <w:sz w:val="24"/>
        </w:rPr>
      </w:pPr>
    </w:p>
    <w:p w14:paraId="47DDC5E6">
      <w:pPr>
        <w:rPr>
          <w:rFonts w:asciiTheme="majorEastAsia" w:hAnsiTheme="majorEastAsia" w:eastAsiaTheme="majorEastAsia" w:cstheme="majorEastAsia"/>
        </w:rPr>
      </w:pPr>
    </w:p>
    <w:p w14:paraId="54D7D7A3">
      <w:pPr>
        <w:rPr>
          <w:rFonts w:asciiTheme="majorEastAsia" w:hAnsiTheme="majorEastAsia" w:eastAsiaTheme="majorEastAsia" w:cstheme="majorEastAsia"/>
        </w:rPr>
      </w:pPr>
    </w:p>
    <w:sectPr>
      <w:headerReference r:id="rId16" w:type="default"/>
      <w:footerReference r:id="rId1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4CCCB56-7AB5-40DB-80CE-8985AA7921E3}"/>
  </w:font>
  <w:font w:name="Arial">
    <w:panose1 w:val="020B0604020202020204"/>
    <w:charset w:val="01"/>
    <w:family w:val="swiss"/>
    <w:pitch w:val="default"/>
    <w:sig w:usb0="E0002EFF" w:usb1="C000785B" w:usb2="00000009" w:usb3="00000000" w:csb0="400001FF" w:csb1="FFFF0000"/>
    <w:embedRegular r:id="rId2" w:fontKey="{0EEE14AE-B88E-46F9-92D0-7A10715370C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329C8D12-BD3A-4258-98E5-48746010347A}"/>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embedRegular r:id="rId4" w:fontKey="{82E263BE-E686-4BF8-80A7-66CE5D21E0B5}"/>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90A55">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0AA14F">
                          <w:pPr>
                            <w:pStyle w:val="17"/>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680AA14F">
                    <w:pPr>
                      <w:pStyle w:val="17"/>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71502">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2DAB10">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102DAB10">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983BE">
    <w:pPr>
      <w:spacing w:line="280" w:lineRule="exact"/>
      <w:jc w:val="center"/>
      <w:rPr>
        <w:rFonts w:ascii="仿宋" w:hAnsi="仿宋" w:eastAsia="仿宋"/>
        <w:b/>
        <w:szCs w:val="21"/>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78D20C">
                          <w:pPr>
                            <w:pStyle w:val="17"/>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3778D20C">
                    <w:pPr>
                      <w:pStyle w:val="17"/>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4EE68">
    <w:pPr>
      <w:pStyle w:val="1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708993">
                          <w:pPr>
                            <w:pStyle w:val="17"/>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14:paraId="2C708993">
                    <w:pPr>
                      <w:pStyle w:val="17"/>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F6206">
    <w:pPr>
      <w:spacing w:line="280" w:lineRule="exact"/>
      <w:jc w:val="center"/>
      <w:rPr>
        <w:rFonts w:ascii="仿宋" w:hAnsi="仿宋" w:eastAsia="仿宋"/>
        <w:b/>
        <w:szCs w:val="21"/>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78B0BA8">
                          <w:pPr>
                            <w:pStyle w:val="17"/>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678B0BA8">
                    <w:pPr>
                      <w:pStyle w:val="17"/>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75F88">
    <w:pPr>
      <w:pStyle w:val="17"/>
      <w:ind w:right="360"/>
      <w:rPr>
        <w:rFonts w:ascii="宋体" w:hAnsi="宋体"/>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B6E367">
                          <w:pPr>
                            <w:pStyle w:val="17"/>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14:paraId="60B6E367">
                    <w:pPr>
                      <w:pStyle w:val="17"/>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C40C9">
    <w:pPr>
      <w:pStyle w:val="17"/>
      <w:ind w:right="360"/>
      <w:rPr>
        <w:rFonts w:ascii="宋体" w:hAnsi="宋体"/>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CADD4FB">
                          <w:pPr>
                            <w:pStyle w:val="17"/>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14:paraId="5CADD4FB">
                    <w:pPr>
                      <w:pStyle w:val="17"/>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AAD5F">
    <w:pPr>
      <w:pStyle w:val="17"/>
      <w:ind w:right="360"/>
      <w:rPr>
        <w:rFonts w:ascii="宋体" w:hAnsi="宋体"/>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D8ED75A">
                          <w:pPr>
                            <w:pStyle w:val="17"/>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fill on="f" focussize="0,0"/>
              <v:stroke on="f" weight="0.5pt"/>
              <v:imagedata o:title=""/>
              <o:lock v:ext="edit" aspectratio="f"/>
              <v:textbox inset="0mm,0mm,0mm,0mm" style="mso-fit-shape-to-text:t;">
                <w:txbxContent>
                  <w:p w14:paraId="4D8ED75A">
                    <w:pPr>
                      <w:pStyle w:val="17"/>
                    </w:pPr>
                    <w:r>
                      <w:fldChar w:fldCharType="begin"/>
                    </w:r>
                    <w:r>
                      <w:instrText xml:space="preserve"> PAGE  \* MERGEFORMAT </w:instrText>
                    </w:r>
                    <w:r>
                      <w:fldChar w:fldCharType="separate"/>
                    </w:r>
                    <w:r>
                      <w:t>74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04001">
    <w:pPr>
      <w:pStyle w:val="19"/>
      <w:ind w:left="-88" w:leftChars="-106" w:right="-178" w:rightChars="-85" w:hanging="135" w:hangingChars="75"/>
      <w:jc w:val="right"/>
      <w:rPr>
        <w:bCs/>
        <w:i/>
      </w:rPr>
    </w:pPr>
  </w:p>
  <w:p w14:paraId="52846E04">
    <w:pPr>
      <w:pStyle w:val="19"/>
      <w:pBdr>
        <w:top w:val="none" w:color="auto" w:sz="0" w:space="1"/>
        <w:left w:val="none" w:color="auto" w:sz="0" w:space="4"/>
        <w:bottom w:val="none" w:color="auto" w:sz="0" w:space="1"/>
        <w:right w:val="none" w:color="auto" w:sz="0" w:space="4"/>
      </w:pBdr>
      <w:ind w:left="-88" w:leftChars="-106" w:right="-178" w:rightChars="-85" w:hanging="135" w:hangingChars="75"/>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480F9">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44D6C">
    <w:pPr>
      <w:pStyle w:val="1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086C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AB945">
    <w:pPr>
      <w:pStyle w:val="1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4124F"/>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3C45C">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A955C"/>
    <w:multiLevelType w:val="singleLevel"/>
    <w:tmpl w:val="810A955C"/>
    <w:lvl w:ilvl="0" w:tentative="0">
      <w:start w:val="1"/>
      <w:numFmt w:val="decimal"/>
      <w:suff w:val="nothing"/>
      <w:lvlText w:val="%1、"/>
      <w:lvlJc w:val="left"/>
    </w:lvl>
  </w:abstractNum>
  <w:abstractNum w:abstractNumId="1">
    <w:nsid w:val="858EAED5"/>
    <w:multiLevelType w:val="singleLevel"/>
    <w:tmpl w:val="858EAED5"/>
    <w:lvl w:ilvl="0" w:tentative="0">
      <w:start w:val="3"/>
      <w:numFmt w:val="chineseCounting"/>
      <w:suff w:val="nothing"/>
      <w:lvlText w:val="%1、"/>
      <w:lvlJc w:val="left"/>
      <w:rPr>
        <w:rFonts w:hint="eastAsia"/>
      </w:rPr>
    </w:lvl>
  </w:abstractNum>
  <w:abstractNum w:abstractNumId="2">
    <w:nsid w:val="00000022"/>
    <w:multiLevelType w:val="multilevel"/>
    <w:tmpl w:val="00000022"/>
    <w:lvl w:ilvl="0" w:tentative="0">
      <w:start w:val="1"/>
      <w:numFmt w:val="decimal"/>
      <w:lvlText w:val="%1."/>
      <w:lvlJc w:val="left"/>
      <w:pPr>
        <w:tabs>
          <w:tab w:val="left" w:pos="360"/>
        </w:tabs>
        <w:ind w:left="360" w:hanging="360"/>
      </w:pPr>
      <w:rPr>
        <w:rFonts w:hint="default"/>
        <w:sz w:val="21"/>
        <w:szCs w:val="21"/>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0"/>
        </w:tabs>
        <w:ind w:left="0" w:hanging="420"/>
      </w:pPr>
    </w:lvl>
    <w:lvl w:ilvl="3" w:tentative="0">
      <w:start w:val="1"/>
      <w:numFmt w:val="decimal"/>
      <w:lvlText w:val="%4."/>
      <w:lvlJc w:val="left"/>
      <w:pPr>
        <w:tabs>
          <w:tab w:val="left" w:pos="420"/>
        </w:tabs>
        <w:ind w:left="420" w:hanging="420"/>
      </w:pPr>
    </w:lvl>
    <w:lvl w:ilvl="4" w:tentative="0">
      <w:start w:val="1"/>
      <w:numFmt w:val="lowerLetter"/>
      <w:lvlText w:val="%5)"/>
      <w:lvlJc w:val="left"/>
      <w:pPr>
        <w:tabs>
          <w:tab w:val="left" w:pos="840"/>
        </w:tabs>
        <w:ind w:left="840" w:hanging="420"/>
      </w:pPr>
    </w:lvl>
    <w:lvl w:ilvl="5" w:tentative="0">
      <w:start w:val="1"/>
      <w:numFmt w:val="lowerRoman"/>
      <w:lvlText w:val="%6."/>
      <w:lvlJc w:val="right"/>
      <w:pPr>
        <w:tabs>
          <w:tab w:val="left" w:pos="1260"/>
        </w:tabs>
        <w:ind w:left="1260" w:hanging="420"/>
      </w:pPr>
    </w:lvl>
    <w:lvl w:ilvl="6" w:tentative="0">
      <w:start w:val="1"/>
      <w:numFmt w:val="decimal"/>
      <w:lvlText w:val="%7."/>
      <w:lvlJc w:val="left"/>
      <w:pPr>
        <w:tabs>
          <w:tab w:val="left" w:pos="1680"/>
        </w:tabs>
        <w:ind w:left="1680" w:hanging="420"/>
      </w:pPr>
    </w:lvl>
    <w:lvl w:ilvl="7" w:tentative="0">
      <w:start w:val="1"/>
      <w:numFmt w:val="lowerLetter"/>
      <w:lvlText w:val="%8)"/>
      <w:lvlJc w:val="left"/>
      <w:pPr>
        <w:tabs>
          <w:tab w:val="left" w:pos="2100"/>
        </w:tabs>
        <w:ind w:left="2100" w:hanging="420"/>
      </w:pPr>
    </w:lvl>
    <w:lvl w:ilvl="8" w:tentative="0">
      <w:start w:val="1"/>
      <w:numFmt w:val="lowerRoman"/>
      <w:lvlText w:val="%9."/>
      <w:lvlJc w:val="right"/>
      <w:pPr>
        <w:tabs>
          <w:tab w:val="left" w:pos="2520"/>
        </w:tabs>
        <w:ind w:left="2520" w:hanging="420"/>
      </w:pPr>
    </w:lvl>
  </w:abstractNum>
  <w:abstractNum w:abstractNumId="3">
    <w:nsid w:val="46B853D5"/>
    <w:multiLevelType w:val="multilevel"/>
    <w:tmpl w:val="46B853D5"/>
    <w:lvl w:ilvl="0" w:tentative="0">
      <w:start w:val="1"/>
      <w:numFmt w:val="decimal"/>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4">
    <w:nsid w:val="52FF7004"/>
    <w:multiLevelType w:val="singleLevel"/>
    <w:tmpl w:val="52FF7004"/>
    <w:lvl w:ilvl="0" w:tentative="0">
      <w:start w:val="1"/>
      <w:numFmt w:val="decimal"/>
      <w:suff w:val="nothing"/>
      <w:lvlText w:val="%1、"/>
      <w:lvlJc w:val="left"/>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1"/>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MzI4NDRiNmE3YjkzOTJiMjQ4NDY4ZjAyZDIyNjAifQ=="/>
    <w:docVar w:name="KSO_WPS_MARK_KEY" w:val="5c05d4db-d743-4476-86fc-1ae2bf9e8db2"/>
  </w:docVars>
  <w:rsids>
    <w:rsidRoot w:val="6D237F65"/>
    <w:rsid w:val="0019257C"/>
    <w:rsid w:val="002C47A2"/>
    <w:rsid w:val="00336659"/>
    <w:rsid w:val="003D2130"/>
    <w:rsid w:val="00433CD0"/>
    <w:rsid w:val="005A3E92"/>
    <w:rsid w:val="005F6217"/>
    <w:rsid w:val="0060361F"/>
    <w:rsid w:val="006D7F03"/>
    <w:rsid w:val="008C6BD0"/>
    <w:rsid w:val="00A05B3A"/>
    <w:rsid w:val="00A11776"/>
    <w:rsid w:val="00A45F86"/>
    <w:rsid w:val="00A87125"/>
    <w:rsid w:val="00AE7ECF"/>
    <w:rsid w:val="00C518BB"/>
    <w:rsid w:val="00CE53E9"/>
    <w:rsid w:val="00D40F1A"/>
    <w:rsid w:val="00D96366"/>
    <w:rsid w:val="00DA2F97"/>
    <w:rsid w:val="00E625DC"/>
    <w:rsid w:val="00FD2BEB"/>
    <w:rsid w:val="01332905"/>
    <w:rsid w:val="015705B3"/>
    <w:rsid w:val="02477107"/>
    <w:rsid w:val="02644081"/>
    <w:rsid w:val="02BE1B35"/>
    <w:rsid w:val="034E5986"/>
    <w:rsid w:val="035A20BD"/>
    <w:rsid w:val="03944686"/>
    <w:rsid w:val="0447561F"/>
    <w:rsid w:val="047D5898"/>
    <w:rsid w:val="04C31FFF"/>
    <w:rsid w:val="060F5837"/>
    <w:rsid w:val="067F3C7E"/>
    <w:rsid w:val="06E25862"/>
    <w:rsid w:val="07920193"/>
    <w:rsid w:val="08BD3EB9"/>
    <w:rsid w:val="08EA60B4"/>
    <w:rsid w:val="090E201A"/>
    <w:rsid w:val="09652EA6"/>
    <w:rsid w:val="097656CE"/>
    <w:rsid w:val="09FC335B"/>
    <w:rsid w:val="0A384847"/>
    <w:rsid w:val="0A84462B"/>
    <w:rsid w:val="0B0F0CF0"/>
    <w:rsid w:val="0B314C30"/>
    <w:rsid w:val="0BA42279"/>
    <w:rsid w:val="0C277DAF"/>
    <w:rsid w:val="0C3628D7"/>
    <w:rsid w:val="0C5063DF"/>
    <w:rsid w:val="0C5D2319"/>
    <w:rsid w:val="0CB565EF"/>
    <w:rsid w:val="0D2A3ABE"/>
    <w:rsid w:val="0D8728A6"/>
    <w:rsid w:val="0DFA7935"/>
    <w:rsid w:val="0E472414"/>
    <w:rsid w:val="0EF6341E"/>
    <w:rsid w:val="0F024CF3"/>
    <w:rsid w:val="0F166FD6"/>
    <w:rsid w:val="0FB36167"/>
    <w:rsid w:val="0FCF1690"/>
    <w:rsid w:val="103865E4"/>
    <w:rsid w:val="1116124C"/>
    <w:rsid w:val="121A05A5"/>
    <w:rsid w:val="1262349B"/>
    <w:rsid w:val="12B83E11"/>
    <w:rsid w:val="131E2317"/>
    <w:rsid w:val="133F6421"/>
    <w:rsid w:val="13772C66"/>
    <w:rsid w:val="140635C8"/>
    <w:rsid w:val="14757D15"/>
    <w:rsid w:val="14CA173D"/>
    <w:rsid w:val="15637B70"/>
    <w:rsid w:val="163B0388"/>
    <w:rsid w:val="166718DF"/>
    <w:rsid w:val="16F577B6"/>
    <w:rsid w:val="16FE4510"/>
    <w:rsid w:val="173F4E21"/>
    <w:rsid w:val="17555B8A"/>
    <w:rsid w:val="184A79BB"/>
    <w:rsid w:val="18842DE6"/>
    <w:rsid w:val="18A706B9"/>
    <w:rsid w:val="18B13F73"/>
    <w:rsid w:val="1900380F"/>
    <w:rsid w:val="196433D5"/>
    <w:rsid w:val="19B104CA"/>
    <w:rsid w:val="19C9248B"/>
    <w:rsid w:val="1A655C77"/>
    <w:rsid w:val="1A8D6562"/>
    <w:rsid w:val="1BB12FEE"/>
    <w:rsid w:val="1BEB43DA"/>
    <w:rsid w:val="1C3A271C"/>
    <w:rsid w:val="1C5841A4"/>
    <w:rsid w:val="1C7B2E44"/>
    <w:rsid w:val="1D6769E3"/>
    <w:rsid w:val="1D7A4A46"/>
    <w:rsid w:val="1E03329C"/>
    <w:rsid w:val="1E1967B4"/>
    <w:rsid w:val="1ED038BC"/>
    <w:rsid w:val="1F817EB6"/>
    <w:rsid w:val="1FAF7250"/>
    <w:rsid w:val="1FB84369"/>
    <w:rsid w:val="1FC80DE6"/>
    <w:rsid w:val="208C494A"/>
    <w:rsid w:val="20ED4241"/>
    <w:rsid w:val="211532CF"/>
    <w:rsid w:val="21D73DBD"/>
    <w:rsid w:val="221B4B12"/>
    <w:rsid w:val="22604791"/>
    <w:rsid w:val="228C2C26"/>
    <w:rsid w:val="23927AAD"/>
    <w:rsid w:val="244E1089"/>
    <w:rsid w:val="249A5B47"/>
    <w:rsid w:val="2531619F"/>
    <w:rsid w:val="254D2F3E"/>
    <w:rsid w:val="25704025"/>
    <w:rsid w:val="260A1217"/>
    <w:rsid w:val="27082C6B"/>
    <w:rsid w:val="27303DF5"/>
    <w:rsid w:val="27B34984"/>
    <w:rsid w:val="28446AB6"/>
    <w:rsid w:val="285067DA"/>
    <w:rsid w:val="289657EF"/>
    <w:rsid w:val="28AE461B"/>
    <w:rsid w:val="28EA6ACC"/>
    <w:rsid w:val="28F3713A"/>
    <w:rsid w:val="28FE0824"/>
    <w:rsid w:val="29023283"/>
    <w:rsid w:val="291F621E"/>
    <w:rsid w:val="29451F54"/>
    <w:rsid w:val="298E30B9"/>
    <w:rsid w:val="29A2195A"/>
    <w:rsid w:val="29B01B9A"/>
    <w:rsid w:val="29B626C9"/>
    <w:rsid w:val="29D23D56"/>
    <w:rsid w:val="29FD638B"/>
    <w:rsid w:val="2A837500"/>
    <w:rsid w:val="2AB56C65"/>
    <w:rsid w:val="2AC942AD"/>
    <w:rsid w:val="2AD62372"/>
    <w:rsid w:val="2B061C86"/>
    <w:rsid w:val="2CED2466"/>
    <w:rsid w:val="2D48136A"/>
    <w:rsid w:val="2DC222B0"/>
    <w:rsid w:val="2EC239C3"/>
    <w:rsid w:val="2F1125F2"/>
    <w:rsid w:val="2F813D80"/>
    <w:rsid w:val="30070CEC"/>
    <w:rsid w:val="31583F91"/>
    <w:rsid w:val="32DF7982"/>
    <w:rsid w:val="33F23E05"/>
    <w:rsid w:val="340B64A8"/>
    <w:rsid w:val="344B60C1"/>
    <w:rsid w:val="345E2E9A"/>
    <w:rsid w:val="34F60DBE"/>
    <w:rsid w:val="3576225A"/>
    <w:rsid w:val="358856A2"/>
    <w:rsid w:val="35EF7B7B"/>
    <w:rsid w:val="36A13E14"/>
    <w:rsid w:val="36E91C88"/>
    <w:rsid w:val="37067CBC"/>
    <w:rsid w:val="380F026E"/>
    <w:rsid w:val="38127F66"/>
    <w:rsid w:val="38B81401"/>
    <w:rsid w:val="38C06F01"/>
    <w:rsid w:val="3B4F3B1C"/>
    <w:rsid w:val="3B52695B"/>
    <w:rsid w:val="3B6A2E30"/>
    <w:rsid w:val="3BFF421B"/>
    <w:rsid w:val="3C75488A"/>
    <w:rsid w:val="3C940DD1"/>
    <w:rsid w:val="3C976E9D"/>
    <w:rsid w:val="3CEA065D"/>
    <w:rsid w:val="3D0C0967"/>
    <w:rsid w:val="3D42082D"/>
    <w:rsid w:val="3E865849"/>
    <w:rsid w:val="3EBE0387"/>
    <w:rsid w:val="3ECE0EB8"/>
    <w:rsid w:val="3F284D10"/>
    <w:rsid w:val="3F524CDD"/>
    <w:rsid w:val="3FE5028A"/>
    <w:rsid w:val="40547A6C"/>
    <w:rsid w:val="409A7C7E"/>
    <w:rsid w:val="40BC462D"/>
    <w:rsid w:val="41095A96"/>
    <w:rsid w:val="4135734F"/>
    <w:rsid w:val="41807B75"/>
    <w:rsid w:val="41BC6732"/>
    <w:rsid w:val="41F31166"/>
    <w:rsid w:val="430D6662"/>
    <w:rsid w:val="431B6011"/>
    <w:rsid w:val="43217136"/>
    <w:rsid w:val="439F5D61"/>
    <w:rsid w:val="43C1146B"/>
    <w:rsid w:val="449833E9"/>
    <w:rsid w:val="450B59A8"/>
    <w:rsid w:val="454313DE"/>
    <w:rsid w:val="45763769"/>
    <w:rsid w:val="45AD4CB1"/>
    <w:rsid w:val="46130FB8"/>
    <w:rsid w:val="46426D37"/>
    <w:rsid w:val="465E7B66"/>
    <w:rsid w:val="46800EEB"/>
    <w:rsid w:val="47A53E92"/>
    <w:rsid w:val="47C713AE"/>
    <w:rsid w:val="48051D9C"/>
    <w:rsid w:val="489A049D"/>
    <w:rsid w:val="4944382A"/>
    <w:rsid w:val="49B95BFF"/>
    <w:rsid w:val="49CE0BEE"/>
    <w:rsid w:val="4A1A5BAC"/>
    <w:rsid w:val="4A1C2405"/>
    <w:rsid w:val="4A383387"/>
    <w:rsid w:val="4A4E0A12"/>
    <w:rsid w:val="4B514F5D"/>
    <w:rsid w:val="4B8D7117"/>
    <w:rsid w:val="4BEA27BB"/>
    <w:rsid w:val="4C762B00"/>
    <w:rsid w:val="4C8E0D6B"/>
    <w:rsid w:val="4D1A0E7E"/>
    <w:rsid w:val="4D34553A"/>
    <w:rsid w:val="4DB841F3"/>
    <w:rsid w:val="4E54216E"/>
    <w:rsid w:val="4F18224D"/>
    <w:rsid w:val="4F233E57"/>
    <w:rsid w:val="4F800C16"/>
    <w:rsid w:val="501871CB"/>
    <w:rsid w:val="50865DA8"/>
    <w:rsid w:val="50C1588C"/>
    <w:rsid w:val="5239335A"/>
    <w:rsid w:val="531D09AE"/>
    <w:rsid w:val="537B7D39"/>
    <w:rsid w:val="539C35B2"/>
    <w:rsid w:val="53A46917"/>
    <w:rsid w:val="54491CB5"/>
    <w:rsid w:val="557B00B4"/>
    <w:rsid w:val="56526E9D"/>
    <w:rsid w:val="567D0A5D"/>
    <w:rsid w:val="572F3778"/>
    <w:rsid w:val="58A12453"/>
    <w:rsid w:val="5A2A7AB1"/>
    <w:rsid w:val="5A6F0DB4"/>
    <w:rsid w:val="5AA12E61"/>
    <w:rsid w:val="5AD60ABF"/>
    <w:rsid w:val="5B074CF7"/>
    <w:rsid w:val="5B6B4F9B"/>
    <w:rsid w:val="5B8A2419"/>
    <w:rsid w:val="5BD04D88"/>
    <w:rsid w:val="5C963276"/>
    <w:rsid w:val="5CC130C4"/>
    <w:rsid w:val="5CC305DF"/>
    <w:rsid w:val="5CCA36F1"/>
    <w:rsid w:val="5CCD6007"/>
    <w:rsid w:val="5D1B440B"/>
    <w:rsid w:val="5D2C2B2A"/>
    <w:rsid w:val="5D8242AE"/>
    <w:rsid w:val="5DA54B0D"/>
    <w:rsid w:val="5E9547AC"/>
    <w:rsid w:val="5EC751A8"/>
    <w:rsid w:val="5EE02561"/>
    <w:rsid w:val="5F113DDB"/>
    <w:rsid w:val="5FEA5879"/>
    <w:rsid w:val="60D91043"/>
    <w:rsid w:val="61497AAD"/>
    <w:rsid w:val="61AB1CDD"/>
    <w:rsid w:val="620449AF"/>
    <w:rsid w:val="62096F6F"/>
    <w:rsid w:val="62285994"/>
    <w:rsid w:val="63991833"/>
    <w:rsid w:val="6457391F"/>
    <w:rsid w:val="64FE7AA7"/>
    <w:rsid w:val="65AA408F"/>
    <w:rsid w:val="65E623D2"/>
    <w:rsid w:val="66125B4E"/>
    <w:rsid w:val="66FE3167"/>
    <w:rsid w:val="67423054"/>
    <w:rsid w:val="67A54606"/>
    <w:rsid w:val="67B76E85"/>
    <w:rsid w:val="693D7722"/>
    <w:rsid w:val="69C6217D"/>
    <w:rsid w:val="6AE748FF"/>
    <w:rsid w:val="6AF6662F"/>
    <w:rsid w:val="6B5E4DB4"/>
    <w:rsid w:val="6B8F683C"/>
    <w:rsid w:val="6BE82B02"/>
    <w:rsid w:val="6C320B00"/>
    <w:rsid w:val="6C5E4F5B"/>
    <w:rsid w:val="6CD7699C"/>
    <w:rsid w:val="6D237F65"/>
    <w:rsid w:val="6D4C165B"/>
    <w:rsid w:val="6E314109"/>
    <w:rsid w:val="6E971ED7"/>
    <w:rsid w:val="70003AAC"/>
    <w:rsid w:val="70043F0D"/>
    <w:rsid w:val="701939F5"/>
    <w:rsid w:val="704D3B6E"/>
    <w:rsid w:val="707728E4"/>
    <w:rsid w:val="70EB750D"/>
    <w:rsid w:val="72314B12"/>
    <w:rsid w:val="72662854"/>
    <w:rsid w:val="728C189C"/>
    <w:rsid w:val="72E905B4"/>
    <w:rsid w:val="73185F55"/>
    <w:rsid w:val="73E22138"/>
    <w:rsid w:val="743B414C"/>
    <w:rsid w:val="74CF2B2B"/>
    <w:rsid w:val="76642A48"/>
    <w:rsid w:val="77071BC4"/>
    <w:rsid w:val="787634F3"/>
    <w:rsid w:val="7B2120E1"/>
    <w:rsid w:val="7BAF6D37"/>
    <w:rsid w:val="7BE91898"/>
    <w:rsid w:val="7C871B57"/>
    <w:rsid w:val="7DB230AD"/>
    <w:rsid w:val="7E303735"/>
    <w:rsid w:val="7F604014"/>
    <w:rsid w:val="7FE725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9"/>
    <w:pPr>
      <w:keepNext/>
      <w:keepLines/>
      <w:spacing w:line="576" w:lineRule="auto"/>
      <w:outlineLvl w:val="0"/>
    </w:pPr>
    <w:rPr>
      <w:b/>
      <w:kern w:val="44"/>
      <w:sz w:val="44"/>
    </w:rPr>
  </w:style>
  <w:style w:type="paragraph" w:styleId="3">
    <w:name w:val="heading 2"/>
    <w:basedOn w:val="1"/>
    <w:next w:val="4"/>
    <w:autoRedefine/>
    <w:qFormat/>
    <w:uiPriority w:val="0"/>
    <w:pPr>
      <w:keepNext/>
      <w:keepLines/>
      <w:numPr>
        <w:ilvl w:val="1"/>
        <w:numId w:val="1"/>
      </w:numPr>
      <w:spacing w:before="260" w:after="260"/>
      <w:ind w:firstLine="0"/>
      <w:outlineLvl w:val="1"/>
    </w:pPr>
    <w:rPr>
      <w:b/>
      <w:bCs/>
      <w:sz w:val="32"/>
      <w:szCs w:val="32"/>
    </w:rPr>
  </w:style>
  <w:style w:type="paragraph" w:styleId="6">
    <w:name w:val="heading 3"/>
    <w:basedOn w:val="1"/>
    <w:next w:val="1"/>
    <w:autoRedefine/>
    <w:qFormat/>
    <w:uiPriority w:val="0"/>
    <w:pPr>
      <w:keepNext/>
      <w:keepLines/>
      <w:spacing w:line="416" w:lineRule="auto"/>
      <w:outlineLvl w:val="2"/>
    </w:pPr>
    <w:rPr>
      <w:b/>
      <w:bCs/>
      <w:sz w:val="32"/>
      <w:szCs w:val="32"/>
    </w:rPr>
  </w:style>
  <w:style w:type="paragraph" w:styleId="7">
    <w:name w:val="heading 4"/>
    <w:basedOn w:val="1"/>
    <w:next w:val="1"/>
    <w:autoRedefine/>
    <w:semiHidden/>
    <w:unhideWhenUsed/>
    <w:qFormat/>
    <w:uiPriority w:val="0"/>
    <w:pPr>
      <w:spacing w:beforeAutospacing="1" w:afterAutospacing="1"/>
      <w:jc w:val="left"/>
      <w:outlineLvl w:val="3"/>
    </w:pPr>
    <w:rPr>
      <w:rFonts w:hint="eastAsia" w:ascii="宋体" w:hAnsi="宋体"/>
      <w:b/>
      <w:bCs/>
      <w:kern w:val="0"/>
      <w:sz w:val="24"/>
    </w:rPr>
  </w:style>
  <w:style w:type="paragraph" w:styleId="8">
    <w:name w:val="heading 6"/>
    <w:basedOn w:val="1"/>
    <w:next w:val="1"/>
    <w:autoRedefine/>
    <w:semiHidden/>
    <w:unhideWhenUsed/>
    <w:qFormat/>
    <w:uiPriority w:val="0"/>
    <w:pPr>
      <w:spacing w:beforeAutospacing="1" w:afterAutospacing="1"/>
      <w:jc w:val="left"/>
      <w:outlineLvl w:val="5"/>
    </w:pPr>
    <w:rPr>
      <w:rFonts w:hint="eastAsia" w:ascii="宋体" w:hAnsi="宋体"/>
      <w:b/>
      <w:bCs/>
      <w:kern w:val="0"/>
      <w:sz w:val="15"/>
      <w:szCs w:val="15"/>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5"/>
    <w:autoRedefine/>
    <w:qFormat/>
    <w:uiPriority w:val="0"/>
    <w:pPr>
      <w:ind w:firstLine="420" w:firstLineChars="200"/>
    </w:pPr>
    <w:rPr>
      <w:kern w:val="0"/>
      <w:sz w:val="20"/>
      <w:szCs w:val="20"/>
    </w:rPr>
  </w:style>
  <w:style w:type="paragraph" w:styleId="5">
    <w:name w:val="toc 4"/>
    <w:basedOn w:val="1"/>
    <w:next w:val="1"/>
    <w:autoRedefine/>
    <w:qFormat/>
    <w:uiPriority w:val="0"/>
    <w:pPr>
      <w:ind w:left="630"/>
      <w:jc w:val="left"/>
    </w:pPr>
    <w:rPr>
      <w:rFonts w:cs="Calibri"/>
      <w:sz w:val="18"/>
      <w:szCs w:val="18"/>
    </w:rPr>
  </w:style>
  <w:style w:type="paragraph" w:styleId="9">
    <w:name w:val="annotation text"/>
    <w:basedOn w:val="1"/>
    <w:autoRedefine/>
    <w:qFormat/>
    <w:uiPriority w:val="99"/>
    <w:pPr>
      <w:adjustRightInd w:val="0"/>
      <w:spacing w:line="360" w:lineRule="atLeast"/>
      <w:jc w:val="left"/>
    </w:pPr>
    <w:rPr>
      <w:kern w:val="0"/>
      <w:sz w:val="24"/>
      <w:szCs w:val="20"/>
    </w:rPr>
  </w:style>
  <w:style w:type="paragraph" w:styleId="10">
    <w:name w:val="Body Text"/>
    <w:basedOn w:val="1"/>
    <w:next w:val="1"/>
    <w:autoRedefine/>
    <w:qFormat/>
    <w:uiPriority w:val="0"/>
    <w:pPr>
      <w:spacing w:after="120"/>
    </w:pPr>
    <w:rPr>
      <w:kern w:val="0"/>
      <w:sz w:val="20"/>
    </w:rPr>
  </w:style>
  <w:style w:type="paragraph" w:styleId="11">
    <w:name w:val="Body Text Indent"/>
    <w:basedOn w:val="1"/>
    <w:next w:val="10"/>
    <w:autoRedefine/>
    <w:unhideWhenUsed/>
    <w:qFormat/>
    <w:uiPriority w:val="99"/>
    <w:pPr>
      <w:spacing w:after="120"/>
      <w:ind w:left="420"/>
    </w:pPr>
  </w:style>
  <w:style w:type="paragraph" w:styleId="12">
    <w:name w:val="Block Text"/>
    <w:basedOn w:val="1"/>
    <w:autoRedefine/>
    <w:qFormat/>
    <w:uiPriority w:val="0"/>
    <w:pPr>
      <w:adjustRightInd w:val="0"/>
      <w:ind w:left="420" w:right="33"/>
      <w:jc w:val="left"/>
      <w:textAlignment w:val="baseline"/>
    </w:pPr>
    <w:rPr>
      <w:kern w:val="0"/>
      <w:sz w:val="24"/>
      <w:szCs w:val="20"/>
    </w:rPr>
  </w:style>
  <w:style w:type="paragraph" w:styleId="13">
    <w:name w:val="toc 5"/>
    <w:basedOn w:val="1"/>
    <w:next w:val="1"/>
    <w:autoRedefine/>
    <w:qFormat/>
    <w:uiPriority w:val="0"/>
    <w:pPr>
      <w:ind w:left="1680" w:leftChars="800"/>
    </w:pPr>
  </w:style>
  <w:style w:type="paragraph" w:styleId="14">
    <w:name w:val="Plain Text"/>
    <w:basedOn w:val="1"/>
    <w:autoRedefine/>
    <w:qFormat/>
    <w:uiPriority w:val="0"/>
    <w:rPr>
      <w:rFonts w:ascii="宋体" w:hAnsi="Courier New"/>
    </w:rPr>
  </w:style>
  <w:style w:type="paragraph" w:styleId="15">
    <w:name w:val="Body Text Indent 2"/>
    <w:basedOn w:val="1"/>
    <w:autoRedefine/>
    <w:qFormat/>
    <w:uiPriority w:val="0"/>
    <w:pPr>
      <w:spacing w:line="480" w:lineRule="auto"/>
      <w:ind w:left="420" w:leftChars="200"/>
    </w:pPr>
  </w:style>
  <w:style w:type="paragraph" w:styleId="16">
    <w:name w:val="Balloon Text"/>
    <w:basedOn w:val="1"/>
    <w:link w:val="113"/>
    <w:autoRedefine/>
    <w:qFormat/>
    <w:uiPriority w:val="0"/>
    <w:rPr>
      <w:sz w:val="18"/>
      <w:szCs w:val="18"/>
    </w:rPr>
  </w:style>
  <w:style w:type="paragraph" w:styleId="17">
    <w:name w:val="footer"/>
    <w:basedOn w:val="1"/>
    <w:next w:val="10"/>
    <w:autoRedefine/>
    <w:unhideWhenUsed/>
    <w:qFormat/>
    <w:uiPriority w:val="99"/>
    <w:pPr>
      <w:tabs>
        <w:tab w:val="center" w:pos="4153"/>
        <w:tab w:val="right" w:pos="8306"/>
      </w:tabs>
      <w:snapToGrid w:val="0"/>
      <w:jc w:val="left"/>
    </w:pPr>
    <w:rPr>
      <w:kern w:val="0"/>
      <w:sz w:val="18"/>
      <w:szCs w:val="18"/>
    </w:rPr>
  </w:style>
  <w:style w:type="paragraph" w:styleId="18">
    <w:name w:val="envelope return"/>
    <w:basedOn w:val="1"/>
    <w:autoRedefine/>
    <w:qFormat/>
    <w:uiPriority w:val="0"/>
    <w:pPr>
      <w:snapToGrid w:val="0"/>
    </w:pPr>
    <w:rPr>
      <w:rFonts w:ascii="Arial" w:hAnsi="Arial"/>
    </w:rPr>
  </w:style>
  <w:style w:type="paragraph" w:styleId="19">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autoRedefine/>
    <w:qFormat/>
    <w:uiPriority w:val="0"/>
  </w:style>
  <w:style w:type="paragraph" w:styleId="21">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2">
    <w:name w:val="Normal (Web)"/>
    <w:basedOn w:val="1"/>
    <w:autoRedefine/>
    <w:unhideWhenUsed/>
    <w:qFormat/>
    <w:uiPriority w:val="99"/>
    <w:pPr>
      <w:widowControl/>
      <w:jc w:val="left"/>
    </w:pPr>
    <w:rPr>
      <w:rFonts w:ascii="宋体" w:hAnsi="宋体" w:cs="宋体"/>
      <w:kern w:val="0"/>
      <w:sz w:val="24"/>
    </w:rPr>
  </w:style>
  <w:style w:type="paragraph" w:styleId="23">
    <w:name w:val="Body Text First Indent"/>
    <w:basedOn w:val="10"/>
    <w:next w:val="24"/>
    <w:autoRedefine/>
    <w:qFormat/>
    <w:uiPriority w:val="99"/>
    <w:pPr>
      <w:adjustRightInd w:val="0"/>
      <w:ind w:firstLine="420"/>
      <w:jc w:val="left"/>
      <w:textAlignment w:val="baseline"/>
    </w:pPr>
    <w:rPr>
      <w:sz w:val="21"/>
    </w:rPr>
  </w:style>
  <w:style w:type="paragraph" w:styleId="24">
    <w:name w:val="Body Text First Indent 2"/>
    <w:basedOn w:val="11"/>
    <w:next w:val="1"/>
    <w:autoRedefine/>
    <w:unhideWhenUsed/>
    <w:qFormat/>
    <w:uiPriority w:val="99"/>
    <w:pPr>
      <w:spacing w:after="0" w:line="360" w:lineRule="auto"/>
      <w:ind w:left="0" w:firstLine="420" w:firstLineChars="200"/>
    </w:pPr>
    <w:rPr>
      <w:rFonts w:eastAsia="仿宋_GB2312"/>
      <w:spacing w:val="15"/>
      <w:kern w:val="10"/>
      <w:sz w:val="24"/>
    </w:rPr>
  </w:style>
  <w:style w:type="table" w:styleId="26">
    <w:name w:val="Table Grid"/>
    <w:basedOn w:val="2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autoRedefine/>
    <w:qFormat/>
    <w:uiPriority w:val="22"/>
    <w:rPr>
      <w:b/>
      <w:bCs/>
    </w:rPr>
  </w:style>
  <w:style w:type="character" w:styleId="29">
    <w:name w:val="FollowedHyperlink"/>
    <w:basedOn w:val="27"/>
    <w:autoRedefine/>
    <w:qFormat/>
    <w:uiPriority w:val="0"/>
    <w:rPr>
      <w:color w:val="296FBE"/>
      <w:u w:val="none"/>
    </w:rPr>
  </w:style>
  <w:style w:type="character" w:styleId="30">
    <w:name w:val="Emphasis"/>
    <w:basedOn w:val="27"/>
    <w:autoRedefine/>
    <w:qFormat/>
    <w:uiPriority w:val="0"/>
  </w:style>
  <w:style w:type="character" w:styleId="31">
    <w:name w:val="HTML Definition"/>
    <w:basedOn w:val="27"/>
    <w:autoRedefine/>
    <w:qFormat/>
    <w:uiPriority w:val="0"/>
  </w:style>
  <w:style w:type="character" w:styleId="32">
    <w:name w:val="HTML Typewriter"/>
    <w:basedOn w:val="27"/>
    <w:autoRedefine/>
    <w:qFormat/>
    <w:uiPriority w:val="0"/>
    <w:rPr>
      <w:rFonts w:hint="default" w:ascii="monospace" w:hAnsi="monospace" w:eastAsia="monospace" w:cs="monospace"/>
      <w:sz w:val="20"/>
    </w:rPr>
  </w:style>
  <w:style w:type="character" w:styleId="33">
    <w:name w:val="HTML Acronym"/>
    <w:basedOn w:val="27"/>
    <w:autoRedefine/>
    <w:qFormat/>
    <w:uiPriority w:val="0"/>
  </w:style>
  <w:style w:type="character" w:styleId="34">
    <w:name w:val="HTML Variable"/>
    <w:basedOn w:val="27"/>
    <w:autoRedefine/>
    <w:qFormat/>
    <w:uiPriority w:val="0"/>
  </w:style>
  <w:style w:type="character" w:styleId="35">
    <w:name w:val="Hyperlink"/>
    <w:basedOn w:val="27"/>
    <w:autoRedefine/>
    <w:qFormat/>
    <w:uiPriority w:val="0"/>
    <w:rPr>
      <w:rFonts w:hint="eastAsia" w:ascii="宋体" w:hAnsi="宋体" w:eastAsia="宋体" w:cs="宋体"/>
      <w:color w:val="000000"/>
      <w:sz w:val="18"/>
      <w:szCs w:val="18"/>
      <w:u w:val="none"/>
    </w:rPr>
  </w:style>
  <w:style w:type="character" w:styleId="36">
    <w:name w:val="HTML Code"/>
    <w:basedOn w:val="27"/>
    <w:autoRedefine/>
    <w:qFormat/>
    <w:uiPriority w:val="0"/>
    <w:rPr>
      <w:rFonts w:ascii="微软雅黑" w:hAnsi="微软雅黑" w:eastAsia="微软雅黑" w:cs="微软雅黑"/>
      <w:sz w:val="20"/>
    </w:rPr>
  </w:style>
  <w:style w:type="character" w:styleId="37">
    <w:name w:val="HTML Cite"/>
    <w:basedOn w:val="27"/>
    <w:autoRedefine/>
    <w:qFormat/>
    <w:uiPriority w:val="0"/>
  </w:style>
  <w:style w:type="character" w:styleId="38">
    <w:name w:val="HTML Keyboard"/>
    <w:basedOn w:val="27"/>
    <w:autoRedefine/>
    <w:qFormat/>
    <w:uiPriority w:val="0"/>
    <w:rPr>
      <w:rFonts w:hint="default" w:ascii="monospace" w:hAnsi="monospace" w:eastAsia="monospace" w:cs="monospace"/>
      <w:sz w:val="20"/>
    </w:rPr>
  </w:style>
  <w:style w:type="character" w:styleId="39">
    <w:name w:val="HTML Sample"/>
    <w:basedOn w:val="27"/>
    <w:autoRedefine/>
    <w:qFormat/>
    <w:uiPriority w:val="0"/>
    <w:rPr>
      <w:rFonts w:ascii="monospace" w:hAnsi="monospace" w:eastAsia="monospace" w:cs="monospace"/>
    </w:rPr>
  </w:style>
  <w:style w:type="paragraph" w:customStyle="1" w:styleId="40">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首行缩进"/>
    <w:basedOn w:val="1"/>
    <w:autoRedefine/>
    <w:qFormat/>
    <w:uiPriority w:val="99"/>
    <w:pPr>
      <w:ind w:firstLine="480"/>
    </w:pPr>
    <w:rPr>
      <w:lang w:val="zh-CN"/>
    </w:rPr>
  </w:style>
  <w:style w:type="paragraph" w:customStyle="1" w:styleId="42">
    <w:name w:val="正文缩进1"/>
    <w:basedOn w:val="1"/>
    <w:autoRedefine/>
    <w:qFormat/>
    <w:uiPriority w:val="0"/>
    <w:pPr>
      <w:ind w:firstLine="420" w:firstLineChars="200"/>
    </w:pPr>
  </w:style>
  <w:style w:type="paragraph" w:customStyle="1" w:styleId="43">
    <w:name w:val="样式 首行缩进:  2 字符"/>
    <w:basedOn w:val="1"/>
    <w:autoRedefine/>
    <w:qFormat/>
    <w:uiPriority w:val="0"/>
    <w:pPr>
      <w:spacing w:line="400" w:lineRule="exact"/>
      <w:ind w:firstLine="200" w:firstLineChars="200"/>
    </w:pPr>
    <w:rPr>
      <w:rFonts w:cs="宋体"/>
      <w:sz w:val="24"/>
    </w:rPr>
  </w:style>
  <w:style w:type="paragraph" w:customStyle="1" w:styleId="44">
    <w:name w:val="样式 样式 样式 样式 标题 2 + 宋体 五号 非加粗 黑色 + 段前: 6 磅 段后: 0 磅 行距: 单倍行距 + 段前:..."/>
    <w:basedOn w:val="1"/>
    <w:autoRedefine/>
    <w:qFormat/>
    <w:uiPriority w:val="0"/>
    <w:pPr>
      <w:keepNext/>
      <w:keepLines/>
      <w:tabs>
        <w:tab w:val="left" w:pos="1200"/>
      </w:tabs>
      <w:adjustRightInd w:val="0"/>
      <w:ind w:left="1200" w:hanging="360"/>
      <w:jc w:val="left"/>
      <w:textAlignment w:val="baseline"/>
      <w:outlineLvl w:val="1"/>
    </w:pPr>
    <w:rPr>
      <w:rFonts w:ascii="宋体" w:hAnsi="宋体" w:cs="宋体"/>
      <w:b/>
      <w:bCs/>
      <w:color w:val="000000"/>
      <w:kern w:val="0"/>
    </w:rPr>
  </w:style>
  <w:style w:type="paragraph" w:customStyle="1" w:styleId="45">
    <w:name w:val="title12"/>
    <w:basedOn w:val="1"/>
    <w:autoRedefine/>
    <w:qFormat/>
    <w:uiPriority w:val="0"/>
    <w:pPr>
      <w:spacing w:before="150" w:after="100" w:afterAutospacing="1"/>
      <w:jc w:val="left"/>
    </w:pPr>
    <w:rPr>
      <w:b/>
      <w:bCs/>
      <w:sz w:val="22"/>
      <w:szCs w:val="22"/>
    </w:rPr>
  </w:style>
  <w:style w:type="character" w:customStyle="1" w:styleId="46">
    <w:name w:val="biggerthanmax"/>
    <w:basedOn w:val="27"/>
    <w:autoRedefine/>
    <w:qFormat/>
    <w:uiPriority w:val="0"/>
    <w:rPr>
      <w:shd w:val="clear" w:color="auto" w:fill="FFFF00"/>
    </w:rPr>
  </w:style>
  <w:style w:type="character" w:customStyle="1" w:styleId="47">
    <w:name w:val="ico1655"/>
    <w:basedOn w:val="27"/>
    <w:autoRedefine/>
    <w:qFormat/>
    <w:uiPriority w:val="0"/>
  </w:style>
  <w:style w:type="character" w:customStyle="1" w:styleId="48">
    <w:name w:val="button"/>
    <w:basedOn w:val="27"/>
    <w:autoRedefine/>
    <w:qFormat/>
    <w:uiPriority w:val="0"/>
  </w:style>
  <w:style w:type="character" w:customStyle="1" w:styleId="49">
    <w:name w:val="cy"/>
    <w:basedOn w:val="27"/>
    <w:autoRedefine/>
    <w:qFormat/>
    <w:uiPriority w:val="0"/>
  </w:style>
  <w:style w:type="character" w:customStyle="1" w:styleId="50">
    <w:name w:val="w32"/>
    <w:basedOn w:val="27"/>
    <w:autoRedefine/>
    <w:qFormat/>
    <w:uiPriority w:val="0"/>
  </w:style>
  <w:style w:type="character" w:customStyle="1" w:styleId="51">
    <w:name w:val="active5"/>
    <w:basedOn w:val="27"/>
    <w:autoRedefine/>
    <w:qFormat/>
    <w:uiPriority w:val="0"/>
    <w:rPr>
      <w:color w:val="00FF00"/>
      <w:shd w:val="clear" w:color="auto" w:fill="111111"/>
    </w:rPr>
  </w:style>
  <w:style w:type="character" w:customStyle="1" w:styleId="52">
    <w:name w:val="hover36"/>
    <w:basedOn w:val="27"/>
    <w:autoRedefine/>
    <w:qFormat/>
    <w:uiPriority w:val="0"/>
    <w:rPr>
      <w:color w:val="FFFFFF"/>
    </w:rPr>
  </w:style>
  <w:style w:type="character" w:customStyle="1" w:styleId="53">
    <w:name w:val="estimate_gray"/>
    <w:basedOn w:val="27"/>
    <w:autoRedefine/>
    <w:qFormat/>
    <w:uiPriority w:val="0"/>
    <w:rPr>
      <w:color w:val="FFFFFF"/>
    </w:rPr>
  </w:style>
  <w:style w:type="character" w:customStyle="1" w:styleId="54">
    <w:name w:val="design_class"/>
    <w:basedOn w:val="27"/>
    <w:autoRedefine/>
    <w:qFormat/>
    <w:uiPriority w:val="0"/>
  </w:style>
  <w:style w:type="character" w:customStyle="1" w:styleId="55">
    <w:name w:val="xdrichtextbox2"/>
    <w:basedOn w:val="27"/>
    <w:autoRedefine/>
    <w:qFormat/>
    <w:uiPriority w:val="0"/>
  </w:style>
  <w:style w:type="character" w:customStyle="1" w:styleId="56">
    <w:name w:val="hilite5"/>
    <w:basedOn w:val="27"/>
    <w:autoRedefine/>
    <w:qFormat/>
    <w:uiPriority w:val="0"/>
    <w:rPr>
      <w:color w:val="FFFFFF"/>
      <w:shd w:val="clear" w:color="auto" w:fill="666666"/>
    </w:rPr>
  </w:style>
  <w:style w:type="character" w:customStyle="1" w:styleId="57">
    <w:name w:val="pagechatarealistclose_box"/>
    <w:basedOn w:val="27"/>
    <w:autoRedefine/>
    <w:qFormat/>
    <w:uiPriority w:val="0"/>
  </w:style>
  <w:style w:type="character" w:customStyle="1" w:styleId="58">
    <w:name w:val="pagechatarealistclose_box1"/>
    <w:basedOn w:val="27"/>
    <w:autoRedefine/>
    <w:qFormat/>
    <w:uiPriority w:val="0"/>
  </w:style>
  <w:style w:type="character" w:customStyle="1" w:styleId="59">
    <w:name w:val="after"/>
    <w:basedOn w:val="27"/>
    <w:autoRedefine/>
    <w:qFormat/>
    <w:uiPriority w:val="0"/>
    <w:rPr>
      <w:sz w:val="0"/>
      <w:szCs w:val="0"/>
    </w:rPr>
  </w:style>
  <w:style w:type="character" w:customStyle="1" w:styleId="60">
    <w:name w:val="cdropright"/>
    <w:basedOn w:val="27"/>
    <w:autoRedefine/>
    <w:qFormat/>
    <w:uiPriority w:val="0"/>
  </w:style>
  <w:style w:type="character" w:customStyle="1" w:styleId="61">
    <w:name w:val="drapbtn"/>
    <w:basedOn w:val="27"/>
    <w:autoRedefine/>
    <w:qFormat/>
    <w:uiPriority w:val="0"/>
  </w:style>
  <w:style w:type="character" w:customStyle="1" w:styleId="62">
    <w:name w:val="cdropleft"/>
    <w:basedOn w:val="27"/>
    <w:autoRedefine/>
    <w:qFormat/>
    <w:uiPriority w:val="0"/>
  </w:style>
  <w:style w:type="character" w:customStyle="1" w:styleId="63">
    <w:name w:val="tmpztreemove_arrow"/>
    <w:basedOn w:val="27"/>
    <w:autoRedefine/>
    <w:qFormat/>
    <w:uiPriority w:val="0"/>
  </w:style>
  <w:style w:type="character" w:customStyle="1" w:styleId="64">
    <w:name w:val="liked_gray"/>
    <w:basedOn w:val="27"/>
    <w:autoRedefine/>
    <w:qFormat/>
    <w:uiPriority w:val="0"/>
    <w:rPr>
      <w:color w:val="FFFFFF"/>
    </w:rPr>
  </w:style>
  <w:style w:type="character" w:customStyle="1" w:styleId="65">
    <w:name w:val="browse_class&gt;span"/>
    <w:basedOn w:val="27"/>
    <w:autoRedefine/>
    <w:qFormat/>
    <w:uiPriority w:val="0"/>
  </w:style>
  <w:style w:type="character" w:customStyle="1" w:styleId="66">
    <w:name w:val="moreaction32"/>
    <w:basedOn w:val="27"/>
    <w:autoRedefine/>
    <w:qFormat/>
    <w:uiPriority w:val="0"/>
  </w:style>
  <w:style w:type="character" w:customStyle="1" w:styleId="67">
    <w:name w:val="edit_class"/>
    <w:basedOn w:val="27"/>
    <w:autoRedefine/>
    <w:qFormat/>
    <w:uiPriority w:val="0"/>
  </w:style>
  <w:style w:type="character" w:customStyle="1" w:styleId="68">
    <w:name w:val="hover43"/>
    <w:basedOn w:val="27"/>
    <w:autoRedefine/>
    <w:qFormat/>
    <w:uiPriority w:val="0"/>
    <w:rPr>
      <w:color w:val="FFFFFF"/>
    </w:rPr>
  </w:style>
  <w:style w:type="character" w:customStyle="1" w:styleId="69">
    <w:name w:val="hilite6"/>
    <w:basedOn w:val="27"/>
    <w:autoRedefine/>
    <w:qFormat/>
    <w:uiPriority w:val="0"/>
    <w:rPr>
      <w:color w:val="FFFFFF"/>
      <w:shd w:val="clear" w:color="auto" w:fill="666666"/>
    </w:rPr>
  </w:style>
  <w:style w:type="character" w:customStyle="1" w:styleId="70">
    <w:name w:val="active7"/>
    <w:basedOn w:val="27"/>
    <w:autoRedefine/>
    <w:qFormat/>
    <w:uiPriority w:val="0"/>
    <w:rPr>
      <w:color w:val="00FF00"/>
      <w:shd w:val="clear" w:color="auto" w:fill="111111"/>
    </w:rPr>
  </w:style>
  <w:style w:type="character" w:customStyle="1" w:styleId="71">
    <w:name w:val="ico1656"/>
    <w:basedOn w:val="27"/>
    <w:autoRedefine/>
    <w:qFormat/>
    <w:uiPriority w:val="0"/>
  </w:style>
  <w:style w:type="character" w:customStyle="1" w:styleId="72">
    <w:name w:val="ico1657"/>
    <w:basedOn w:val="27"/>
    <w:autoRedefine/>
    <w:qFormat/>
    <w:uiPriority w:val="0"/>
  </w:style>
  <w:style w:type="character" w:customStyle="1" w:styleId="73">
    <w:name w:val="ico1658"/>
    <w:basedOn w:val="27"/>
    <w:autoRedefine/>
    <w:qFormat/>
    <w:uiPriority w:val="0"/>
  </w:style>
  <w:style w:type="character" w:customStyle="1" w:styleId="74">
    <w:name w:val="button4"/>
    <w:basedOn w:val="27"/>
    <w:autoRedefine/>
    <w:qFormat/>
    <w:uiPriority w:val="0"/>
  </w:style>
  <w:style w:type="character" w:customStyle="1" w:styleId="75">
    <w:name w:val="hilite"/>
    <w:basedOn w:val="27"/>
    <w:autoRedefine/>
    <w:qFormat/>
    <w:uiPriority w:val="0"/>
    <w:rPr>
      <w:color w:val="FFFFFF"/>
      <w:shd w:val="clear" w:color="auto" w:fill="666666"/>
    </w:rPr>
  </w:style>
  <w:style w:type="character" w:customStyle="1" w:styleId="76">
    <w:name w:val="active2"/>
    <w:basedOn w:val="27"/>
    <w:autoRedefine/>
    <w:qFormat/>
    <w:uiPriority w:val="0"/>
    <w:rPr>
      <w:color w:val="00FF00"/>
      <w:shd w:val="clear" w:color="auto" w:fill="111111"/>
    </w:rPr>
  </w:style>
  <w:style w:type="character" w:customStyle="1" w:styleId="77">
    <w:name w:val="hover38"/>
    <w:basedOn w:val="27"/>
    <w:autoRedefine/>
    <w:qFormat/>
    <w:uiPriority w:val="0"/>
    <w:rPr>
      <w:color w:val="FFFFFF"/>
    </w:rPr>
  </w:style>
  <w:style w:type="character" w:customStyle="1" w:styleId="78">
    <w:name w:val="xdrichtextbox"/>
    <w:basedOn w:val="27"/>
    <w:autoRedefine/>
    <w:qFormat/>
    <w:uiPriority w:val="0"/>
    <w:rPr>
      <w:color w:val="auto"/>
      <w:sz w:val="18"/>
      <w:szCs w:val="18"/>
      <w:u w:val="none"/>
      <w:bdr w:val="single" w:color="DCDCDC" w:sz="8" w:space="0"/>
      <w:shd w:val="clear" w:color="auto" w:fill="auto"/>
    </w:rPr>
  </w:style>
  <w:style w:type="character" w:customStyle="1" w:styleId="79">
    <w:name w:val="hover44"/>
    <w:basedOn w:val="27"/>
    <w:autoRedefine/>
    <w:qFormat/>
    <w:uiPriority w:val="0"/>
    <w:rPr>
      <w:color w:val="FFFFFF"/>
    </w:rPr>
  </w:style>
  <w:style w:type="paragraph" w:customStyle="1" w:styleId="80">
    <w:name w:val="Normal 0.51"/>
    <w:basedOn w:val="1"/>
    <w:next w:val="1"/>
    <w:autoRedefine/>
    <w:qFormat/>
    <w:uiPriority w:val="0"/>
    <w:pPr>
      <w:widowControl/>
      <w:spacing w:before="180" w:after="120"/>
      <w:ind w:left="720"/>
    </w:pPr>
    <w:rPr>
      <w:rFonts w:ascii="Times New Roman"/>
      <w:sz w:val="24"/>
    </w:rPr>
  </w:style>
  <w:style w:type="paragraph" w:customStyle="1" w:styleId="81">
    <w:name w:val="Heading #1|1"/>
    <w:basedOn w:val="1"/>
    <w:autoRedefine/>
    <w:qFormat/>
    <w:uiPriority w:val="0"/>
    <w:pPr>
      <w:spacing w:after="240"/>
      <w:jc w:val="center"/>
      <w:outlineLvl w:val="0"/>
    </w:pPr>
    <w:rPr>
      <w:rFonts w:ascii="宋体" w:hAnsi="宋体" w:cs="宋体"/>
      <w:sz w:val="40"/>
      <w:szCs w:val="40"/>
      <w:lang w:val="zh-TW" w:eastAsia="zh-TW" w:bidi="zh-TW"/>
    </w:rPr>
  </w:style>
  <w:style w:type="paragraph" w:customStyle="1" w:styleId="82">
    <w:name w:val="Body text|1"/>
    <w:basedOn w:val="1"/>
    <w:autoRedefine/>
    <w:qFormat/>
    <w:uiPriority w:val="0"/>
    <w:pPr>
      <w:spacing w:line="480" w:lineRule="auto"/>
      <w:ind w:firstLine="400"/>
    </w:pPr>
    <w:rPr>
      <w:rFonts w:ascii="宋体" w:hAnsi="宋体" w:cs="宋体"/>
      <w:sz w:val="22"/>
      <w:szCs w:val="22"/>
      <w:lang w:val="zh-TW" w:eastAsia="zh-TW" w:bidi="zh-TW"/>
    </w:rPr>
  </w:style>
  <w:style w:type="character" w:customStyle="1" w:styleId="83">
    <w:name w:val="proollist"/>
    <w:basedOn w:val="27"/>
    <w:autoRedefine/>
    <w:qFormat/>
    <w:uiPriority w:val="0"/>
  </w:style>
  <w:style w:type="character" w:customStyle="1" w:styleId="84">
    <w:name w:val="beforeinfotext"/>
    <w:basedOn w:val="27"/>
    <w:autoRedefine/>
    <w:qFormat/>
    <w:uiPriority w:val="0"/>
    <w:rPr>
      <w:color w:val="666666"/>
    </w:rPr>
  </w:style>
  <w:style w:type="character" w:customStyle="1" w:styleId="85">
    <w:name w:val="stclosebtn"/>
    <w:basedOn w:val="27"/>
    <w:autoRedefine/>
    <w:qFormat/>
    <w:uiPriority w:val="0"/>
  </w:style>
  <w:style w:type="character" w:customStyle="1" w:styleId="86">
    <w:name w:val="number"/>
    <w:basedOn w:val="27"/>
    <w:autoRedefine/>
    <w:qFormat/>
    <w:uiPriority w:val="0"/>
    <w:rPr>
      <w:color w:val="FF8833"/>
      <w:sz w:val="18"/>
      <w:szCs w:val="18"/>
    </w:rPr>
  </w:style>
  <w:style w:type="paragraph" w:customStyle="1" w:styleId="87">
    <w:name w:val="title1"/>
    <w:basedOn w:val="1"/>
    <w:autoRedefine/>
    <w:qFormat/>
    <w:uiPriority w:val="0"/>
    <w:pPr>
      <w:spacing w:before="150"/>
      <w:jc w:val="left"/>
    </w:pPr>
    <w:rPr>
      <w:b/>
      <w:bCs/>
      <w:kern w:val="0"/>
      <w:sz w:val="22"/>
      <w:szCs w:val="22"/>
    </w:rPr>
  </w:style>
  <w:style w:type="character" w:customStyle="1" w:styleId="88">
    <w:name w:val="phone"/>
    <w:basedOn w:val="27"/>
    <w:autoRedefine/>
    <w:qFormat/>
    <w:uiPriority w:val="0"/>
    <w:rPr>
      <w:color w:val="FF8833"/>
      <w:sz w:val="18"/>
      <w:szCs w:val="18"/>
    </w:rPr>
  </w:style>
  <w:style w:type="paragraph" w:customStyle="1" w:styleId="89">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0">
    <w:name w:val="表注1"/>
    <w:basedOn w:val="1"/>
    <w:autoRedefine/>
    <w:qFormat/>
    <w:uiPriority w:val="0"/>
    <w:pPr>
      <w:adjustRightInd w:val="0"/>
      <w:snapToGrid w:val="0"/>
      <w:spacing w:beforeLines="50" w:line="300" w:lineRule="auto"/>
      <w:ind w:left="350" w:hanging="350" w:hangingChars="350"/>
    </w:pPr>
    <w:rPr>
      <w:rFonts w:eastAsia="仿宋_GB2312"/>
      <w:bCs/>
      <w:color w:val="000000"/>
    </w:rPr>
  </w:style>
  <w:style w:type="character" w:customStyle="1" w:styleId="91">
    <w:name w:val="active"/>
    <w:basedOn w:val="27"/>
    <w:autoRedefine/>
    <w:qFormat/>
    <w:uiPriority w:val="0"/>
    <w:rPr>
      <w:color w:val="00FF00"/>
      <w:shd w:val="clear" w:color="auto" w:fill="111111"/>
    </w:rPr>
  </w:style>
  <w:style w:type="character" w:customStyle="1" w:styleId="92">
    <w:name w:val="active6"/>
    <w:basedOn w:val="27"/>
    <w:autoRedefine/>
    <w:qFormat/>
    <w:uiPriority w:val="0"/>
    <w:rPr>
      <w:color w:val="00FF00"/>
      <w:shd w:val="clear" w:color="auto" w:fill="111111"/>
    </w:rPr>
  </w:style>
  <w:style w:type="character" w:customStyle="1" w:styleId="93">
    <w:name w:val="ico1652"/>
    <w:basedOn w:val="27"/>
    <w:autoRedefine/>
    <w:qFormat/>
    <w:uiPriority w:val="0"/>
  </w:style>
  <w:style w:type="character" w:customStyle="1" w:styleId="94">
    <w:name w:val="ico1653"/>
    <w:basedOn w:val="27"/>
    <w:autoRedefine/>
    <w:qFormat/>
    <w:uiPriority w:val="0"/>
  </w:style>
  <w:style w:type="character" w:customStyle="1" w:styleId="95">
    <w:name w:val="hover45"/>
    <w:basedOn w:val="27"/>
    <w:autoRedefine/>
    <w:qFormat/>
    <w:uiPriority w:val="0"/>
    <w:rPr>
      <w:color w:val="FFFFFF"/>
    </w:rPr>
  </w:style>
  <w:style w:type="paragraph" w:customStyle="1" w:styleId="96">
    <w:name w:val="Char Char Char"/>
    <w:basedOn w:val="1"/>
    <w:autoRedefine/>
    <w:qFormat/>
    <w:uiPriority w:val="0"/>
    <w:pPr>
      <w:widowControl/>
      <w:spacing w:line="240" w:lineRule="exact"/>
      <w:jc w:val="left"/>
    </w:pPr>
  </w:style>
  <w:style w:type="character" w:customStyle="1" w:styleId="97">
    <w:name w:val="font91"/>
    <w:basedOn w:val="27"/>
    <w:autoRedefine/>
    <w:qFormat/>
    <w:uiPriority w:val="0"/>
    <w:rPr>
      <w:rFonts w:ascii="Arial" w:hAnsi="Arial" w:cs="Arial"/>
      <w:color w:val="000000"/>
      <w:sz w:val="20"/>
      <w:szCs w:val="20"/>
      <w:u w:val="none"/>
    </w:rPr>
  </w:style>
  <w:style w:type="character" w:customStyle="1" w:styleId="98">
    <w:name w:val="font41"/>
    <w:basedOn w:val="27"/>
    <w:autoRedefine/>
    <w:qFormat/>
    <w:uiPriority w:val="0"/>
    <w:rPr>
      <w:rFonts w:hint="eastAsia" w:ascii="宋体" w:hAnsi="宋体" w:eastAsia="宋体" w:cs="宋体"/>
      <w:color w:val="000000"/>
      <w:sz w:val="20"/>
      <w:szCs w:val="20"/>
      <w:u w:val="none"/>
    </w:rPr>
  </w:style>
  <w:style w:type="character" w:customStyle="1" w:styleId="99">
    <w:name w:val="font101"/>
    <w:basedOn w:val="27"/>
    <w:autoRedefine/>
    <w:qFormat/>
    <w:uiPriority w:val="0"/>
    <w:rPr>
      <w:rFonts w:ascii="宋体" w:hAnsi="宋体" w:eastAsia="宋体" w:cs="宋体"/>
      <w:color w:val="000000"/>
      <w:sz w:val="20"/>
      <w:szCs w:val="20"/>
      <w:u w:val="none"/>
    </w:rPr>
  </w:style>
  <w:style w:type="character" w:customStyle="1" w:styleId="100">
    <w:name w:val="font31"/>
    <w:basedOn w:val="27"/>
    <w:autoRedefine/>
    <w:qFormat/>
    <w:uiPriority w:val="0"/>
    <w:rPr>
      <w:rFonts w:hint="eastAsia" w:ascii="宋体" w:hAnsi="宋体" w:eastAsia="宋体" w:cs="宋体"/>
      <w:color w:val="000000"/>
      <w:sz w:val="16"/>
      <w:szCs w:val="16"/>
      <w:u w:val="none"/>
    </w:rPr>
  </w:style>
  <w:style w:type="paragraph" w:customStyle="1" w:styleId="101">
    <w:name w:val="Char Char Char Char"/>
    <w:basedOn w:val="1"/>
    <w:autoRedefine/>
    <w:qFormat/>
    <w:uiPriority w:val="0"/>
  </w:style>
  <w:style w:type="table" w:customStyle="1" w:styleId="102">
    <w:name w:val="Table Normal"/>
    <w:autoRedefine/>
    <w:unhideWhenUsed/>
    <w:qFormat/>
    <w:uiPriority w:val="0"/>
    <w:tblPr>
      <w:tblCellMar>
        <w:top w:w="0" w:type="dxa"/>
        <w:left w:w="0" w:type="dxa"/>
        <w:bottom w:w="0" w:type="dxa"/>
        <w:right w:w="0" w:type="dxa"/>
      </w:tblCellMar>
    </w:tblPr>
  </w:style>
  <w:style w:type="paragraph" w:customStyle="1" w:styleId="103">
    <w:name w:val="WPSOffice手动目录 1"/>
    <w:autoRedefine/>
    <w:qFormat/>
    <w:uiPriority w:val="0"/>
    <w:rPr>
      <w:rFonts w:ascii="Times New Roman" w:hAnsi="Times New Roman" w:eastAsia="宋体" w:cs="Times New Roman"/>
      <w:lang w:val="en-US" w:eastAsia="zh-CN" w:bidi="ar-SA"/>
    </w:rPr>
  </w:style>
  <w:style w:type="character" w:customStyle="1" w:styleId="104">
    <w:name w:val="15"/>
    <w:autoRedefine/>
    <w:qFormat/>
    <w:uiPriority w:val="0"/>
    <w:rPr>
      <w:rFonts w:hint="eastAsia" w:ascii="宋体" w:hAnsi="宋体" w:eastAsia="宋体" w:cs="宋体"/>
      <w:sz w:val="24"/>
      <w:szCs w:val="24"/>
    </w:rPr>
  </w:style>
  <w:style w:type="paragraph" w:customStyle="1" w:styleId="105">
    <w:name w:val="09正文_wh"/>
    <w:autoRedefine/>
    <w:qFormat/>
    <w:uiPriority w:val="0"/>
    <w:pPr>
      <w:spacing w:line="300" w:lineRule="auto"/>
      <w:ind w:firstLine="200" w:firstLineChars="200"/>
      <w:jc w:val="both"/>
    </w:pPr>
    <w:rPr>
      <w:rFonts w:ascii="Times New Roman" w:hAnsi="Times New Roman" w:eastAsia="宋体" w:cs="Times New Roman"/>
      <w:kern w:val="2"/>
      <w:sz w:val="28"/>
      <w:szCs w:val="22"/>
      <w:lang w:val="en-US" w:eastAsia="zh-CN" w:bidi="ar-SA"/>
    </w:rPr>
  </w:style>
  <w:style w:type="paragraph" w:customStyle="1" w:styleId="106">
    <w:name w:val="p15"/>
    <w:basedOn w:val="1"/>
    <w:autoRedefine/>
    <w:qFormat/>
    <w:uiPriority w:val="99"/>
    <w:pPr>
      <w:widowControl/>
    </w:pPr>
    <w:rPr>
      <w:szCs w:val="21"/>
    </w:rPr>
  </w:style>
  <w:style w:type="character" w:customStyle="1" w:styleId="107">
    <w:name w:val="font21"/>
    <w:basedOn w:val="27"/>
    <w:autoRedefine/>
    <w:qFormat/>
    <w:uiPriority w:val="0"/>
    <w:rPr>
      <w:rFonts w:hint="eastAsia" w:ascii="宋体" w:hAnsi="宋体" w:eastAsia="宋体" w:cs="宋体"/>
      <w:b/>
      <w:bCs/>
      <w:color w:val="000000"/>
      <w:sz w:val="20"/>
      <w:szCs w:val="20"/>
      <w:u w:val="none"/>
    </w:rPr>
  </w:style>
  <w:style w:type="paragraph" w:customStyle="1" w:styleId="108">
    <w:name w:val="正文（缩进 2 字符）"/>
    <w:basedOn w:val="1"/>
    <w:autoRedefine/>
    <w:qFormat/>
    <w:uiPriority w:val="0"/>
    <w:pPr>
      <w:ind w:firstLine="200" w:firstLineChars="200"/>
    </w:pPr>
  </w:style>
  <w:style w:type="paragraph" w:customStyle="1" w:styleId="109">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10">
    <w:name w:val="List Paragraph"/>
    <w:basedOn w:val="1"/>
    <w:autoRedefine/>
    <w:qFormat/>
    <w:uiPriority w:val="34"/>
    <w:pPr>
      <w:ind w:firstLine="420" w:firstLineChars="200"/>
    </w:pPr>
  </w:style>
  <w:style w:type="paragraph" w:customStyle="1" w:styleId="111">
    <w:name w:val="Table Paragraph"/>
    <w:basedOn w:val="1"/>
    <w:autoRedefine/>
    <w:qFormat/>
    <w:uiPriority w:val="1"/>
  </w:style>
  <w:style w:type="character" w:customStyle="1" w:styleId="112">
    <w:name w:val="font51"/>
    <w:basedOn w:val="27"/>
    <w:autoRedefine/>
    <w:qFormat/>
    <w:uiPriority w:val="0"/>
    <w:rPr>
      <w:rFonts w:hint="eastAsia" w:ascii="楷体" w:hAnsi="楷体" w:eastAsia="楷体" w:cs="楷体"/>
      <w:color w:val="000000"/>
      <w:sz w:val="20"/>
      <w:szCs w:val="20"/>
      <w:u w:val="none"/>
    </w:rPr>
  </w:style>
  <w:style w:type="character" w:customStyle="1" w:styleId="113">
    <w:name w:val="批注框文本 Char"/>
    <w:basedOn w:val="27"/>
    <w:link w:val="16"/>
    <w:autoRedefine/>
    <w:qFormat/>
    <w:uiPriority w:val="0"/>
    <w:rPr>
      <w:rFonts w:ascii="Calibri" w:hAnsi="Calibri"/>
      <w:kern w:val="2"/>
      <w:sz w:val="18"/>
      <w:szCs w:val="18"/>
    </w:rPr>
  </w:style>
  <w:style w:type="paragraph" w:customStyle="1" w:styleId="114">
    <w:name w:val="Table Text"/>
    <w:basedOn w:val="1"/>
    <w:semiHidden/>
    <w:qFormat/>
    <w:uiPriority w:val="0"/>
    <w:rPr>
      <w:rFonts w:ascii="宋体" w:hAnsi="宋体" w:eastAsia="宋体" w:cs="宋体"/>
      <w:sz w:val="24"/>
      <w:szCs w:val="24"/>
      <w:lang w:val="en-US" w:eastAsia="en-US" w:bidi="ar-SA"/>
    </w:rPr>
  </w:style>
  <w:style w:type="paragraph" w:customStyle="1" w:styleId="115">
    <w:name w:val=" Char Char Char"/>
    <w:basedOn w:val="1"/>
    <w:qFormat/>
    <w:uiPriority w:val="0"/>
    <w:pPr>
      <w:widowControl/>
      <w:spacing w:after="160" w:afterLines="0" w:line="240" w:lineRule="exact"/>
      <w:jc w:val="left"/>
    </w:pPr>
  </w:style>
  <w:style w:type="character" w:customStyle="1" w:styleId="116">
    <w:name w:val="font61"/>
    <w:basedOn w:val="27"/>
    <w:qFormat/>
    <w:uiPriority w:val="0"/>
    <w:rPr>
      <w:rFonts w:hint="eastAsia" w:ascii="宋体" w:hAnsi="宋体" w:eastAsia="宋体" w:cs="宋体"/>
      <w:color w:val="000000"/>
      <w:sz w:val="24"/>
      <w:szCs w:val="24"/>
      <w:u w:val="none"/>
    </w:rPr>
  </w:style>
  <w:style w:type="character" w:customStyle="1" w:styleId="117">
    <w:name w:val="font81"/>
    <w:basedOn w:val="2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70</Pages>
  <Words>2552</Words>
  <Characters>2968</Characters>
  <Lines>366</Lines>
  <Paragraphs>103</Paragraphs>
  <TotalTime>62</TotalTime>
  <ScaleCrop>false</ScaleCrop>
  <LinksUpToDate>false</LinksUpToDate>
  <CharactersWithSpaces>3040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2021-09-28T02:24:00Z</dcterms:created>
  <dc:creator>刘莉娥</dc:creator>
  <cp:lastModifiedBy>黑曼巴</cp:lastModifiedBy>
  <cp:lastPrinted>2024-05-22T01:16:00Z</cp:lastPrinted>
  <dcterms:modified xsi:type="dcterms:W3CDTF">2024-12-30T09:49:37Z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A1ADA212603E4854B924E036CACF5608_13</vt:lpwstr>
  </property>
</Properties>
</file>