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E67A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一、项目背景</w:t>
      </w:r>
    </w:p>
    <w:p w14:paraId="530D6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安康市位于中国陆地中心陕西省东南部，是中国古老的丝绸、茶叶产地。安康兴桑养蚕有五千年的历史，曾出土 2000 多年前的鎏金蚕，安康的茶早在唐代就是贡品。2000 年前，随着亚欧“丝绸之路”的开启，安康盛产的丝绸和茶叶就源源不断地销往沿途各个国家。</w:t>
      </w:r>
    </w:p>
    <w:p w14:paraId="0667F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安康市地处中国南北气候过渡带，境内秦岭巴山雄奇挺拔，湖光山色相映成辉，峡谷溶洞遍布其间。气候湿润温和，四季分明，植被丰茂，大熊猫、金丝猴、朱鹮、羚牛等珍稀动物在此栖息，是中国生物多样性最为丰富、珍稀动植物最为集中的地区之一，被誉为“秦巴明珠。”</w:t>
      </w:r>
    </w:p>
    <w:p w14:paraId="67F9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“安康”在中国是一个非常吉祥的词语，寓意“安宁康泰。”从安康市境内流过的汉江是中华民族文化的摇篮，绵延清澈的汉江水哺育了沿江人民，孕育了灿烂的汉水文化，汉族、汉朝、汉字等都源自汉江，素有“三千里汉江黄金水道，五千年中华航运文明”的美誉。安康水资源丰富，年平均降水1050毫米，流域面积5平方公里以上河941条，人均水资源3500 立方米，是中国南水北调中线工程重要的水源涵养地。1700 多年前，取“万年丰乐、安宁康泰”之意始称安康，1300 多年前诞生了影响世界的佛教禅宗七祖怀让，近代还启蒙了沈尹默、沈士远、沈兼士三位中国新文化运动巨匠。</w:t>
      </w:r>
    </w:p>
    <w:p w14:paraId="423F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安康的生物、旅游资源丰富，拥有瀛湖、南宫山、凤堰古梯田、中坝大峡谷、飞渡峡、天书峡、筒车湾、天宝梯彩农园、蜀河古镇、鬼谷岭、双龙融洞、燕翔洞、雁山瀑布、汉江石泉古城、桃花溪等国家4A级景区16个，是重要的生态旅游目的地。为了更好地传播安康丰富的历史文化与自然风光，提升游客体验，创新展示方式显得尤为重要。</w:t>
      </w:r>
    </w:p>
    <w:p w14:paraId="77023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本项目计划采用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“沉浸式四折幕系统（3D裸眼）”建设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，遵循“活化历史记忆、融入现代生活、守护文化灵魂”的理念，依托于安康独有的历史文化底蕴和自然景观资源，利用前沿技术，打造裸眼3D体验空间。此项目旨在通过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四折幕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  <w:t>新媒体宣传方式，以裸眼3D沉浸感的视觉效果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让观众身临其境地感受安康的历史变迁与自然风光，增强公众对安康文化传承的参与性、体验感和归属感，努力将安康塑造为集文化深度、科技创新、人与自然和谐共存的示范性文化旅游目的地，吸引更多国内外游客，重塑并提升安康文化旅游服务的新形象。</w:t>
      </w:r>
    </w:p>
    <w:p w14:paraId="103B6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项目建设目标</w:t>
      </w:r>
    </w:p>
    <w:p w14:paraId="4A48F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本项目秉承展示、宣传、承继与弘扬安康市丰厚文化资源与旅游资源的宗旨，旨在打造一个集标志性、真实性、独特性、直观性、艺术性、体验性和互动性于一身的复合型沉浸式体验项目。该项目围绕安康市的历史文化精髓、自然景观宝藏、民俗风情亮点、经济发展脉络等核心文旅内容，深度融合旅游产业，构建起一个活灵活现的“安康特色文旅+四折幕”的沉浸式服务体验新模式。</w:t>
      </w:r>
    </w:p>
    <w:p w14:paraId="05A4B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该项目旨在通过新模式创新性地宣传展示安康的历史文化底蕴、自然风光与民俗特色，将“历史文化名城”的品牌与“绿色生态发展”的理念紧密融入现代公共文化和民族民间传统文化的传承框架之中。通过这一模式，安康的产业资源、生态环境、文化旅游等优势将得以充分展现，推动其从文化旅游资源大市向文化旅游强市转变，为安康的文化旅游产业注入持久活力，让旅游体验更加深邃，文化传承更具生命力。</w:t>
      </w:r>
    </w:p>
    <w:p w14:paraId="602245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  <w:t>项目建设内容</w:t>
      </w:r>
    </w:p>
    <w:p w14:paraId="44CFF2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82" w:firstLineChars="200"/>
        <w:jc w:val="left"/>
        <w:textAlignment w:val="auto"/>
        <w:rPr>
          <w:rFonts w:hint="default" w:ascii="宋体" w:hAnsi="宋体" w:eastAsia="宋体" w:cs="宋体"/>
          <w:b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24"/>
          <w:szCs w:val="24"/>
          <w:lang w:val="en-US" w:eastAsia="zh-CN" w:bidi="ar-SA"/>
        </w:rPr>
        <w:t>（一）内容清单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37"/>
        <w:gridCol w:w="6258"/>
      </w:tblGrid>
      <w:tr w14:paraId="31D1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 w14:paraId="4E4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37" w:type="dxa"/>
            <w:vAlign w:val="center"/>
          </w:tcPr>
          <w:p w14:paraId="0D984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内容</w:t>
            </w:r>
          </w:p>
        </w:tc>
        <w:tc>
          <w:tcPr>
            <w:tcW w:w="6258" w:type="dxa"/>
            <w:vAlign w:val="center"/>
          </w:tcPr>
          <w:p w14:paraId="06D7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0C2D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955" w:type="dxa"/>
            <w:vAlign w:val="center"/>
          </w:tcPr>
          <w:p w14:paraId="5F34E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37" w:type="dxa"/>
            <w:vAlign w:val="center"/>
          </w:tcPr>
          <w:p w14:paraId="10469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视频制作</w:t>
            </w:r>
          </w:p>
        </w:tc>
        <w:tc>
          <w:tcPr>
            <w:tcW w:w="6258" w:type="dxa"/>
            <w:vAlign w:val="center"/>
          </w:tcPr>
          <w:p w14:paraId="0B0B2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包括脚本策划、素材采集、模型制作、视频制作</w:t>
            </w:r>
          </w:p>
        </w:tc>
      </w:tr>
      <w:tr w14:paraId="61C6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" w:type="dxa"/>
            <w:vAlign w:val="center"/>
          </w:tcPr>
          <w:p w14:paraId="3D9F9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37" w:type="dxa"/>
            <w:vAlign w:val="center"/>
          </w:tcPr>
          <w:p w14:paraId="552D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宣传推广</w:t>
            </w:r>
          </w:p>
        </w:tc>
        <w:tc>
          <w:tcPr>
            <w:tcW w:w="6258" w:type="dxa"/>
            <w:vAlign w:val="center"/>
          </w:tcPr>
          <w:p w14:paraId="2E03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包括宣传方案策划、内容轮播、现场运维</w:t>
            </w:r>
          </w:p>
        </w:tc>
      </w:tr>
    </w:tbl>
    <w:p w14:paraId="083D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  <w:t>（二）视频制作</w:t>
      </w:r>
    </w:p>
    <w:p w14:paraId="397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为使游客沉浸在虚拟现实的奇妙旅程中，项目将设计场景构造、故事情节引导、角色互动体验等元素，通过定制化的视频素材，紧密联结观者与虚拟空间，确保每位体验者都能享受到独一无二的感官体验。此外，定制视频的分辨率将与LED四折幕显示屏的物理分辨率精确匹配，实现点对点精准播放，确保画面无扭曲、不失真，从根本上保障了视觉呈现的高品质。</w:t>
      </w:r>
    </w:p>
    <w:p w14:paraId="69C2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安康市文化旅游裸眼3D（四折幕）制作作为陕西“数字化技术赋能文旅发展”的示范案例，计划打造一系列以安康为核心的文化旅游视频内容。视频选材将聚焦于安康最具标志性的旅游资源，如瀛湖、南宫山、凤堰古梯田、中坝大峡谷、飞渡峡、天书峡、筒车湾、天宝梯彩农园、蜀河古镇、鬼谷岭、双龙、燕翔洞、雁山瀑布、汉江石泉古城、桃花溪等自然与人文景观，并深度融合汉调二黄、紫阳民歌、旬阳民歌、平利弦子腔等国家级非物质文化遗产元素。</w:t>
      </w:r>
    </w:p>
    <w:p w14:paraId="6DE62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视频制作流程涵盖素材精选、场景定制设计、创意策划、镜头设定、脚本及分镜脚本撰写、专业配音与后期精细制作，确保每一帧画面都能以第一人称视角，带领观众穿越时空，亲历安康的千年历史沉淀、自然景观与民俗风情。此项目致力于创建一个数字化、视觉化、高度互动的安康文化旅游沉浸式体验环境，高效整合并集中展现安康独特的地域文化与旅游魅力，实现文化与旅游的深度融合发展，擦亮安康文化旅游的品牌名片，为安康文化旅游产业的高质量发展注入强劲动力。</w:t>
      </w:r>
    </w:p>
    <w:p w14:paraId="795AF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具体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要求如下表：</w:t>
      </w:r>
    </w:p>
    <w:tbl>
      <w:tblPr>
        <w:tblStyle w:val="4"/>
        <w:tblW w:w="9438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696"/>
        <w:gridCol w:w="6867"/>
      </w:tblGrid>
      <w:tr w14:paraId="1E01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vAlign w:val="center"/>
          </w:tcPr>
          <w:p w14:paraId="156F4B21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80" w:type="dxa"/>
            <w:vAlign w:val="center"/>
          </w:tcPr>
          <w:p w14:paraId="0C3DDE0E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96" w:type="dxa"/>
            <w:vAlign w:val="center"/>
          </w:tcPr>
          <w:p w14:paraId="4DBCA11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6867" w:type="dxa"/>
            <w:vAlign w:val="center"/>
          </w:tcPr>
          <w:p w14:paraId="65612B4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</w:tr>
      <w:tr w14:paraId="3831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5" w:type="dxa"/>
            <w:vAlign w:val="center"/>
          </w:tcPr>
          <w:p w14:paraId="5F5B2A4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 w14:paraId="0FDA6978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宣传方案策划</w:t>
            </w:r>
          </w:p>
        </w:tc>
        <w:tc>
          <w:tcPr>
            <w:tcW w:w="696" w:type="dxa"/>
            <w:vAlign w:val="center"/>
          </w:tcPr>
          <w:p w14:paraId="3F61F91D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867" w:type="dxa"/>
            <w:vAlign w:val="center"/>
          </w:tcPr>
          <w:p w14:paraId="3A5DC7E4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leftChars="0" w:right="57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聚焦于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  <w:t>安康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最具标志性的旅游资源，如瀛湖、南宫山、凤堰古梯田、中坝大峡谷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、飞渡峡、天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书峡、筒车湾、天宝梯彩农园、蜀河古镇、鬼谷岭、双龙、燕翔洞、雁山瀑布、汉江石泉古城、桃花溪等自然与人文景观，并深度融合汉调二黄、紫阳民歌、旬阳民歌、平利弦子腔等国家级非物质文化遗产元素。</w:t>
            </w:r>
          </w:p>
          <w:p w14:paraId="2521005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leftChars="0" w:right="57" w:rightChars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策划方案应突出：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安康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文化、自然生态、传统民俗、景区景点等内容；</w:t>
            </w:r>
          </w:p>
          <w:p w14:paraId="663D86E3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策划方案必须经采购人审核通过，以审核结论提供相应服务；</w:t>
            </w:r>
          </w:p>
        </w:tc>
      </w:tr>
      <w:tr w14:paraId="711D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5" w:type="dxa"/>
            <w:vAlign w:val="center"/>
          </w:tcPr>
          <w:p w14:paraId="60FEE0B4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 w14:paraId="56941D8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素材采集</w:t>
            </w:r>
          </w:p>
        </w:tc>
        <w:tc>
          <w:tcPr>
            <w:tcW w:w="696" w:type="dxa"/>
            <w:vAlign w:val="center"/>
          </w:tcPr>
          <w:p w14:paraId="1A02F59F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6867" w:type="dxa"/>
            <w:vAlign w:val="center"/>
          </w:tcPr>
          <w:p w14:paraId="3C3A71B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按照采购人审核结论及要求，即按照最终审定的策划方案完成实景拍摄，包括但不限于：实景三维场景、室内小场景等；</w:t>
            </w:r>
          </w:p>
          <w:p w14:paraId="48947EF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为保证素材采集质量：拍摄应使用专业设备，包括但不限于：倾斜摄影相机、激光扫描仪、数码照相机等；</w:t>
            </w:r>
          </w:p>
          <w:p w14:paraId="1E69EEA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素材质量：采集素材应通过采购人审核；</w:t>
            </w:r>
          </w:p>
          <w:p w14:paraId="5AD8EA4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素材采集建议及要求：</w:t>
            </w:r>
          </w:p>
          <w:p w14:paraId="6B29E35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（1）选择光线较为柔和的环境（包括天气、时间、地点等），按正视角度进行拍摄，避免逆光拍摄；</w:t>
            </w:r>
          </w:p>
          <w:p w14:paraId="2B1652B0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（2）根据不同细节层次的模型以及相应的精度及表现要求，确定拍照需要表现的细节及主题；</w:t>
            </w:r>
          </w:p>
        </w:tc>
      </w:tr>
      <w:tr w14:paraId="1FC8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5" w:type="dxa"/>
            <w:vAlign w:val="center"/>
          </w:tcPr>
          <w:p w14:paraId="735BAC4B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80" w:type="dxa"/>
            <w:vAlign w:val="center"/>
          </w:tcPr>
          <w:p w14:paraId="7B460340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三维模型制作</w:t>
            </w:r>
          </w:p>
        </w:tc>
        <w:tc>
          <w:tcPr>
            <w:tcW w:w="696" w:type="dxa"/>
            <w:vAlign w:val="center"/>
          </w:tcPr>
          <w:p w14:paraId="41AED4E9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6867" w:type="dxa"/>
            <w:vAlign w:val="center"/>
          </w:tcPr>
          <w:p w14:paraId="0523C04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根据采集到的内容素材，经采购人审核后，制作三维模型；</w:t>
            </w:r>
          </w:p>
          <w:p w14:paraId="353F3729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数据模型按照与实例1:1比例进行三维建模，建模面数不低于300万面数；</w:t>
            </w:r>
          </w:p>
          <w:p w14:paraId="58890376"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模型贴图后纹理要清晰，并与实际相符，体现出很强的真实感；</w:t>
            </w:r>
          </w:p>
        </w:tc>
      </w:tr>
      <w:tr w14:paraId="3003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95" w:type="dxa"/>
            <w:vAlign w:val="center"/>
          </w:tcPr>
          <w:p w14:paraId="59C7C55C">
            <w:pPr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vAlign w:val="center"/>
          </w:tcPr>
          <w:p w14:paraId="0046992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定制化宣传视频制作</w:t>
            </w:r>
          </w:p>
        </w:tc>
        <w:tc>
          <w:tcPr>
            <w:tcW w:w="696" w:type="dxa"/>
            <w:vAlign w:val="center"/>
          </w:tcPr>
          <w:p w14:paraId="6B61877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秒</w:t>
            </w:r>
          </w:p>
        </w:tc>
        <w:tc>
          <w:tcPr>
            <w:tcW w:w="6867" w:type="dxa"/>
            <w:vAlign w:val="center"/>
          </w:tcPr>
          <w:p w14:paraId="2AD115D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根据审定的三维模型进行视频制作，时长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0秒，宣传视频通过四折幕屏幕播放，宣传特色文旅资源和产品；</w:t>
            </w:r>
          </w:p>
          <w:p w14:paraId="5FB7E1A5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数据模型采用实时渲染模式，分辨率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1920×1080，帧速率25帧/s，比特率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300kbps；</w:t>
            </w:r>
          </w:p>
          <w:p w14:paraId="1D6CEA4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场景中光影效果可以随镜头移动而变换，场景中的效果为实时生成，画面清晰，运行流畅，不丢帧，不卡顿，配音配旁白。</w:t>
            </w:r>
          </w:p>
          <w:p w14:paraId="770D3F3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57" w:right="57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最终成果视频必须点对点，完全适配四折幕LED显示系统；</w:t>
            </w:r>
          </w:p>
        </w:tc>
      </w:tr>
    </w:tbl>
    <w:p w14:paraId="29237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u w:val="none"/>
          <w:lang w:val="en-US" w:eastAsia="zh-CN"/>
        </w:rPr>
        <w:t>（三）宣传推广</w:t>
      </w:r>
    </w:p>
    <w:p w14:paraId="4171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本项目打造的沉浸式体验场景，将创新安康文化旅游资源的宣传推广方式，展现安康丰富的旅游文化资源，制作完成的宣传片将在甲方指定位置进行轮播，由专业机构在指定播放位置进行宣传推广策划，全年播放次数不少于3600次，轮播场地安排专人负责维护运营。</w:t>
      </w:r>
    </w:p>
    <w:p w14:paraId="5DE77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项目最终将融合安康历史遗迹、自然风光以及民俗特色的关中风情，采用第一视角叙述，结合高科技裸眼3D效果与四折幕技术，展现安康古今交融的独特韵味，创造沉浸式体验。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3NGM3OGQxYjE1YjE4MzJkMWE5OThkMTRjMWM5ODkifQ=="/>
  </w:docVars>
  <w:rsids>
    <w:rsidRoot w:val="414D2D67"/>
    <w:rsid w:val="3A281EF8"/>
    <w:rsid w:val="414D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adjustRightInd w:val="0"/>
      <w:spacing w:before="340" w:after="330" w:line="578" w:lineRule="atLeast"/>
      <w:ind w:left="3312" w:firstLine="288"/>
      <w:jc w:val="left"/>
      <w:textAlignment w:val="baseline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2"/>
    <w:next w:val="1"/>
    <w:qFormat/>
    <w:uiPriority w:val="99"/>
    <w:pPr>
      <w:keepNext/>
      <w:keepLines/>
      <w:widowControl w:val="0"/>
      <w:adjustRightInd w:val="0"/>
      <w:spacing w:before="260" w:after="260" w:line="416" w:lineRule="atLeast"/>
      <w:ind w:left="-120"/>
      <w:jc w:val="left"/>
      <w:textAlignment w:val="baseline"/>
      <w:outlineLvl w:val="1"/>
    </w:pPr>
    <w:rPr>
      <w:rFonts w:ascii="Arial" w:hAnsi="Arial" w:eastAsia="黑体" w:cs="Times New Roman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2024-10-24T00:25:00Z</dcterms:created>
  <dc:creator>鸿源沣昇</dc:creator>
  <cp:lastModifiedBy>鸿源沣昇</cp:lastModifiedBy>
  <dcterms:modified xsi:type="dcterms:W3CDTF">2024-10-24T00:27:03Z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F13657B37FEC4C98AEAE232DE13B7763_11</vt:lpwstr>
  </property>
</Properties>
</file>