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1" w:firstLineChars="100"/>
        <w:jc w:val="center"/>
        <w:rPr>
          <w:rFonts w:hint="eastAsia" w:ascii="宋体" w:hAnsi="宋体" w:eastAsia="宋体" w:cs="宋体"/>
          <w:b/>
          <w:bCs/>
          <w:kern w:val="0"/>
          <w:sz w:val="32"/>
          <w:szCs w:val="32"/>
        </w:rPr>
      </w:pPr>
      <w:r>
        <w:rPr>
          <w:rFonts w:hint="eastAsia" w:ascii="宋体" w:hAnsi="宋体" w:eastAsia="宋体" w:cs="宋体"/>
          <w:b/>
          <w:bCs/>
          <w:kern w:val="0"/>
          <w:sz w:val="32"/>
          <w:szCs w:val="32"/>
          <w:lang w:val="en-US"/>
        </w:rPr>
        <w:t>安康市中心血站核酸检测试剂采购</w:t>
      </w:r>
      <w:r>
        <w:rPr>
          <w:rFonts w:hint="eastAsia" w:ascii="宋体" w:hAnsi="宋体" w:eastAsia="宋体" w:cs="宋体"/>
          <w:b/>
          <w:bCs/>
          <w:kern w:val="0"/>
          <w:sz w:val="32"/>
          <w:szCs w:val="32"/>
        </w:rPr>
        <w:t>项目</w:t>
      </w:r>
    </w:p>
    <w:p>
      <w:pPr>
        <w:pStyle w:val="3"/>
        <w:rPr>
          <w:rFonts w:hint="eastAsia"/>
        </w:rPr>
      </w:pPr>
    </w:p>
    <w:p>
      <w:pPr>
        <w:numPr>
          <w:ilvl w:val="0"/>
          <w:numId w:val="1"/>
        </w:numPr>
        <w:spacing w:line="360" w:lineRule="auto"/>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采购清单</w:t>
      </w:r>
    </w:p>
    <w:tbl>
      <w:tblPr>
        <w:tblStyle w:val="5"/>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185"/>
        <w:gridCol w:w="1635"/>
        <w:gridCol w:w="1830"/>
        <w:gridCol w:w="2061"/>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426" w:type="dxa"/>
            <w:vAlign w:val="center"/>
          </w:tcPr>
          <w:p>
            <w:pPr>
              <w:spacing w:line="440" w:lineRule="exact"/>
              <w:ind w:left="183" w:leftChars="87"/>
              <w:contextualSpacing/>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名   称</w:t>
            </w:r>
          </w:p>
        </w:tc>
        <w:tc>
          <w:tcPr>
            <w:tcW w:w="1185" w:type="dxa"/>
            <w:vAlign w:val="center"/>
          </w:tcPr>
          <w:p>
            <w:pPr>
              <w:spacing w:line="440" w:lineRule="exact"/>
              <w:ind w:left="183" w:leftChars="87"/>
              <w:contextualSpacing/>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规格</w:t>
            </w:r>
          </w:p>
        </w:tc>
        <w:tc>
          <w:tcPr>
            <w:tcW w:w="1635" w:type="dxa"/>
            <w:vAlign w:val="center"/>
          </w:tcPr>
          <w:p>
            <w:pPr>
              <w:spacing w:line="440" w:lineRule="exact"/>
              <w:ind w:left="183" w:leftChars="87"/>
              <w:contextualSpacing/>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预算单价</w:t>
            </w:r>
          </w:p>
        </w:tc>
        <w:tc>
          <w:tcPr>
            <w:tcW w:w="1830" w:type="dxa"/>
            <w:vAlign w:val="center"/>
          </w:tcPr>
          <w:p>
            <w:pPr>
              <w:spacing w:line="440" w:lineRule="exact"/>
              <w:ind w:left="183" w:leftChars="87"/>
              <w:contextualSpacing/>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年预算用量</w:t>
            </w:r>
          </w:p>
        </w:tc>
        <w:tc>
          <w:tcPr>
            <w:tcW w:w="2061" w:type="dxa"/>
            <w:vAlign w:val="center"/>
          </w:tcPr>
          <w:p>
            <w:pPr>
              <w:spacing w:line="440" w:lineRule="exact"/>
              <w:ind w:left="183" w:leftChars="87"/>
              <w:contextualSpacing/>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年预算</w:t>
            </w:r>
          </w:p>
        </w:tc>
        <w:tc>
          <w:tcPr>
            <w:tcW w:w="997" w:type="dxa"/>
            <w:vAlign w:val="center"/>
          </w:tcPr>
          <w:p>
            <w:pPr>
              <w:spacing w:line="440" w:lineRule="exact"/>
              <w:ind w:left="183" w:leftChars="87"/>
              <w:contextualSpacing/>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426" w:type="dxa"/>
            <w:vAlign w:val="center"/>
          </w:tcPr>
          <w:p>
            <w:pPr>
              <w:jc w:val="center"/>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核酸检测试剂</w:t>
            </w:r>
          </w:p>
        </w:tc>
        <w:tc>
          <w:tcPr>
            <w:tcW w:w="1185" w:type="dxa"/>
            <w:vAlign w:val="center"/>
          </w:tcPr>
          <w:p>
            <w:pPr>
              <w:jc w:val="center"/>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kern w:val="0"/>
                <w:sz w:val="28"/>
                <w:szCs w:val="28"/>
                <w14:textFill>
                  <w14:solidFill>
                    <w14:schemeClr w14:val="tx1"/>
                  </w14:solidFill>
                </w14:textFill>
              </w:rPr>
              <w:t>96T</w:t>
            </w:r>
          </w:p>
        </w:tc>
        <w:tc>
          <w:tcPr>
            <w:tcW w:w="1635" w:type="dxa"/>
            <w:vAlign w:val="center"/>
          </w:tcPr>
          <w:p>
            <w:pPr>
              <w:jc w:val="center"/>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25920</w:t>
            </w:r>
          </w:p>
        </w:tc>
        <w:tc>
          <w:tcPr>
            <w:tcW w:w="1830" w:type="dxa"/>
            <w:vAlign w:val="center"/>
          </w:tcPr>
          <w:p>
            <w:pPr>
              <w:jc w:val="center"/>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auto"/>
                <w:sz w:val="28"/>
                <w:szCs w:val="28"/>
                <w:lang w:val="en-US" w:eastAsia="zh-CN"/>
              </w:rPr>
              <w:t>50盒</w:t>
            </w:r>
          </w:p>
        </w:tc>
        <w:tc>
          <w:tcPr>
            <w:tcW w:w="2061" w:type="dxa"/>
            <w:vAlign w:val="center"/>
          </w:tcPr>
          <w:p>
            <w:pPr>
              <w:jc w:val="center"/>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1296000.00</w:t>
            </w:r>
            <w:r>
              <w:rPr>
                <w:rFonts w:hint="eastAsia" w:ascii="宋体" w:hAnsi="宋体" w:eastAsia="宋体" w:cs="宋体"/>
                <w:b w:val="0"/>
                <w:bCs w:val="0"/>
                <w:sz w:val="28"/>
                <w:szCs w:val="28"/>
                <w:lang w:val="en-US" w:eastAsia="zh-CN"/>
              </w:rPr>
              <w:t>元</w:t>
            </w:r>
          </w:p>
        </w:tc>
        <w:tc>
          <w:tcPr>
            <w:tcW w:w="997" w:type="dxa"/>
            <w:vAlign w:val="center"/>
          </w:tcPr>
          <w:p>
            <w:pPr>
              <w:ind w:firstLine="280" w:firstLineChars="100"/>
              <w:jc w:val="center"/>
              <w:rPr>
                <w:rFonts w:hint="eastAsia" w:ascii="宋体" w:hAnsi="宋体" w:eastAsia="宋体" w:cs="宋体"/>
                <w:b w:val="0"/>
                <w:bCs w:val="0"/>
                <w:color w:val="000000" w:themeColor="text1"/>
                <w:sz w:val="28"/>
                <w:szCs w:val="28"/>
                <w14:textFill>
                  <w14:solidFill>
                    <w14:schemeClr w14:val="tx1"/>
                  </w14:solidFill>
                </w14:textFill>
              </w:rPr>
            </w:pPr>
          </w:p>
        </w:tc>
      </w:tr>
    </w:tbl>
    <w:p>
      <w:pPr>
        <w:numPr>
          <w:ilvl w:val="0"/>
          <w:numId w:val="1"/>
        </w:numPr>
        <w:spacing w:line="360" w:lineRule="auto"/>
        <w:jc w:val="left"/>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技术参数</w:t>
      </w:r>
    </w:p>
    <w:tbl>
      <w:tblPr>
        <w:tblStyle w:val="5"/>
        <w:tblW w:w="9060"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1、检测试剂：获得NMPA批准的可用于血液病原体核酸检测的试剂；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2、检测方法：实时荧光PCR法；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★3、检测项目：HBV-DNA、HCV-RNA、HIV-1 RNA 和HIV-2 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★4、试剂适用：检测试剂须与用户现有设备（S-S14A+ABI7500）相匹配；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★5、样本要求：EDTA抗凝的血浆，汇集样本使用量每人份不低于160微升；（以国家药监局批准的产品说明书标示为准）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6、检测模式：具备单样本检测模式和多样本混合检测模式；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7、检测速度：单套设备在混检模式下5小时内可完成不少于558个样本的检测；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8、采用多重PCR技术，单管同时检测HBV/HCV/HIV（1+2）三个项目；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★9、核酸提取：核酸提取过程中从底部或侧部吸附磁珠，采用吸液法弃除废液，整个提取过程磁珠始终处于反应容器内；（含磁珠吸附过程，磁珠与液相分离过程）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10、检测灵敏度：符合国内外主流要求，其中单人份检测灵敏度(95%置信区间)：HBV-DNA≤5IU/ml；HCV-RNA≤20IU/ml；HIV-RNA（1+2）≤50IU/ml；（相关投标试剂的灵敏度以国家药监局批准的产品说明书的标示灵敏度为准）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11、HBV病毒基因型覆盖范围包含：A、B、C、D、E、F、G、H；HCV病毒基因型覆盖范围包含：1～6亚型；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★12、HIV病毒检测覆盖HIV-1型和HIV-2型，HIV-1病毒基因型覆盖范围包含：M组、N组、O组；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13、质量控制：试剂内含内对照，参与整个核酸提取及扩增过程，能监控每个反应孔的有效性，避免假阴性；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★14、磁珠（磁性微粒）包装时溶于其他组分内，使用时无需额外添加，保证各孔均一性；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★15、核酸提取无需洗脱过程，避免加热洗脱造成的污染风险；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16、核酸提取采用磁珠技术，带磁珠扩增。</w:t>
            </w:r>
          </w:p>
        </w:tc>
      </w:tr>
    </w:tbl>
    <w:p>
      <w:pPr>
        <w:pStyle w:val="3"/>
        <w:rPr>
          <w:rFonts w:hint="eastAsia" w:ascii="宋体" w:hAnsi="宋体" w:eastAsia="宋体" w:cs="宋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848F25"/>
    <w:multiLevelType w:val="singleLevel"/>
    <w:tmpl w:val="7E848F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MDU2N2Y5ZWQ0ZTgxZTM5ODFmYTMxZDdlYTA5MDgifQ=="/>
  </w:docVars>
  <w:rsids>
    <w:rsidRoot w:val="14D5020F"/>
    <w:rsid w:val="14D50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Body Text"/>
    <w:basedOn w:val="1"/>
    <w:next w:val="1"/>
    <w:qFormat/>
    <w:uiPriority w:val="0"/>
    <w:pPr>
      <w:spacing w:line="480" w:lineRule="auto"/>
    </w:pPr>
    <w:rPr>
      <w:color w:val="000000"/>
      <w:sz w:val="24"/>
    </w:rPr>
  </w:style>
  <w:style w:type="table" w:styleId="5">
    <w:name w:val="Table Grid"/>
    <w:basedOn w:val="4"/>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2024-03-21T06:13:00Z</dcterms:created>
  <dc:creator>陕西德信招标有限公司</dc:creator>
  <cp:lastModifiedBy>陕西德信招标有限公司</cp:lastModifiedBy>
  <dcterms:modified xsi:type="dcterms:W3CDTF">2024-03-21T06:13:19Z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DE22454A0FAE485A85C99EEBCACA0B03_11</vt:lpwstr>
  </property>
</Properties>
</file>