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E5B93">
      <w:pPr>
        <w:spacing w:line="360" w:lineRule="auto"/>
        <w:rPr>
          <w:rFonts w:hint="eastAsia" w:ascii="黑体" w:hAnsi="黑体" w:eastAsia="黑体" w:cs="黑体"/>
          <w:b/>
          <w:bCs/>
          <w:spacing w:val="0"/>
          <w:w w:val="100"/>
          <w:position w:val="0"/>
          <w:sz w:val="56"/>
          <w:szCs w:val="56"/>
          <w:highlight w:val="green"/>
        </w:rPr>
      </w:pPr>
      <w:bookmarkStart w:id="0" w:name="_Toc498326351"/>
      <w:bookmarkStart w:id="1" w:name="_Toc207897902"/>
      <w:bookmarkStart w:id="2" w:name="_Toc245658520"/>
      <w:bookmarkStart w:id="3" w:name="_Toc169838518"/>
      <w:bookmarkStart w:id="4" w:name="_Toc170980440"/>
      <w:bookmarkStart w:id="5" w:name="_Toc208337150"/>
      <w:bookmarkStart w:id="6" w:name="_Toc169846762"/>
      <w:bookmarkStart w:id="7" w:name="_Toc169846859"/>
      <w:bookmarkStart w:id="8" w:name="_Toc167591029"/>
      <w:bookmarkStart w:id="9" w:name="_Toc167591478"/>
      <w:bookmarkStart w:id="10" w:name="_Toc175032423"/>
      <w:bookmarkStart w:id="11" w:name="_Toc175033578"/>
      <w:bookmarkStart w:id="12" w:name="_Toc167590761"/>
      <w:bookmarkStart w:id="13" w:name="_Toc244623577"/>
      <w:bookmarkStart w:id="14" w:name="_Toc245176651"/>
      <w:bookmarkStart w:id="15" w:name="_Toc167591316"/>
      <w:bookmarkStart w:id="16" w:name="_Toc245657539"/>
      <w:bookmarkStart w:id="17" w:name="_Toc173549964"/>
      <w:bookmarkStart w:id="18" w:name="_Toc170980538"/>
      <w:bookmarkStart w:id="19" w:name="_Toc154482465"/>
      <w:bookmarkStart w:id="20" w:name="_Toc167591130"/>
      <w:bookmarkStart w:id="21" w:name="_Toc167849346"/>
      <w:bookmarkStart w:id="22" w:name="_Toc260242592"/>
      <w:bookmarkStart w:id="23" w:name="_Toc201650492"/>
      <w:r>
        <w:rPr>
          <w:rFonts w:hint="eastAsia" w:ascii="黑体" w:hAnsi="黑体" w:eastAsia="黑体" w:cs="黑体"/>
          <w:b/>
          <w:bCs/>
          <w:kern w:val="0"/>
          <w:sz w:val="28"/>
          <w:szCs w:val="28"/>
        </w:rPr>
        <w:t>项目编号：</w:t>
      </w:r>
      <w:r>
        <w:rPr>
          <w:rFonts w:hint="eastAsia" w:ascii="黑体" w:hAnsi="黑体" w:eastAsia="黑体" w:cs="黑体"/>
          <w:b/>
          <w:bCs/>
          <w:kern w:val="0"/>
          <w:sz w:val="28"/>
          <w:szCs w:val="28"/>
          <w:highlight w:val="none"/>
          <w:lang w:eastAsia="zh-CN"/>
        </w:rPr>
        <w:t>BCFY-2024(011)</w:t>
      </w:r>
    </w:p>
    <w:p w14:paraId="3DCD104A">
      <w:pPr>
        <w:spacing w:line="480" w:lineRule="auto"/>
        <w:jc w:val="center"/>
        <w:rPr>
          <w:rFonts w:hint="eastAsia" w:ascii="黑体" w:hAnsi="黑体" w:eastAsia="黑体" w:cs="黑体"/>
          <w:b/>
          <w:bCs/>
          <w:spacing w:val="0"/>
          <w:w w:val="100"/>
          <w:position w:val="0"/>
          <w:sz w:val="40"/>
          <w:szCs w:val="40"/>
          <w:lang w:eastAsia="zh-CN"/>
        </w:rPr>
      </w:pPr>
    </w:p>
    <w:p w14:paraId="1E55D815">
      <w:pPr>
        <w:spacing w:line="480" w:lineRule="auto"/>
        <w:jc w:val="center"/>
        <w:rPr>
          <w:rFonts w:hint="eastAsia" w:ascii="黑体" w:hAnsi="黑体" w:eastAsia="黑体" w:cs="黑体"/>
        </w:rPr>
      </w:pPr>
      <w:r>
        <w:rPr>
          <w:rFonts w:hint="eastAsia" w:ascii="黑体" w:hAnsi="黑体" w:eastAsia="黑体" w:cs="黑体"/>
          <w:b/>
          <w:bCs/>
          <w:spacing w:val="0"/>
          <w:w w:val="100"/>
          <w:position w:val="0"/>
          <w:sz w:val="32"/>
          <w:szCs w:val="32"/>
          <w:lang w:eastAsia="zh-CN"/>
        </w:rPr>
        <w:t>汉阴县第二高级中学食堂食材配送及食堂劳务采购项目（二次）</w:t>
      </w:r>
      <w:r>
        <w:rPr>
          <w:rFonts w:hint="eastAsia" w:ascii="黑体" w:hAnsi="黑体" w:eastAsia="黑体" w:cs="黑体"/>
          <w:b/>
          <w:sz w:val="48"/>
          <w:szCs w:val="48"/>
          <w:lang w:val="en-US" w:eastAsia="zh-CN"/>
        </w:rPr>
        <w:t>招标</w:t>
      </w:r>
      <w:r>
        <w:rPr>
          <w:rFonts w:hint="eastAsia" w:ascii="黑体" w:hAnsi="黑体" w:eastAsia="黑体" w:cs="黑体"/>
          <w:b/>
          <w:sz w:val="48"/>
          <w:szCs w:val="48"/>
        </w:rPr>
        <w:t>文件</w:t>
      </w:r>
    </w:p>
    <w:p w14:paraId="1E0F1F26">
      <w:pPr>
        <w:pStyle w:val="13"/>
        <w:ind w:firstLine="964" w:firstLineChars="300"/>
        <w:jc w:val="both"/>
        <w:rPr>
          <w:rFonts w:hint="eastAsia" w:ascii="黑体" w:hAnsi="黑体" w:eastAsia="黑体" w:cs="黑体"/>
          <w:b/>
          <w:bCs/>
          <w:sz w:val="32"/>
          <w:szCs w:val="32"/>
        </w:rPr>
      </w:pPr>
      <w:r>
        <w:rPr>
          <w:rFonts w:hint="eastAsia" w:ascii="黑体" w:hAnsi="黑体" w:eastAsia="黑体" w:cs="黑体"/>
          <w:b/>
          <w:bCs/>
          <w:sz w:val="32"/>
          <w:szCs w:val="32"/>
          <w:lang w:val="en-US" w:eastAsia="zh-CN"/>
        </w:rPr>
        <w:t>（包名称： 食堂劳务服务购买（二次）  ）</w:t>
      </w:r>
    </w:p>
    <w:p w14:paraId="0C4459CC">
      <w:pPr>
        <w:spacing w:line="480" w:lineRule="auto"/>
        <w:jc w:val="center"/>
        <w:rPr>
          <w:rFonts w:hint="eastAsia" w:ascii="黑体" w:hAnsi="黑体" w:eastAsia="黑体" w:cs="黑体"/>
          <w:b/>
          <w:sz w:val="48"/>
          <w:szCs w:val="48"/>
        </w:rPr>
      </w:pPr>
    </w:p>
    <w:p w14:paraId="078675F0">
      <w:pPr>
        <w:pStyle w:val="20"/>
        <w:ind w:firstLine="180"/>
        <w:rPr>
          <w:rFonts w:hint="eastAsia" w:ascii="黑体" w:hAnsi="黑体" w:eastAsia="黑体" w:cs="黑体"/>
        </w:rPr>
      </w:pPr>
    </w:p>
    <w:p w14:paraId="52910B46">
      <w:pPr>
        <w:spacing w:line="360" w:lineRule="auto"/>
        <w:jc w:val="center"/>
        <w:rPr>
          <w:rFonts w:hint="eastAsia" w:ascii="黑体" w:hAnsi="黑体" w:eastAsia="黑体" w:cs="黑体"/>
          <w:b/>
          <w:sz w:val="36"/>
          <w:szCs w:val="36"/>
        </w:rPr>
      </w:pPr>
    </w:p>
    <w:p w14:paraId="312F8644">
      <w:pPr>
        <w:spacing w:line="360" w:lineRule="auto"/>
        <w:ind w:firstLine="1600" w:firstLineChars="500"/>
        <w:rPr>
          <w:rFonts w:hint="eastAsia" w:ascii="黑体" w:hAnsi="黑体" w:eastAsia="黑体" w:cs="黑体"/>
          <w:kern w:val="0"/>
          <w:sz w:val="32"/>
          <w:szCs w:val="32"/>
        </w:rPr>
      </w:pPr>
    </w:p>
    <w:p w14:paraId="4229B847">
      <w:pPr>
        <w:spacing w:line="360" w:lineRule="auto"/>
        <w:ind w:firstLine="1600" w:firstLineChars="500"/>
        <w:rPr>
          <w:rFonts w:hint="eastAsia" w:ascii="黑体" w:hAnsi="黑体" w:eastAsia="黑体" w:cs="黑体"/>
          <w:kern w:val="0"/>
          <w:sz w:val="32"/>
          <w:szCs w:val="32"/>
        </w:rPr>
      </w:pPr>
    </w:p>
    <w:p w14:paraId="440512EF">
      <w:pPr>
        <w:pStyle w:val="20"/>
        <w:ind w:firstLine="320"/>
        <w:rPr>
          <w:rFonts w:hint="eastAsia" w:ascii="黑体" w:hAnsi="黑体" w:eastAsia="黑体" w:cs="黑体"/>
          <w:kern w:val="0"/>
          <w:sz w:val="32"/>
          <w:szCs w:val="32"/>
        </w:rPr>
      </w:pPr>
    </w:p>
    <w:p w14:paraId="02D2A242">
      <w:pPr>
        <w:pStyle w:val="20"/>
        <w:ind w:left="0" w:leftChars="0" w:firstLine="0" w:firstLineChars="0"/>
        <w:rPr>
          <w:rFonts w:hint="eastAsia" w:ascii="黑体" w:hAnsi="黑体" w:eastAsia="黑体" w:cs="黑体"/>
          <w:kern w:val="0"/>
          <w:sz w:val="32"/>
          <w:szCs w:val="32"/>
        </w:rPr>
      </w:pPr>
    </w:p>
    <w:p w14:paraId="2EA62920">
      <w:pPr>
        <w:pStyle w:val="21"/>
        <w:ind w:left="0" w:leftChars="0" w:firstLine="0" w:firstLineChars="0"/>
        <w:rPr>
          <w:rFonts w:hint="eastAsia" w:ascii="黑体" w:hAnsi="黑体" w:eastAsia="黑体" w:cs="黑体"/>
          <w:kern w:val="0"/>
          <w:sz w:val="32"/>
          <w:szCs w:val="32"/>
        </w:rPr>
      </w:pPr>
    </w:p>
    <w:p w14:paraId="0C32E023">
      <w:pPr>
        <w:pStyle w:val="21"/>
        <w:ind w:left="0" w:leftChars="0" w:firstLine="0" w:firstLineChars="0"/>
        <w:rPr>
          <w:rFonts w:hint="eastAsia" w:ascii="黑体" w:hAnsi="黑体" w:eastAsia="黑体" w:cs="黑体"/>
          <w:kern w:val="0"/>
          <w:sz w:val="32"/>
          <w:szCs w:val="32"/>
        </w:rPr>
      </w:pPr>
    </w:p>
    <w:p w14:paraId="5F755A53">
      <w:pPr>
        <w:pStyle w:val="21"/>
        <w:ind w:left="0" w:leftChars="0" w:firstLine="0" w:firstLineChars="0"/>
        <w:rPr>
          <w:rFonts w:hint="eastAsia" w:ascii="黑体" w:hAnsi="黑体" w:eastAsia="黑体" w:cs="黑体"/>
          <w:kern w:val="0"/>
          <w:sz w:val="32"/>
          <w:szCs w:val="32"/>
        </w:rPr>
      </w:pPr>
    </w:p>
    <w:p w14:paraId="78E1A6DF">
      <w:pPr>
        <w:pStyle w:val="21"/>
        <w:rPr>
          <w:rFonts w:hint="eastAsia" w:ascii="黑体" w:hAnsi="黑体" w:eastAsia="黑体" w:cs="黑体"/>
          <w:kern w:val="0"/>
          <w:sz w:val="32"/>
          <w:szCs w:val="32"/>
        </w:rPr>
      </w:pPr>
    </w:p>
    <w:p w14:paraId="127B8911">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黑体" w:hAnsi="黑体" w:eastAsia="黑体" w:cs="黑体"/>
          <w:b/>
          <w:bCs/>
          <w:kern w:val="0"/>
          <w:sz w:val="30"/>
          <w:szCs w:val="30"/>
          <w:lang w:eastAsia="zh-CN"/>
        </w:rPr>
      </w:pPr>
      <w:r>
        <w:rPr>
          <w:rFonts w:hint="eastAsia" w:ascii="黑体" w:hAnsi="黑体" w:eastAsia="黑体" w:cs="黑体"/>
          <w:b/>
          <w:bCs/>
          <w:kern w:val="0"/>
          <w:sz w:val="30"/>
          <w:szCs w:val="30"/>
          <w:lang w:val="en-US" w:eastAsia="zh-CN"/>
        </w:rPr>
        <w:t>采 购 人</w:t>
      </w:r>
      <w:r>
        <w:rPr>
          <w:rFonts w:hint="eastAsia" w:ascii="黑体" w:hAnsi="黑体" w:eastAsia="黑体" w:cs="黑体"/>
          <w:b/>
          <w:bCs/>
          <w:kern w:val="0"/>
          <w:sz w:val="30"/>
          <w:szCs w:val="30"/>
        </w:rPr>
        <w:t>：</w:t>
      </w:r>
      <w:r>
        <w:rPr>
          <w:rFonts w:hint="eastAsia" w:ascii="黑体" w:hAnsi="黑体" w:eastAsia="黑体" w:cs="黑体"/>
          <w:b/>
          <w:bCs/>
          <w:kern w:val="0"/>
          <w:sz w:val="30"/>
          <w:szCs w:val="30"/>
          <w:lang w:eastAsia="zh-CN"/>
        </w:rPr>
        <w:t>汉阴县第二高级中学</w:t>
      </w:r>
    </w:p>
    <w:p w14:paraId="3BBB5C01">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黑体" w:hAnsi="黑体" w:eastAsia="黑体" w:cs="黑体"/>
          <w:b/>
          <w:bCs/>
          <w:kern w:val="0"/>
          <w:sz w:val="30"/>
          <w:szCs w:val="30"/>
          <w:lang w:eastAsia="zh-CN"/>
        </w:rPr>
      </w:pPr>
    </w:p>
    <w:p w14:paraId="5DBF5591">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黑体" w:hAnsi="黑体" w:eastAsia="黑体" w:cs="黑体"/>
          <w:b/>
          <w:bCs/>
          <w:kern w:val="0"/>
          <w:sz w:val="30"/>
          <w:szCs w:val="30"/>
          <w:lang w:eastAsia="zh-CN"/>
        </w:rPr>
      </w:pPr>
      <w:r>
        <w:rPr>
          <w:rFonts w:hint="eastAsia" w:ascii="黑体" w:hAnsi="黑体" w:eastAsia="黑体" w:cs="黑体"/>
          <w:b/>
          <w:bCs/>
          <w:kern w:val="0"/>
          <w:sz w:val="30"/>
          <w:szCs w:val="30"/>
        </w:rPr>
        <w:t>代理机构：</w:t>
      </w:r>
      <w:r>
        <w:rPr>
          <w:rFonts w:hint="eastAsia" w:ascii="黑体" w:hAnsi="黑体" w:eastAsia="黑体" w:cs="黑体"/>
          <w:b/>
          <w:bCs/>
          <w:kern w:val="0"/>
          <w:sz w:val="30"/>
          <w:szCs w:val="30"/>
          <w:lang w:eastAsia="zh-CN"/>
        </w:rPr>
        <w:t xml:space="preserve"> 陕西博诚方圆项目管理有限公司</w:t>
      </w:r>
    </w:p>
    <w:p w14:paraId="729E5AF2">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黑体" w:hAnsi="黑体" w:eastAsia="黑体" w:cs="黑体"/>
          <w:b/>
          <w:bCs/>
          <w:kern w:val="0"/>
          <w:sz w:val="30"/>
          <w:szCs w:val="30"/>
          <w:lang w:eastAsia="zh-CN"/>
        </w:rPr>
      </w:pPr>
    </w:p>
    <w:p w14:paraId="19E4B7C4">
      <w:pPr>
        <w:keepNext w:val="0"/>
        <w:keepLines w:val="0"/>
        <w:pageBreakBefore w:val="0"/>
        <w:widowControl w:val="0"/>
        <w:kinsoku/>
        <w:wordWrap/>
        <w:overflowPunct/>
        <w:topLinePunct w:val="0"/>
        <w:autoSpaceDE/>
        <w:autoSpaceDN/>
        <w:bidi w:val="0"/>
        <w:adjustRightInd/>
        <w:snapToGrid/>
        <w:spacing w:before="115" w:line="240" w:lineRule="auto"/>
        <w:ind w:firstLine="1807" w:firstLineChars="600"/>
        <w:textAlignment w:val="auto"/>
        <w:rPr>
          <w:rFonts w:hint="eastAsia" w:ascii="黑体" w:hAnsi="黑体" w:eastAsia="黑体" w:cs="黑体"/>
          <w:sz w:val="30"/>
          <w:szCs w:val="30"/>
        </w:rPr>
        <w:sectPr>
          <w:headerReference r:id="rId3" w:type="default"/>
          <w:footerReference r:id="rId4" w:type="default"/>
          <w:pgSz w:w="11906" w:h="16839"/>
          <w:pgMar w:top="1440" w:right="1423" w:bottom="1440" w:left="1423" w:header="964" w:footer="958" w:gutter="0"/>
          <w:cols w:space="720" w:num="1"/>
        </w:sectPr>
      </w:pPr>
      <w:r>
        <w:rPr>
          <w:rFonts w:hint="eastAsia" w:ascii="黑体" w:hAnsi="黑体" w:eastAsia="黑体" w:cs="黑体"/>
          <w:b/>
          <w:bCs/>
          <w:kern w:val="0"/>
          <w:sz w:val="30"/>
          <w:szCs w:val="30"/>
        </w:rPr>
        <w:t>编制日期：20</w:t>
      </w:r>
      <w:r>
        <w:rPr>
          <w:rFonts w:hint="eastAsia" w:ascii="黑体" w:hAnsi="黑体" w:eastAsia="黑体" w:cs="黑体"/>
          <w:b/>
          <w:bCs/>
          <w:kern w:val="0"/>
          <w:sz w:val="30"/>
          <w:szCs w:val="30"/>
          <w:lang w:val="en-US" w:eastAsia="zh-CN"/>
        </w:rPr>
        <w:t>24</w:t>
      </w:r>
      <w:r>
        <w:rPr>
          <w:rFonts w:hint="eastAsia" w:ascii="黑体" w:hAnsi="黑体" w:eastAsia="黑体" w:cs="黑体"/>
          <w:b/>
          <w:bCs/>
          <w:kern w:val="0"/>
          <w:sz w:val="30"/>
          <w:szCs w:val="30"/>
        </w:rPr>
        <w:t>年</w:t>
      </w:r>
      <w:r>
        <w:rPr>
          <w:rFonts w:hint="eastAsia" w:ascii="黑体" w:hAnsi="黑体" w:eastAsia="黑体" w:cs="黑体"/>
          <w:b/>
          <w:bCs/>
          <w:kern w:val="0"/>
          <w:sz w:val="30"/>
          <w:szCs w:val="30"/>
          <w:lang w:val="en-US" w:eastAsia="zh-CN"/>
        </w:rPr>
        <w:t>09月</w:t>
      </w:r>
    </w:p>
    <w:p w14:paraId="6ADD6C57">
      <w:pPr>
        <w:keepNext w:val="0"/>
        <w:keepLines w:val="0"/>
        <w:pageBreakBefore w:val="0"/>
        <w:widowControl/>
        <w:kinsoku w:val="0"/>
        <w:wordWrap/>
        <w:overflowPunct/>
        <w:topLinePunct w:val="0"/>
        <w:autoSpaceDE w:val="0"/>
        <w:autoSpaceDN w:val="0"/>
        <w:bidi w:val="0"/>
        <w:adjustRightInd w:val="0"/>
        <w:snapToGrid w:val="0"/>
        <w:spacing w:before="276" w:line="480" w:lineRule="exact"/>
        <w:ind w:firstLine="843" w:firstLineChars="300"/>
        <w:textAlignment w:val="baseline"/>
        <w:outlineLvl w:val="9"/>
        <w:rPr>
          <w:rFonts w:hint="eastAsia" w:ascii="黑体" w:hAnsi="黑体" w:eastAsia="黑体" w:cs="黑体"/>
          <w:spacing w:val="0"/>
          <w:position w:val="0"/>
          <w:sz w:val="28"/>
          <w:szCs w:val="28"/>
        </w:rPr>
      </w:pPr>
      <w:r>
        <w:rPr>
          <w:rFonts w:hint="eastAsia" w:ascii="黑体" w:hAnsi="黑体" w:eastAsia="黑体" w:cs="黑体"/>
          <w:b/>
          <w:bCs/>
          <w:spacing w:val="0"/>
          <w:position w:val="0"/>
          <w:sz w:val="28"/>
          <w:szCs w:val="28"/>
        </w:rPr>
        <w:t>安康市公共资源交易平台全流程电子化政府采购项目特别提醒</w:t>
      </w:r>
    </w:p>
    <w:p w14:paraId="0E26EE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p>
    <w:p w14:paraId="4735F2B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1、关于需要特别提醒供应商的内容</w:t>
      </w:r>
    </w:p>
    <w:p w14:paraId="66CCA02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1.1、本项目采用电子化投标的方式，供应商须使用数字认证证书对电子投标文件进行签章、加密、递交及开标时解密等相关招投标事宜。如因供应商自身原因造成无法解密投标文件，按无效投标对待。</w:t>
      </w:r>
    </w:p>
    <w:p w14:paraId="3490763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1.2、因投标人 (含供应商、投标人、竞买人等) 自身问题， 电脑遭遇网络堵塞、病毒入侵、硬件故障或者数字证书遗失、遗忘等原因导致不能正常参与电子交易活动的，后果由投标人承担。</w:t>
      </w:r>
    </w:p>
    <w:p w14:paraId="7D30B7D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1.3、制作电子投标文件</w:t>
      </w:r>
    </w:p>
    <w:p w14:paraId="5D9051D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投标供应商须在“全国公共资源交易中心平台 (陕西省)  (http：//www.sxggzyjy.cn/) ”的“服务指南”栏目“下载专区”中，免费下载“陕西省公共资源交易平台政府采购电子标书制作工具”，并升级至最新版本，使用该客户端制作电子投标文件，制作扩展名为“.SXSTF”的电子投标文件。 ”</w:t>
      </w:r>
    </w:p>
    <w:p w14:paraId="65E493D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1.4、递交电子投标文件</w:t>
      </w:r>
    </w:p>
    <w:p w14:paraId="602CAD6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登录全国公共资源交易中心平台 (陕西省)  (http：//www.sxggzyjy.cn/) ，选择“电子交易平台—陕西政府采购交易系统—企业端”进行登录，登录后选择“交易乙方”身份进入，进入菜单“采购业务—我的项目——项目流程——上传响应文件” ，上传加密的电子投标文件。上传成功后， 电子化平台将予以记录。</w:t>
      </w:r>
    </w:p>
    <w:p w14:paraId="2586939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2、关于购买采购文件</w:t>
      </w:r>
    </w:p>
    <w:p w14:paraId="3583AD4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2.1、购买须知：使用捆绑省交易平台的CA 锁登录电子交易平台，通过政府采购系统企业端进入，点击我要投标，完善相关投标信息；</w:t>
      </w:r>
    </w:p>
    <w:p w14:paraId="40F169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2.2</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未完成网上投标成功或未在规定时间内在平台上下载文件的，无法完成后续流程；</w:t>
      </w:r>
    </w:p>
    <w:p w14:paraId="6A6F4EF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2.</w:t>
      </w:r>
      <w:r>
        <w:rPr>
          <w:rFonts w:hint="eastAsia" w:ascii="黑体" w:hAnsi="黑体" w:eastAsia="黑体" w:cs="黑体"/>
          <w:spacing w:val="0"/>
          <w:position w:val="0"/>
          <w:sz w:val="24"/>
          <w:szCs w:val="24"/>
          <w:lang w:val="en-US" w:eastAsia="zh-CN"/>
        </w:rPr>
        <w:t>3、</w:t>
      </w:r>
      <w:r>
        <w:rPr>
          <w:rFonts w:hint="eastAsia" w:ascii="黑体" w:hAnsi="黑体" w:eastAsia="黑体" w:cs="黑体"/>
          <w:spacing w:val="0"/>
          <w:position w:val="0"/>
          <w:sz w:val="24"/>
          <w:szCs w:val="24"/>
        </w:rPr>
        <w:t>本项目采用电子化投标的方式 (落实无纸化交易，无需提供纸质版文件)相关操作流程详见全国公共资源交易平台 (陕西省) 网站[服务指南-下载专区]中的《陕西省公共资源交易中心政府采购项目投标指南》；</w:t>
      </w:r>
    </w:p>
    <w:p w14:paraId="66A569C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2.</w:t>
      </w:r>
      <w:r>
        <w:rPr>
          <w:rFonts w:hint="eastAsia" w:ascii="黑体" w:hAnsi="黑体" w:eastAsia="黑体" w:cs="黑体"/>
          <w:spacing w:val="0"/>
          <w:position w:val="0"/>
          <w:sz w:val="24"/>
          <w:szCs w:val="24"/>
          <w:lang w:val="en-US" w:eastAsia="zh-CN"/>
        </w:rPr>
        <w:t>4</w:t>
      </w:r>
      <w:r>
        <w:rPr>
          <w:rFonts w:hint="eastAsia" w:ascii="黑体" w:hAnsi="黑体" w:eastAsia="黑体" w:cs="黑体"/>
          <w:spacing w:val="0"/>
          <w:position w:val="0"/>
          <w:sz w:val="24"/>
          <w:szCs w:val="24"/>
        </w:rPr>
        <w:t>、电子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技术支持：4009280095、4009980000。</w:t>
      </w:r>
    </w:p>
    <w:p w14:paraId="66AA97B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3、关于文件的制作和签名</w:t>
      </w:r>
    </w:p>
    <w:p w14:paraId="431A9DB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3.1、为确保采购项目顺利开展，本项目采用电子化投标的方式</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落实无纸化交易无需提供纸质版文</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w:t>
      </w:r>
    </w:p>
    <w:p w14:paraId="2676F9F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3.2、编制电子投标文件时，应使用最新发布的电子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及专用制作工具进行编制。并使用数字认证证书 (CA) 对电子投标文件进行签署、加密、递交及开标时解密等相关操作。</w:t>
      </w:r>
    </w:p>
    <w:p w14:paraId="63ED12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3.2.1</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 xml:space="preserve"> 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下载</w:t>
      </w:r>
    </w:p>
    <w:p w14:paraId="3354D4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lang w:eastAsia="zh-CN"/>
        </w:rPr>
      </w:pPr>
      <w:r>
        <w:rPr>
          <w:rFonts w:hint="eastAsia" w:ascii="黑体" w:hAnsi="黑体" w:eastAsia="黑体" w:cs="黑体"/>
          <w:spacing w:val="0"/>
          <w:position w:val="0"/>
          <w:sz w:val="24"/>
          <w:szCs w:val="24"/>
        </w:rPr>
        <w:t>供应商登录全国公共资源交易平台(陕西省) 网站[电子交易平台-企业端]后，在[我的项目]中点击“项目流程-交易文件下载”下载电子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 xml:space="preserve"> (*.SXSZF) </w:t>
      </w:r>
      <w:r>
        <w:rPr>
          <w:rFonts w:hint="eastAsia" w:ascii="黑体" w:hAnsi="黑体" w:eastAsia="黑体" w:cs="黑体"/>
          <w:spacing w:val="0"/>
          <w:position w:val="0"/>
          <w:sz w:val="24"/>
          <w:szCs w:val="24"/>
          <w:lang w:eastAsia="zh-CN"/>
        </w:rPr>
        <w:t>；</w:t>
      </w:r>
    </w:p>
    <w:p w14:paraId="5C0083D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注意：该项目如有变更文件，则应点击“项目流程&gt;答疑文件下载”下载更新后的电子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(*.SXSCF)， 使用旧版电子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制作的电子投标文件，系统将拒绝接收。</w:t>
      </w:r>
    </w:p>
    <w:p w14:paraId="567A717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3.2.2</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 xml:space="preserve"> 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需要使用专用软件打开、浏览</w:t>
      </w:r>
    </w:p>
    <w:p w14:paraId="19CD41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供应商登录全国公共资源交易平台 (陕西省) 网站[服务指南-下载专区]免费下载《陕西省公共资源交易平台政府采购电子标书制作工具(V8.0.0.47)》，下载网址：http：</w:t>
      </w:r>
    </w:p>
    <w:p w14:paraId="64E265E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//www.sxggzyjy.cn/fwzn/004003/20180827/c8c8fb15-a7cc-4011-a244-806289d7cf3b.html，并升级至最 新版本，使用该客户端可以打开电子</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。软件操作手册详见全国公共资源交易平台(陕西省) 网站[服务指南-下载专区]中的《陕西省公共资源交易 (政府采购类) 投标文件制作软件操作手册》，下载网址： http：//www.sxggzyjy.cn/fwzn/004003/20170821/c3afa05b-f5e6-4e64-9fb0-e397ef73413d.html；</w:t>
      </w:r>
    </w:p>
    <w:p w14:paraId="1DBE2B0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3.2.3</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 xml:space="preserve"> 制作电子投标文件</w:t>
      </w:r>
    </w:p>
    <w:p w14:paraId="09470E8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电子投标文件同样需要使用上述软件进行编制。在编制过程中，如有技术性问题请先翻阅操作手册或致电软件开发商，技术支持热线：4009280095、4009980000。</w:t>
      </w:r>
    </w:p>
    <w:p w14:paraId="33593AB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 xml:space="preserve">关于响应文件递交与解密 </w:t>
      </w:r>
    </w:p>
    <w:p w14:paraId="2AB651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200" w:right="0" w:rightChars="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4.1</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文件递交</w:t>
      </w:r>
    </w:p>
    <w:p w14:paraId="74EBC64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4.1.1 电子投标文件可于提交投标文件截止时间前任意时段登录全国公共资源交易平台 (陕西省) 网站 [电子交易平台-企业端]进行提交，逾期系统将拒绝接收。提交时，供应商应登录全国公共资源交易中心平台 (陕西省) ，选择[“首页&gt;电子交易平台&gt;企业端&gt;我的项目” ，点击[项目流程]，在打开的[项目管理] 对话框中选择[上传响应文件]，上传加密的电子投标文件 (*.SXSTF) ，上传成功后，电子化平台将予以记录。</w:t>
      </w:r>
    </w:p>
    <w:p w14:paraId="623A759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4.2</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文件开启与解密</w:t>
      </w:r>
    </w:p>
    <w:p w14:paraId="75FA58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4.2.1 开标时，供应商须使用电子投标文件加密时所用的数字认证证书 (CA 锁) 自行解密电子投标文件。涉及到二次报价的，</w:t>
      </w:r>
      <w:r>
        <w:rPr>
          <w:rFonts w:hint="eastAsia" w:ascii="黑体" w:hAnsi="黑体" w:eastAsia="黑体" w:cs="黑体"/>
          <w:spacing w:val="0"/>
          <w:position w:val="0"/>
          <w:sz w:val="24"/>
          <w:szCs w:val="24"/>
          <w:lang w:val="en-US" w:eastAsia="zh-CN"/>
        </w:rPr>
        <w:t>需</w:t>
      </w:r>
      <w:r>
        <w:rPr>
          <w:rFonts w:hint="eastAsia" w:ascii="黑体" w:hAnsi="黑体" w:eastAsia="黑体" w:cs="黑体"/>
          <w:spacing w:val="0"/>
          <w:position w:val="0"/>
          <w:sz w:val="24"/>
          <w:szCs w:val="24"/>
        </w:rPr>
        <w:t>主锁报价，只有主锁才有签章功能，二次报价才能完成。</w:t>
      </w:r>
    </w:p>
    <w:p w14:paraId="33F18E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4.2.2 电子开标失败时，由于投标人 (含供应商、投标人、竞买人等) 自身问题，电脑遭遇网络堵塞、病毒入侵、硬件故障或者数字证书遗失、遗忘等原因导致不能正常参与电子交易活动的，后果由投标人承担。</w:t>
      </w:r>
    </w:p>
    <w:p w14:paraId="3CD7403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 xml:space="preserve">4.2.3 </w:t>
      </w:r>
      <w:r>
        <w:rPr>
          <w:rFonts w:hint="eastAsia" w:ascii="黑体" w:hAnsi="黑体" w:eastAsia="黑体" w:cs="黑体"/>
          <w:spacing w:val="0"/>
          <w:position w:val="0"/>
          <w:sz w:val="24"/>
          <w:szCs w:val="24"/>
          <w:lang w:eastAsia="zh-CN"/>
        </w:rPr>
        <w:t>、</w:t>
      </w:r>
      <w:r>
        <w:rPr>
          <w:rFonts w:hint="eastAsia" w:ascii="黑体" w:hAnsi="黑体" w:eastAsia="黑体" w:cs="黑体"/>
          <w:spacing w:val="0"/>
          <w:position w:val="0"/>
          <w:sz w:val="24"/>
          <w:szCs w:val="24"/>
        </w:rPr>
        <w:t>在开标环节出现下列情况之一的，其电子投标文件视为无效文件：</w:t>
      </w:r>
    </w:p>
    <w:p w14:paraId="257774E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a.供应商拒绝对电子投标文件进行解密的；</w:t>
      </w:r>
    </w:p>
    <w:p w14:paraId="55E5BF0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b.因供应商自身原因 (如未带CA 锁、或所带CA 锁与制作电子投标文件使用的CA 锁不一致、或沿用旧版</w:t>
      </w:r>
      <w:r>
        <w:rPr>
          <w:rFonts w:hint="eastAsia" w:ascii="黑体" w:hAnsi="黑体" w:eastAsia="黑体" w:cs="黑体"/>
          <w:spacing w:val="0"/>
          <w:position w:val="0"/>
          <w:sz w:val="24"/>
          <w:szCs w:val="24"/>
          <w:lang w:eastAsia="zh-CN"/>
        </w:rPr>
        <w:t>磋商文件</w:t>
      </w:r>
      <w:r>
        <w:rPr>
          <w:rFonts w:hint="eastAsia" w:ascii="黑体" w:hAnsi="黑体" w:eastAsia="黑体" w:cs="黑体"/>
          <w:spacing w:val="0"/>
          <w:position w:val="0"/>
          <w:sz w:val="24"/>
          <w:szCs w:val="24"/>
        </w:rPr>
        <w:t>编制投标文件等情形) ，导致在规定时间内无法解密投标文件的；</w:t>
      </w:r>
    </w:p>
    <w:p w14:paraId="708F774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c.上传的电子投标文件无法打开的；</w:t>
      </w:r>
    </w:p>
    <w:p w14:paraId="35B3ACA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d.政府采购法律法规规定的其他无效情形。</w:t>
      </w:r>
    </w:p>
    <w:p w14:paraId="02D80579">
      <w:pPr>
        <w:ind w:firstLine="2108" w:firstLineChars="750"/>
        <w:jc w:val="left"/>
        <w:rPr>
          <w:rFonts w:hint="eastAsia" w:ascii="黑体" w:hAnsi="黑体" w:eastAsia="黑体" w:cs="黑体"/>
          <w:b/>
          <w:color w:val="000000"/>
          <w:sz w:val="28"/>
          <w:szCs w:val="28"/>
        </w:rPr>
        <w:sectPr>
          <w:footerReference r:id="rId5" w:type="default"/>
          <w:pgSz w:w="11906" w:h="16838"/>
          <w:pgMar w:top="1418" w:right="1418" w:bottom="1418" w:left="1418" w:header="851" w:footer="992" w:gutter="0"/>
          <w:pgNumType w:fmt="decimal" w:start="1"/>
          <w:cols w:space="720" w:num="1"/>
          <w:docGrid w:linePitch="312" w:charSpace="0"/>
        </w:sectPr>
      </w:pPr>
    </w:p>
    <w:p w14:paraId="6E5C1AD5">
      <w:pPr>
        <w:jc w:val="left"/>
        <w:rPr>
          <w:rFonts w:hint="eastAsia" w:ascii="黑体" w:hAnsi="黑体" w:eastAsia="黑体" w:cs="黑体"/>
          <w:color w:val="000000"/>
          <w:sz w:val="24"/>
          <w:szCs w:val="24"/>
        </w:rPr>
      </w:pPr>
    </w:p>
    <w:p w14:paraId="2FC7AAEA">
      <w:pPr>
        <w:jc w:val="center"/>
        <w:rPr>
          <w:rFonts w:hint="eastAsia" w:ascii="黑体" w:hAnsi="黑体" w:eastAsia="黑体" w:cs="黑体"/>
          <w:kern w:val="44"/>
          <w:sz w:val="32"/>
          <w:szCs w:val="32"/>
        </w:rPr>
      </w:pPr>
      <w:r>
        <w:rPr>
          <w:rFonts w:hint="eastAsia" w:ascii="黑体" w:hAnsi="黑体" w:eastAsia="黑体" w:cs="黑体"/>
          <w:b/>
          <w:bCs/>
          <w:color w:val="000000"/>
          <w:sz w:val="40"/>
          <w:szCs w:val="40"/>
        </w:rPr>
        <w:t>目  录</w:t>
      </w:r>
    </w:p>
    <w:p w14:paraId="4FA713C5">
      <w:pPr>
        <w:spacing w:before="0" w:beforeLines="0" w:after="0" w:afterLines="0" w:line="240" w:lineRule="auto"/>
        <w:ind w:left="0" w:leftChars="0" w:right="0" w:rightChars="0" w:firstLine="0" w:firstLineChars="0"/>
        <w:jc w:val="center"/>
        <w:rPr>
          <w:rFonts w:hint="eastAsia" w:ascii="黑体" w:hAnsi="黑体" w:eastAsia="黑体" w:cs="黑体"/>
          <w:sz w:val="20"/>
          <w:szCs w:val="22"/>
        </w:rPr>
      </w:pPr>
    </w:p>
    <w:p w14:paraId="4BA1460E">
      <w:pPr>
        <w:pStyle w:val="98"/>
        <w:tabs>
          <w:tab w:val="right" w:leader="dot" w:pos="9015"/>
        </w:tabs>
        <w:spacing w:line="480" w:lineRule="auto"/>
        <w:rPr>
          <w:rFonts w:hint="eastAsia" w:ascii="黑体" w:hAnsi="黑体" w:eastAsia="黑体" w:cs="黑体"/>
          <w:b/>
          <w:bCs/>
          <w:sz w:val="28"/>
          <w:szCs w:val="28"/>
        </w:rPr>
      </w:pPr>
      <w:r>
        <w:rPr>
          <w:rFonts w:hint="eastAsia" w:ascii="黑体" w:hAnsi="黑体" w:eastAsia="黑体" w:cs="黑体"/>
          <w:sz w:val="18"/>
          <w:szCs w:val="18"/>
        </w:rPr>
        <w:fldChar w:fldCharType="begin"/>
      </w:r>
      <w:r>
        <w:rPr>
          <w:rFonts w:hint="eastAsia" w:ascii="黑体" w:hAnsi="黑体" w:eastAsia="黑体" w:cs="黑体"/>
          <w:sz w:val="18"/>
          <w:szCs w:val="18"/>
        </w:rPr>
        <w:instrText xml:space="preserve">TOC \o "1-1" \h \u </w:instrText>
      </w:r>
      <w:r>
        <w:rPr>
          <w:rFonts w:hint="eastAsia" w:ascii="黑体" w:hAnsi="黑体" w:eastAsia="黑体" w:cs="黑体"/>
          <w:sz w:val="18"/>
          <w:szCs w:val="18"/>
        </w:rPr>
        <w:fldChar w:fldCharType="separate"/>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_Toc26940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lang w:val="en-US" w:eastAsia="zh-CN"/>
        </w:rPr>
        <w:t>第一章  招标公告</w:t>
      </w:r>
      <w:r>
        <w:rPr>
          <w:rFonts w:hint="eastAsia" w:ascii="黑体" w:hAnsi="黑体" w:eastAsia="黑体" w:cs="黑体"/>
          <w:b/>
          <w:bCs/>
          <w:sz w:val="28"/>
          <w:szCs w:val="28"/>
        </w:rPr>
        <w:tab/>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fldChar w:fldCharType="end"/>
      </w:r>
    </w:p>
    <w:p w14:paraId="0B0330CB">
      <w:pPr>
        <w:pStyle w:val="98"/>
        <w:tabs>
          <w:tab w:val="right" w:leader="dot" w:pos="9015"/>
        </w:tabs>
        <w:spacing w:line="480" w:lineRule="auto"/>
        <w:rPr>
          <w:rFonts w:hint="eastAsia" w:ascii="黑体" w:hAnsi="黑体" w:eastAsia="黑体" w:cs="黑体"/>
          <w:b/>
          <w:bCs/>
          <w:sz w:val="28"/>
          <w:szCs w:val="28"/>
        </w:rPr>
      </w:pP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_Toc17938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 xml:space="preserve">第二章  </w:t>
      </w:r>
      <w:r>
        <w:rPr>
          <w:rFonts w:hint="eastAsia" w:ascii="黑体" w:hAnsi="黑体" w:eastAsia="黑体" w:cs="黑体"/>
          <w:b/>
          <w:bCs/>
          <w:sz w:val="28"/>
          <w:szCs w:val="28"/>
          <w:lang w:eastAsia="zh-CN"/>
        </w:rPr>
        <w:t>投标人</w:t>
      </w:r>
      <w:r>
        <w:rPr>
          <w:rFonts w:hint="eastAsia" w:ascii="黑体" w:hAnsi="黑体" w:eastAsia="黑体" w:cs="黑体"/>
          <w:b/>
          <w:bCs/>
          <w:sz w:val="28"/>
          <w:szCs w:val="28"/>
        </w:rPr>
        <w:t>须知</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_Toc17938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7</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2EAB2E87">
      <w:pPr>
        <w:pStyle w:val="98"/>
        <w:tabs>
          <w:tab w:val="right" w:leader="dot" w:pos="9015"/>
        </w:tabs>
        <w:spacing w:line="480" w:lineRule="auto"/>
        <w:rPr>
          <w:rFonts w:hint="eastAsia" w:ascii="黑体" w:hAnsi="黑体" w:eastAsia="黑体" w:cs="黑体"/>
          <w:b/>
          <w:bCs/>
          <w:sz w:val="28"/>
          <w:szCs w:val="28"/>
        </w:rPr>
      </w:pP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_Toc24583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第三章  招标内容及要求</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_Toc24583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35</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3FD9E0B2">
      <w:pPr>
        <w:pStyle w:val="98"/>
        <w:tabs>
          <w:tab w:val="right" w:leader="dot" w:pos="9015"/>
        </w:tabs>
        <w:spacing w:line="480" w:lineRule="auto"/>
        <w:rPr>
          <w:rFonts w:hint="eastAsia" w:ascii="黑体" w:hAnsi="黑体" w:eastAsia="黑体" w:cs="黑体"/>
          <w:b/>
          <w:bCs/>
          <w:sz w:val="28"/>
          <w:szCs w:val="28"/>
        </w:rPr>
      </w:pP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_Toc18150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第四章  合同文本</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_Toc18150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38</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7E88E2AA">
      <w:pPr>
        <w:pStyle w:val="98"/>
        <w:tabs>
          <w:tab w:val="right" w:leader="dot" w:pos="9015"/>
        </w:tabs>
        <w:spacing w:line="480" w:lineRule="auto"/>
        <w:rPr>
          <w:rFonts w:hint="eastAsia" w:ascii="黑体" w:hAnsi="黑体" w:eastAsia="黑体" w:cs="黑体"/>
          <w:sz w:val="18"/>
          <w:szCs w:val="18"/>
        </w:rPr>
      </w:pP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HYPERLINK \l _Toc11312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lang w:val="en-US" w:eastAsia="zh-CN"/>
        </w:rPr>
        <w:t>第五章</w:t>
      </w:r>
      <w:r>
        <w:rPr>
          <w:rFonts w:hint="eastAsia" w:ascii="黑体" w:hAnsi="黑体" w:eastAsia="黑体" w:cs="黑体"/>
          <w:b/>
          <w:bCs/>
          <w:sz w:val="28"/>
          <w:szCs w:val="28"/>
        </w:rPr>
        <w:t xml:space="preserve"> </w:t>
      </w: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投标文件构成及格式</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_Toc11312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46</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14:paraId="4E11E873">
      <w:pPr>
        <w:pStyle w:val="98"/>
        <w:tabs>
          <w:tab w:val="right" w:leader="dot" w:pos="9015"/>
        </w:tabs>
        <w:rPr>
          <w:rFonts w:hint="eastAsia" w:ascii="黑体" w:hAnsi="黑体" w:eastAsia="黑体" w:cs="黑体"/>
          <w:sz w:val="18"/>
          <w:szCs w:val="18"/>
        </w:rPr>
      </w:pPr>
    </w:p>
    <w:p w14:paraId="34816FE1">
      <w:pPr>
        <w:rPr>
          <w:rFonts w:hint="eastAsia" w:ascii="黑体" w:hAnsi="黑体" w:eastAsia="黑体" w:cs="黑体"/>
        </w:rPr>
        <w:sectPr>
          <w:headerReference r:id="rId6" w:type="default"/>
          <w:footerReference r:id="rId7" w:type="default"/>
          <w:pgSz w:w="11849" w:h="16781"/>
          <w:pgMar w:top="1417" w:right="1417" w:bottom="1417" w:left="1417" w:header="850" w:footer="850" w:gutter="0"/>
          <w:pgNumType w:fmt="decimal"/>
          <w:cols w:space="720" w:num="1"/>
          <w:docGrid w:linePitch="312" w:charSpace="0"/>
        </w:sectPr>
      </w:pPr>
      <w:r>
        <w:rPr>
          <w:rFonts w:hint="eastAsia" w:ascii="黑体" w:hAnsi="黑体" w:eastAsia="黑体" w:cs="黑体"/>
          <w:sz w:val="20"/>
          <w:szCs w:val="22"/>
        </w:rPr>
        <w:fldChar w:fldCharType="end"/>
      </w:r>
    </w:p>
    <w:p w14:paraId="359F5F6B">
      <w:pPr>
        <w:pStyle w:val="3"/>
        <w:numPr>
          <w:ilvl w:val="0"/>
          <w:numId w:val="4"/>
        </w:numPr>
        <w:bidi w:val="0"/>
        <w:spacing w:line="24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招标公告</w:t>
      </w:r>
    </w:p>
    <w:p w14:paraId="032C50B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baseline"/>
        <w:rPr>
          <w:rFonts w:hint="eastAsia" w:ascii="黑体" w:hAnsi="黑体" w:eastAsia="黑体" w:cs="黑体"/>
          <w:b/>
          <w:bCs/>
          <w:i w:val="0"/>
          <w:iCs w:val="0"/>
          <w:caps w:val="0"/>
          <w:color w:val="auto"/>
          <w:spacing w:val="0"/>
          <w:sz w:val="24"/>
          <w:szCs w:val="24"/>
          <w:highlight w:val="none"/>
          <w:shd w:val="clear" w:color="auto" w:fill="FFFFFF"/>
          <w:vertAlign w:val="baseline"/>
        </w:rPr>
      </w:pPr>
      <w:r>
        <w:rPr>
          <w:rFonts w:hint="eastAsia" w:ascii="黑体" w:hAnsi="黑体" w:eastAsia="黑体" w:cs="黑体"/>
          <w:b/>
          <w:bCs/>
          <w:i w:val="0"/>
          <w:iCs w:val="0"/>
          <w:caps w:val="0"/>
          <w:color w:val="auto"/>
          <w:spacing w:val="0"/>
          <w:sz w:val="24"/>
          <w:szCs w:val="24"/>
          <w:highlight w:val="none"/>
          <w:shd w:val="clear" w:color="auto" w:fill="FFFFFF"/>
          <w:vertAlign w:val="baseline"/>
        </w:rPr>
        <w:t>项目概况</w:t>
      </w:r>
    </w:p>
    <w:p w14:paraId="18B261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baseline"/>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汉阴县第二高级中学食堂食材配送及食堂劳务采购项目（二次）</w:t>
      </w:r>
      <w:r>
        <w:rPr>
          <w:rFonts w:hint="eastAsia" w:ascii="黑体" w:hAnsi="黑体" w:eastAsia="黑体" w:cs="黑体"/>
          <w:i w:val="0"/>
          <w:iCs w:val="0"/>
          <w:caps w:val="0"/>
          <w:color w:val="auto"/>
          <w:spacing w:val="0"/>
          <w:sz w:val="24"/>
          <w:szCs w:val="24"/>
          <w:highlight w:val="none"/>
          <w:shd w:val="clear" w:color="auto" w:fill="FFFFFF"/>
          <w:vertAlign w:val="baseline"/>
        </w:rPr>
        <w:t>的潜在</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 xml:space="preserve">供应商应在全国公共资源交易平台（陕西省安康市）网站〖首页〉电子交易平台〉陕西政府采购交易系统〉企业端〗获取采购文件，并于 2024 年 </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09</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 xml:space="preserve"> 月 </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25</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 xml:space="preserve">日 </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14</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 xml:space="preserve">时 </w:t>
      </w:r>
      <w:r>
        <w:rPr>
          <w:rFonts w:hint="eastAsia" w:ascii="黑体" w:hAnsi="黑体" w:eastAsia="黑体" w:cs="黑体"/>
          <w:i w:val="0"/>
          <w:iCs w:val="0"/>
          <w:caps w:val="0"/>
          <w:color w:val="auto"/>
          <w:spacing w:val="0"/>
          <w:sz w:val="24"/>
          <w:szCs w:val="24"/>
          <w:highlight w:val="none"/>
          <w:shd w:val="clear" w:color="auto" w:fill="FFFFFF"/>
          <w:vertAlign w:val="baseline"/>
          <w:lang w:val="en-US" w:eastAsia="zh-CN"/>
        </w:rPr>
        <w:t>00</w:t>
      </w:r>
      <w:r>
        <w:rPr>
          <w:rFonts w:hint="eastAsia" w:ascii="黑体" w:hAnsi="黑体" w:eastAsia="黑体" w:cs="黑体"/>
          <w:i w:val="0"/>
          <w:iCs w:val="0"/>
          <w:caps w:val="0"/>
          <w:color w:val="auto"/>
          <w:spacing w:val="0"/>
          <w:sz w:val="24"/>
          <w:szCs w:val="24"/>
          <w:highlight w:val="none"/>
          <w:shd w:val="clear" w:color="auto" w:fill="FFFFFF"/>
          <w:vertAlign w:val="baseline"/>
          <w:lang w:eastAsia="zh-CN"/>
        </w:rPr>
        <w:t xml:space="preserve"> 分 （北京时间）前提交响应文件。</w:t>
      </w:r>
    </w:p>
    <w:p w14:paraId="612F1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0" w:beforeAutospacing="0" w:after="0" w:afterAutospacing="0" w:line="480" w:lineRule="exact"/>
        <w:ind w:right="0"/>
        <w:jc w:val="left"/>
        <w:textAlignment w:val="auto"/>
        <w:outlineLvl w:val="1"/>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一、项目基本情况</w:t>
      </w:r>
    </w:p>
    <w:p w14:paraId="29C6268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项目编号：BCFY-2024(011)</w:t>
      </w:r>
    </w:p>
    <w:p w14:paraId="37A063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项目名称：汉阴县第二高级中学食堂食材配送及食堂劳务采购项目（二次）</w:t>
      </w:r>
    </w:p>
    <w:p w14:paraId="49A9DBC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采购方式：公开招标</w:t>
      </w:r>
    </w:p>
    <w:p w14:paraId="2F7FD9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预算金额：577,791.04元</w:t>
      </w:r>
    </w:p>
    <w:p w14:paraId="5AEC85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采购需求：</w:t>
      </w:r>
    </w:p>
    <w:p w14:paraId="7C3A99D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合同包1(食堂劳务服务购买（二次）)：</w:t>
      </w:r>
    </w:p>
    <w:p w14:paraId="3154C47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合同包预算金额：577,791.04元</w:t>
      </w:r>
    </w:p>
    <w:p w14:paraId="274309B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auto"/>
        <w:rPr>
          <w:rFonts w:hint="eastAsia" w:ascii="黑体" w:hAnsi="黑体" w:eastAsia="黑体" w:cs="黑体"/>
          <w:color w:val="auto"/>
          <w:highlight w:val="none"/>
          <w:lang w:val="en-US" w:eastAsia="zh-CN"/>
        </w:rPr>
      </w:pPr>
      <w:r>
        <w:rPr>
          <w:rFonts w:hint="eastAsia" w:ascii="黑体" w:hAnsi="黑体" w:eastAsia="黑体" w:cs="黑体"/>
          <w:b w:val="0"/>
          <w:bCs w:val="0"/>
          <w:color w:val="auto"/>
          <w:kern w:val="2"/>
          <w:sz w:val="24"/>
          <w:szCs w:val="32"/>
          <w:highlight w:val="none"/>
          <w:lang w:val="en-US" w:eastAsia="zh-CN" w:bidi="ar-SA"/>
        </w:rPr>
        <w:t>合同包最高限价：577,791.04元</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14"/>
        <w:gridCol w:w="1326"/>
        <w:gridCol w:w="1303"/>
        <w:gridCol w:w="1457"/>
        <w:gridCol w:w="1505"/>
        <w:gridCol w:w="1505"/>
      </w:tblGrid>
      <w:tr w14:paraId="0C71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60" w:type="dxa"/>
            <w:noWrap w:val="0"/>
            <w:vAlign w:val="center"/>
          </w:tcPr>
          <w:p w14:paraId="71691E21">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品目号</w:t>
            </w:r>
          </w:p>
        </w:tc>
        <w:tc>
          <w:tcPr>
            <w:tcW w:w="1384" w:type="dxa"/>
            <w:noWrap w:val="0"/>
            <w:vAlign w:val="center"/>
          </w:tcPr>
          <w:p w14:paraId="1C85DDF0">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品目</w:t>
            </w:r>
          </w:p>
          <w:p w14:paraId="65ABE1E2">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名称</w:t>
            </w:r>
          </w:p>
        </w:tc>
        <w:tc>
          <w:tcPr>
            <w:tcW w:w="1530" w:type="dxa"/>
            <w:noWrap w:val="0"/>
            <w:vAlign w:val="center"/>
          </w:tcPr>
          <w:p w14:paraId="1545C02A">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采购</w:t>
            </w:r>
          </w:p>
          <w:p w14:paraId="3511FEA1">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标的</w:t>
            </w:r>
          </w:p>
        </w:tc>
        <w:tc>
          <w:tcPr>
            <w:tcW w:w="1324" w:type="dxa"/>
            <w:noWrap w:val="0"/>
            <w:vAlign w:val="center"/>
          </w:tcPr>
          <w:p w14:paraId="32B3D7CC">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数量</w:t>
            </w:r>
          </w:p>
          <w:p w14:paraId="13B0EC8E">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（单位）</w:t>
            </w:r>
          </w:p>
        </w:tc>
        <w:tc>
          <w:tcPr>
            <w:tcW w:w="1692" w:type="dxa"/>
            <w:noWrap w:val="0"/>
            <w:vAlign w:val="center"/>
          </w:tcPr>
          <w:p w14:paraId="6BCBB1DD">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技术规格、参数及要求</w:t>
            </w:r>
          </w:p>
        </w:tc>
        <w:tc>
          <w:tcPr>
            <w:tcW w:w="1533" w:type="dxa"/>
            <w:noWrap w:val="0"/>
            <w:vAlign w:val="center"/>
          </w:tcPr>
          <w:p w14:paraId="7048EDA2">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品目预算(元)</w:t>
            </w:r>
          </w:p>
        </w:tc>
        <w:tc>
          <w:tcPr>
            <w:tcW w:w="1533" w:type="dxa"/>
            <w:noWrap w:val="0"/>
            <w:vAlign w:val="center"/>
          </w:tcPr>
          <w:p w14:paraId="31837A3E">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最高限价(元)</w:t>
            </w:r>
          </w:p>
        </w:tc>
      </w:tr>
      <w:tr w14:paraId="79B7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0" w:type="dxa"/>
            <w:noWrap w:val="0"/>
            <w:vAlign w:val="center"/>
          </w:tcPr>
          <w:p w14:paraId="0AB330D5">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1-1</w:t>
            </w:r>
          </w:p>
        </w:tc>
        <w:tc>
          <w:tcPr>
            <w:tcW w:w="1384" w:type="dxa"/>
            <w:noWrap w:val="0"/>
            <w:vAlign w:val="center"/>
          </w:tcPr>
          <w:p w14:paraId="7DFDC1E5">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其他服务</w:t>
            </w:r>
          </w:p>
        </w:tc>
        <w:tc>
          <w:tcPr>
            <w:tcW w:w="1530" w:type="dxa"/>
            <w:noWrap w:val="0"/>
            <w:vAlign w:val="center"/>
          </w:tcPr>
          <w:p w14:paraId="3A7E8BBD">
            <w:pPr>
              <w:keepNext w:val="0"/>
              <w:keepLines w:val="0"/>
              <w:pageBreakBefore w:val="0"/>
              <w:kinsoku/>
              <w:wordWrap/>
              <w:overflowPunct/>
              <w:topLinePunct w:val="0"/>
              <w:autoSpaceDE/>
              <w:autoSpaceDN/>
              <w:bidi w:val="0"/>
              <w:adjustRightInd/>
              <w:snapToGrid/>
              <w:spacing w:line="480" w:lineRule="exact"/>
              <w:jc w:val="left"/>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食堂劳务服务购买</w:t>
            </w:r>
          </w:p>
        </w:tc>
        <w:tc>
          <w:tcPr>
            <w:tcW w:w="1324" w:type="dxa"/>
            <w:noWrap w:val="0"/>
            <w:vAlign w:val="center"/>
          </w:tcPr>
          <w:p w14:paraId="478855EF">
            <w:pPr>
              <w:keepNext w:val="0"/>
              <w:keepLines w:val="0"/>
              <w:pageBreakBefore w:val="0"/>
              <w:kinsoku/>
              <w:wordWrap/>
              <w:overflowPunct/>
              <w:topLinePunct w:val="0"/>
              <w:autoSpaceDE/>
              <w:autoSpaceDN/>
              <w:bidi w:val="0"/>
              <w:adjustRightInd/>
              <w:snapToGrid/>
              <w:spacing w:line="480" w:lineRule="exact"/>
              <w:ind w:firstLine="480" w:firstLineChars="200"/>
              <w:jc w:val="center"/>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1(项)</w:t>
            </w:r>
          </w:p>
        </w:tc>
        <w:tc>
          <w:tcPr>
            <w:tcW w:w="1692" w:type="dxa"/>
            <w:noWrap w:val="0"/>
            <w:vAlign w:val="center"/>
          </w:tcPr>
          <w:p w14:paraId="3E732459">
            <w:pPr>
              <w:keepNext w:val="0"/>
              <w:keepLines w:val="0"/>
              <w:pageBreakBefore w:val="0"/>
              <w:kinsoku/>
              <w:wordWrap/>
              <w:overflowPunct/>
              <w:topLinePunct w:val="0"/>
              <w:autoSpaceDE/>
              <w:autoSpaceDN/>
              <w:bidi w:val="0"/>
              <w:adjustRightInd/>
              <w:snapToGrid/>
              <w:spacing w:line="480" w:lineRule="exact"/>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详见采购</w:t>
            </w:r>
          </w:p>
          <w:p w14:paraId="67CD26D8">
            <w:pPr>
              <w:keepNext w:val="0"/>
              <w:keepLines w:val="0"/>
              <w:pageBreakBefore w:val="0"/>
              <w:kinsoku/>
              <w:wordWrap/>
              <w:overflowPunct/>
              <w:topLinePunct w:val="0"/>
              <w:autoSpaceDE/>
              <w:autoSpaceDN/>
              <w:bidi w:val="0"/>
              <w:adjustRightInd/>
              <w:snapToGrid/>
              <w:spacing w:line="480" w:lineRule="exact"/>
              <w:ind w:firstLine="240" w:firstLineChars="100"/>
              <w:jc w:val="both"/>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文件</w:t>
            </w:r>
          </w:p>
        </w:tc>
        <w:tc>
          <w:tcPr>
            <w:tcW w:w="1533" w:type="dxa"/>
            <w:noWrap w:val="0"/>
            <w:vAlign w:val="center"/>
          </w:tcPr>
          <w:p w14:paraId="28C9EEAA">
            <w:pPr>
              <w:keepNext w:val="0"/>
              <w:keepLines w:val="0"/>
              <w:pageBreakBefore w:val="0"/>
              <w:kinsoku/>
              <w:wordWrap/>
              <w:overflowPunct/>
              <w:topLinePunct w:val="0"/>
              <w:autoSpaceDE/>
              <w:autoSpaceDN/>
              <w:bidi w:val="0"/>
              <w:adjustRightInd/>
              <w:snapToGrid/>
              <w:spacing w:line="480" w:lineRule="exact"/>
              <w:jc w:val="both"/>
              <w:rPr>
                <w:rFonts w:hint="default"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577,791.04</w:t>
            </w:r>
          </w:p>
        </w:tc>
        <w:tc>
          <w:tcPr>
            <w:tcW w:w="1533" w:type="dxa"/>
            <w:noWrap w:val="0"/>
            <w:vAlign w:val="center"/>
          </w:tcPr>
          <w:p w14:paraId="6467D07D">
            <w:pPr>
              <w:keepNext w:val="0"/>
              <w:keepLines w:val="0"/>
              <w:pageBreakBefore w:val="0"/>
              <w:kinsoku/>
              <w:wordWrap/>
              <w:overflowPunct/>
              <w:topLinePunct w:val="0"/>
              <w:autoSpaceDE/>
              <w:autoSpaceDN/>
              <w:bidi w:val="0"/>
              <w:adjustRightInd/>
              <w:snapToGrid/>
              <w:spacing w:line="480" w:lineRule="exact"/>
              <w:jc w:val="both"/>
              <w:rPr>
                <w:rFonts w:hint="default"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577,791.04</w:t>
            </w:r>
          </w:p>
        </w:tc>
      </w:tr>
    </w:tbl>
    <w:p w14:paraId="5237094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本合同包不接受联合体投标</w:t>
      </w:r>
    </w:p>
    <w:p w14:paraId="10894B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 xml:space="preserve">合同履行期限：2024年秋季学期开始至2025年春季学期末（具体服务起止日期可随合同签订时间相应顺延）。 </w:t>
      </w:r>
    </w:p>
    <w:p w14:paraId="2D98027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outlineLvl w:val="1"/>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二、申请人的资格要求：</w:t>
      </w:r>
    </w:p>
    <w:p w14:paraId="2F42E8C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1.满足《中华人民共和国政府采购法》第二十二条规定;</w:t>
      </w:r>
    </w:p>
    <w:p w14:paraId="691DCA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2.落实政府采购政策需满足的资格要求：</w:t>
      </w:r>
    </w:p>
    <w:p w14:paraId="7C53B91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合同包1(食堂劳务服务购买（二次）)落实政府采购政策需满足的资格要求如下:</w:t>
      </w:r>
    </w:p>
    <w:p w14:paraId="3A5BBABD">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《财政部环保总局关于环境标志产品政府采购实施的意见》（财库〔2006〕90号）；</w:t>
      </w:r>
    </w:p>
    <w:p w14:paraId="18004531">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《国务院办公厅关于建立政府强制采购节能产品制度的通知》（国办发〔2007〕51号）；</w:t>
      </w:r>
    </w:p>
    <w:p w14:paraId="4D5C1B2B">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《政府采购促进中小企业发展管理办法》（财库〔2020〕46号）；</w:t>
      </w:r>
    </w:p>
    <w:p w14:paraId="3F412315">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《财政部司法部关于政府采购支持监狱企业发展有关问题的通知》（财库〔2014〕68号）；</w:t>
      </w:r>
    </w:p>
    <w:p w14:paraId="7BA8078A">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《民政部财政部中国残疾人联合会关于促进残疾人就业政府采购政策的通知》（财库〔2017〕141号）；</w:t>
      </w:r>
    </w:p>
    <w:p w14:paraId="42816083">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《陕西省中小企业政府采购信用融资办法》（陕财办采〔2018〕23号）；</w:t>
      </w:r>
    </w:p>
    <w:p w14:paraId="1FAB5673">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《关于进一步加大政府采购支持中小企业力度的通知》（财库〔2022〕19号）；</w:t>
      </w:r>
    </w:p>
    <w:p w14:paraId="00925576">
      <w:pPr>
        <w:pStyle w:val="1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其他需要落实的政府采购政策。</w:t>
      </w:r>
    </w:p>
    <w:p w14:paraId="11FC38E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3.本项目的特定资格要求：</w:t>
      </w:r>
    </w:p>
    <w:p w14:paraId="03D1E76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合同包1(食堂劳务服务购买（二次）)特定资格要求如下：</w:t>
      </w:r>
    </w:p>
    <w:p w14:paraId="7415E2C1">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（1）营业执照等主体资格证明文件：提供有效存续的企业营业执照（副本）/事业单位法人证书/专业服务机构执业许可证/民办非企业单位登记证书；</w:t>
      </w:r>
    </w:p>
    <w:p w14:paraId="2459CEA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6659922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（3）财务状况报告：投标人须提供2022或2023年度经会计师事务所审计的审计报告（新成立企业可从成立当年开始提供相对应的财务报表）或其投标前三个月内基本存款账户开户银行出具的资信证明；</w:t>
      </w:r>
    </w:p>
    <w:p w14:paraId="74AE69E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（4）税收缴纳证明：投标人须提供投标截止时间前六个月内任意一个月的缴税证明（注：依法免税或零申报的投标人须提供相关文件证明；若为新成立企业可提供相应月度的缴税证明）；</w:t>
      </w:r>
    </w:p>
    <w:p w14:paraId="4080D49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5）社会保障资金缴纳证明：提供投标截止时间前六个月内任意一个月的社会保险缴纳证明（注：依法不需要缴纳社会保障资金的投标人应提供相关文件证明；若为新成立企业可提供相应月度的社会保险缴纳证明）；</w:t>
      </w:r>
    </w:p>
    <w:p w14:paraId="10323A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（6）投标人须提供具有履行合同所必需的设备和专业技术能力的承诺函(加盖投标人公章)；</w:t>
      </w:r>
    </w:p>
    <w:p w14:paraId="4E4A6F3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（7）投标人应具备良好的商业信誉，提供参加政府采购活动前3年内在经营活动中没有重大违法记录的书面声明；</w:t>
      </w:r>
    </w:p>
    <w:p w14:paraId="29063E5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6FC0CAF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9）本项目专门面向小微企业采购，仅限符合《政府采购促进中小企业发展管理办法》（财库〔2020〕46号）条件的企业参与，投标人应填写小微企业声明函并对真实性负责（残疾人福利性单位及监狱企业视同为小型、微型企业）；</w:t>
      </w:r>
    </w:p>
    <w:p w14:paraId="534032F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kern w:val="2"/>
          <w:sz w:val="24"/>
          <w:szCs w:val="24"/>
          <w:lang w:val="en-US" w:eastAsia="zh-CN" w:bidi="ar-SA"/>
        </w:rPr>
        <w:t>（10）供应商应具有有效的《餐饮服务许可证》或《食品经营许可证》。</w:t>
      </w:r>
    </w:p>
    <w:p w14:paraId="10E6C84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三、获取招标文件</w:t>
      </w:r>
    </w:p>
    <w:p w14:paraId="6AF899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时间：2024年09月 05 日至2024年09月 11 日，每天上午08:00:00至12:00:00，下午12:00:00至18:00:00（北京时间）</w:t>
      </w:r>
    </w:p>
    <w:p w14:paraId="0EE9FA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途径：全国公共资源交易网平台（陕西省.安康市）</w:t>
      </w:r>
    </w:p>
    <w:p w14:paraId="082B96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方式：在线获取</w:t>
      </w:r>
    </w:p>
    <w:p w14:paraId="7E60A5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四、提交投标文件截止时间、开标时间和地点</w:t>
      </w:r>
    </w:p>
    <w:p w14:paraId="6941C74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时间：2024年09月 25 日 14 时 00 分 00 秒（北京时间）</w:t>
      </w:r>
    </w:p>
    <w:p w14:paraId="63699C3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提交投标文件地点：全国公共资源交易平台（陕西省.安康市）</w:t>
      </w:r>
    </w:p>
    <w:p w14:paraId="769D344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开标地点：全国公共资源交易平台（陕西省.安康市）不见面开标大厅</w:t>
      </w:r>
    </w:p>
    <w:p w14:paraId="77815D4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五、公告期限</w:t>
      </w:r>
    </w:p>
    <w:p w14:paraId="5CCA9A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自本公告发布之日起5个工作日。</w:t>
      </w:r>
    </w:p>
    <w:p w14:paraId="4B55E05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六、其他补充事宜</w:t>
      </w:r>
    </w:p>
    <w:p w14:paraId="761805F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1、使用捆绑省交易平台的CA锁登录电子交易平台，通过政府采购系统企业端进入，点击我要投标，完善相关投标信息。2、未完成网上投标成功的或未在规定时间内在平台上下载文件的，导致无法完成后续流程的责任自负。3、本项目采用不见面开标，电子化投标方式投标，相关操作流程详见全国公共资源交易平台（陕西省）网站[服务指南-下载专区]中的《陕西省公共资源交易中心政府采购项目投标指南》。4、电子投标文件技术支持：4009280095、4009980000。</w:t>
      </w:r>
    </w:p>
    <w:p w14:paraId="1373BD0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黑体" w:hAnsi="黑体" w:eastAsia="黑体" w:cs="黑体"/>
          <w:b/>
          <w:bCs/>
          <w:color w:val="auto"/>
          <w:kern w:val="2"/>
          <w:sz w:val="24"/>
          <w:szCs w:val="32"/>
          <w:highlight w:val="none"/>
          <w:lang w:val="en-US" w:eastAsia="zh-CN" w:bidi="ar-SA"/>
        </w:rPr>
      </w:pPr>
      <w:r>
        <w:rPr>
          <w:rFonts w:hint="eastAsia" w:ascii="黑体" w:hAnsi="黑体" w:eastAsia="黑体" w:cs="黑体"/>
          <w:b/>
          <w:bCs/>
          <w:color w:val="auto"/>
          <w:kern w:val="2"/>
          <w:sz w:val="24"/>
          <w:szCs w:val="32"/>
          <w:highlight w:val="none"/>
          <w:lang w:val="en-US" w:eastAsia="zh-CN" w:bidi="ar-SA"/>
        </w:rPr>
        <w:t>七、对本次招标提出询问，请按以下方式联系。</w:t>
      </w:r>
    </w:p>
    <w:p w14:paraId="5A4B116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1.采购人信息</w:t>
      </w:r>
    </w:p>
    <w:p w14:paraId="7524FE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名称：汉阴县第二高级中学</w:t>
      </w:r>
    </w:p>
    <w:p w14:paraId="00ADCA7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地址：汉阴县城关镇太平村四组</w:t>
      </w:r>
    </w:p>
    <w:p w14:paraId="38A4641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联系方式：17319556099</w:t>
      </w:r>
    </w:p>
    <w:p w14:paraId="34BE25C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2.采购代理机构信息</w:t>
      </w:r>
    </w:p>
    <w:p w14:paraId="6831CDF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名称：陕西博诚方圆项目管理有限公司</w:t>
      </w:r>
    </w:p>
    <w:p w14:paraId="2AFCA83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地址：陕西省安康市高新技术产业开发区恒大未来城23号楼一单元1403</w:t>
      </w:r>
    </w:p>
    <w:p w14:paraId="2BBE1B0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联系方式：19916135641</w:t>
      </w:r>
    </w:p>
    <w:p w14:paraId="5C5695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3.项目联系方式</w:t>
      </w:r>
    </w:p>
    <w:p w14:paraId="5B705C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default"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项目联系人：张工</w:t>
      </w:r>
    </w:p>
    <w:p w14:paraId="28225BB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电话：</w:t>
      </w:r>
      <w:r>
        <w:rPr>
          <w:rFonts w:hint="eastAsia" w:ascii="黑体" w:hAnsi="黑体" w:eastAsia="黑体" w:cs="黑体"/>
          <w:color w:val="auto"/>
          <w:sz w:val="24"/>
          <w:szCs w:val="32"/>
          <w:highlight w:val="none"/>
          <w:lang w:eastAsia="zh-CN"/>
        </w:rPr>
        <w:t>19916135641</w:t>
      </w:r>
    </w:p>
    <w:p w14:paraId="1721949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right"/>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陕西博诚方圆项目管理有限公司</w:t>
      </w:r>
    </w:p>
    <w:p w14:paraId="596A5A2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center"/>
        <w:textAlignment w:val="baseline"/>
        <w:rPr>
          <w:rFonts w:hint="eastAsia" w:ascii="黑体" w:hAnsi="黑体" w:eastAsia="黑体" w:cs="黑体"/>
          <w:b w:val="0"/>
          <w:bCs w:val="0"/>
          <w:color w:val="auto"/>
          <w:kern w:val="2"/>
          <w:sz w:val="24"/>
          <w:szCs w:val="32"/>
          <w:highlight w:val="none"/>
          <w:lang w:val="en-US" w:eastAsia="zh-CN" w:bidi="ar-SA"/>
        </w:rPr>
      </w:pPr>
      <w:r>
        <w:rPr>
          <w:rFonts w:hint="eastAsia" w:ascii="黑体" w:hAnsi="黑体" w:eastAsia="黑体" w:cs="黑体"/>
          <w:b w:val="0"/>
          <w:bCs w:val="0"/>
          <w:color w:val="auto"/>
          <w:kern w:val="2"/>
          <w:sz w:val="24"/>
          <w:szCs w:val="32"/>
          <w:highlight w:val="none"/>
          <w:lang w:val="en-US" w:eastAsia="zh-CN" w:bidi="ar-SA"/>
        </w:rPr>
        <w:t xml:space="preserve">                                       2024年09月04 日</w:t>
      </w:r>
    </w:p>
    <w:p w14:paraId="3F5EFC93">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color w:val="auto"/>
          <w:kern w:val="2"/>
          <w:sz w:val="24"/>
          <w:szCs w:val="32"/>
          <w:highlight w:val="none"/>
          <w:lang w:val="en-US" w:eastAsia="zh-CN" w:bidi="ar-SA"/>
        </w:rPr>
      </w:pPr>
    </w:p>
    <w:p w14:paraId="653ABB83">
      <w:pPr>
        <w:rPr>
          <w:rFonts w:hint="eastAsia" w:ascii="黑体" w:hAnsi="黑体" w:eastAsia="黑体" w:cs="黑体"/>
          <w:color w:val="auto"/>
          <w:highlight w:val="none"/>
          <w:lang w:val="en-US" w:eastAsia="zh-CN"/>
        </w:rPr>
      </w:pPr>
    </w:p>
    <w:p w14:paraId="63F553F7">
      <w:pPr>
        <w:rPr>
          <w:rFonts w:hint="eastAsia" w:ascii="黑体" w:hAnsi="黑体" w:eastAsia="黑体" w:cs="黑体"/>
          <w:lang w:val="en-US" w:eastAsia="zh-CN"/>
        </w:rPr>
      </w:pPr>
    </w:p>
    <w:p w14:paraId="1F1E846B">
      <w:pPr>
        <w:pStyle w:val="15"/>
        <w:ind w:firstLine="2891" w:firstLineChars="800"/>
        <w:jc w:val="both"/>
        <w:rPr>
          <w:rFonts w:hint="eastAsia" w:ascii="黑体" w:hAnsi="黑体" w:eastAsia="黑体" w:cs="黑体"/>
          <w:b/>
          <w:bCs/>
          <w:sz w:val="36"/>
          <w:szCs w:val="36"/>
        </w:rPr>
      </w:pPr>
      <w:bookmarkStart w:id="24" w:name="_Toc17938"/>
      <w:bookmarkStart w:id="25" w:name="_Toc26908"/>
    </w:p>
    <w:p w14:paraId="0A94F058">
      <w:pPr>
        <w:pStyle w:val="15"/>
        <w:ind w:firstLine="2891" w:firstLineChars="800"/>
        <w:jc w:val="both"/>
        <w:rPr>
          <w:rFonts w:hint="eastAsia" w:ascii="黑体" w:hAnsi="黑体" w:eastAsia="黑体" w:cs="黑体"/>
          <w:b/>
          <w:bCs/>
          <w:sz w:val="36"/>
          <w:szCs w:val="36"/>
        </w:rPr>
      </w:pPr>
    </w:p>
    <w:p w14:paraId="0CD047CF">
      <w:pPr>
        <w:pStyle w:val="15"/>
        <w:ind w:firstLine="2891" w:firstLineChars="800"/>
        <w:jc w:val="both"/>
        <w:rPr>
          <w:rFonts w:hint="eastAsia" w:ascii="黑体" w:hAnsi="黑体" w:eastAsia="黑体" w:cs="黑体"/>
          <w:b/>
          <w:bCs/>
          <w:sz w:val="36"/>
          <w:szCs w:val="36"/>
        </w:rPr>
      </w:pPr>
    </w:p>
    <w:p w14:paraId="141BABE5">
      <w:pPr>
        <w:pStyle w:val="15"/>
        <w:ind w:firstLine="2891" w:firstLineChars="800"/>
        <w:jc w:val="both"/>
        <w:rPr>
          <w:rFonts w:hint="eastAsia" w:ascii="黑体" w:hAnsi="黑体" w:eastAsia="黑体" w:cs="黑体"/>
          <w:b/>
          <w:bCs/>
          <w:sz w:val="36"/>
          <w:szCs w:val="36"/>
        </w:rPr>
      </w:pPr>
    </w:p>
    <w:p w14:paraId="53364C6C">
      <w:pPr>
        <w:pStyle w:val="15"/>
        <w:ind w:firstLine="2891" w:firstLineChars="800"/>
        <w:jc w:val="both"/>
        <w:rPr>
          <w:rFonts w:hint="eastAsia" w:ascii="黑体" w:hAnsi="黑体" w:eastAsia="黑体" w:cs="黑体"/>
          <w:b/>
          <w:bCs/>
          <w:sz w:val="36"/>
          <w:szCs w:val="36"/>
        </w:rPr>
      </w:pPr>
    </w:p>
    <w:p w14:paraId="1AE26260">
      <w:pPr>
        <w:pStyle w:val="15"/>
        <w:ind w:firstLine="2891" w:firstLineChars="800"/>
        <w:jc w:val="both"/>
        <w:rPr>
          <w:rFonts w:hint="eastAsia" w:ascii="黑体" w:hAnsi="黑体" w:eastAsia="黑体" w:cs="黑体"/>
          <w:b/>
          <w:bCs/>
          <w:sz w:val="36"/>
          <w:szCs w:val="36"/>
        </w:rPr>
      </w:pPr>
    </w:p>
    <w:p w14:paraId="66D757B5">
      <w:pPr>
        <w:pStyle w:val="15"/>
        <w:ind w:firstLine="2891" w:firstLineChars="800"/>
        <w:jc w:val="both"/>
        <w:rPr>
          <w:rFonts w:hint="eastAsia" w:ascii="黑体" w:hAnsi="黑体" w:eastAsia="黑体" w:cs="黑体"/>
          <w:b/>
          <w:bCs/>
          <w:sz w:val="36"/>
          <w:szCs w:val="36"/>
        </w:rPr>
      </w:pPr>
    </w:p>
    <w:p w14:paraId="51AD04A3">
      <w:pPr>
        <w:pStyle w:val="15"/>
        <w:ind w:firstLine="2891" w:firstLineChars="800"/>
        <w:jc w:val="both"/>
        <w:rPr>
          <w:rFonts w:hint="eastAsia" w:ascii="黑体" w:hAnsi="黑体" w:eastAsia="黑体" w:cs="黑体"/>
          <w:b/>
          <w:bCs/>
          <w:sz w:val="36"/>
          <w:szCs w:val="36"/>
        </w:rPr>
      </w:pPr>
    </w:p>
    <w:p w14:paraId="1A15653B">
      <w:pPr>
        <w:pStyle w:val="15"/>
        <w:ind w:firstLine="2891" w:firstLineChars="800"/>
        <w:jc w:val="both"/>
        <w:rPr>
          <w:rFonts w:hint="eastAsia" w:ascii="黑体" w:hAnsi="黑体" w:eastAsia="黑体" w:cs="黑体"/>
          <w:b/>
          <w:bCs/>
          <w:sz w:val="36"/>
          <w:szCs w:val="36"/>
        </w:rPr>
      </w:pPr>
    </w:p>
    <w:p w14:paraId="6AF4A6F5">
      <w:pPr>
        <w:pStyle w:val="15"/>
        <w:jc w:val="both"/>
        <w:rPr>
          <w:rFonts w:hint="eastAsia" w:ascii="黑体" w:hAnsi="黑体" w:eastAsia="黑体" w:cs="黑体"/>
          <w:b/>
          <w:bCs/>
          <w:sz w:val="36"/>
          <w:szCs w:val="36"/>
        </w:rPr>
      </w:pPr>
    </w:p>
    <w:p w14:paraId="4AA9B9CA">
      <w:pPr>
        <w:pStyle w:val="15"/>
        <w:ind w:firstLine="2891" w:firstLineChars="800"/>
        <w:jc w:val="both"/>
        <w:rPr>
          <w:rFonts w:hint="eastAsia" w:ascii="黑体" w:hAnsi="黑体" w:eastAsia="黑体" w:cs="黑体"/>
          <w:b/>
          <w:bCs/>
          <w:sz w:val="36"/>
          <w:szCs w:val="36"/>
        </w:rPr>
      </w:pPr>
    </w:p>
    <w:p w14:paraId="3F625019">
      <w:pPr>
        <w:pStyle w:val="15"/>
        <w:ind w:firstLine="2891" w:firstLineChars="800"/>
        <w:jc w:val="both"/>
        <w:rPr>
          <w:rFonts w:hint="eastAsia" w:ascii="黑体" w:hAnsi="黑体" w:eastAsia="黑体" w:cs="黑体"/>
          <w:b/>
          <w:bCs/>
          <w:sz w:val="36"/>
          <w:szCs w:val="36"/>
        </w:rPr>
      </w:pPr>
      <w:r>
        <w:rPr>
          <w:rFonts w:hint="eastAsia" w:ascii="黑体" w:hAnsi="黑体" w:eastAsia="黑体" w:cs="黑体"/>
          <w:b/>
          <w:bCs/>
          <w:sz w:val="36"/>
          <w:szCs w:val="36"/>
        </w:rPr>
        <w:t xml:space="preserve">第二章  </w:t>
      </w:r>
      <w:r>
        <w:rPr>
          <w:rFonts w:hint="eastAsia" w:ascii="黑体" w:hAnsi="黑体" w:eastAsia="黑体" w:cs="黑体"/>
          <w:b/>
          <w:bCs/>
          <w:sz w:val="36"/>
          <w:szCs w:val="36"/>
          <w:lang w:eastAsia="zh-CN"/>
        </w:rPr>
        <w:t>投标人</w:t>
      </w:r>
      <w:r>
        <w:rPr>
          <w:rFonts w:hint="eastAsia" w:ascii="黑体" w:hAnsi="黑体" w:eastAsia="黑体" w:cs="黑体"/>
          <w:b/>
          <w:bCs/>
          <w:sz w:val="36"/>
          <w:szCs w:val="36"/>
        </w:rPr>
        <w:t>须知</w:t>
      </w:r>
      <w:bookmarkEnd w:id="24"/>
      <w:bookmarkEnd w:id="25"/>
    </w:p>
    <w:p w14:paraId="2CCBAA93">
      <w:pPr>
        <w:pStyle w:val="3"/>
        <w:spacing w:line="240" w:lineRule="auto"/>
        <w:jc w:val="center"/>
        <w:rPr>
          <w:rFonts w:hint="eastAsia" w:ascii="黑体" w:hAnsi="黑体" w:eastAsia="黑体" w:cs="黑体"/>
          <w:sz w:val="28"/>
          <w:szCs w:val="28"/>
        </w:rPr>
      </w:pPr>
      <w:r>
        <w:rPr>
          <w:rFonts w:hint="eastAsia" w:ascii="黑体" w:hAnsi="黑体" w:eastAsia="黑体" w:cs="黑体"/>
          <w:color w:val="000000"/>
          <w:kern w:val="44"/>
          <w:sz w:val="28"/>
          <w:szCs w:val="28"/>
          <w:lang w:val="en-US" w:eastAsia="zh-CN"/>
        </w:rPr>
        <w:t>一、</w:t>
      </w:r>
      <w:r>
        <w:rPr>
          <w:rFonts w:hint="eastAsia" w:ascii="黑体" w:hAnsi="黑体" w:eastAsia="黑体" w:cs="黑体"/>
          <w:color w:val="000000"/>
          <w:kern w:val="44"/>
          <w:sz w:val="28"/>
          <w:szCs w:val="28"/>
        </w:rPr>
        <w:t xml:space="preserve"> </w:t>
      </w:r>
      <w:bookmarkStart w:id="26" w:name="_Toc258"/>
      <w:r>
        <w:rPr>
          <w:rFonts w:hint="eastAsia" w:ascii="黑体" w:hAnsi="黑体" w:eastAsia="黑体" w:cs="黑体"/>
          <w:sz w:val="28"/>
          <w:szCs w:val="28"/>
        </w:rPr>
        <w:t>前附表</w:t>
      </w:r>
      <w:bookmarkEnd w:id="26"/>
    </w:p>
    <w:tbl>
      <w:tblPr>
        <w:tblStyle w:val="23"/>
        <w:tblW w:w="941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770"/>
        <w:gridCol w:w="5671"/>
      </w:tblGrid>
      <w:tr w14:paraId="07481A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noWrap w:val="0"/>
            <w:vAlign w:val="center"/>
          </w:tcPr>
          <w:p w14:paraId="225B410C">
            <w:pPr>
              <w:jc w:val="center"/>
              <w:rPr>
                <w:rFonts w:hint="eastAsia" w:ascii="黑体" w:hAnsi="黑体" w:eastAsia="黑体" w:cs="黑体"/>
                <w:b/>
                <w:bCs/>
                <w:sz w:val="24"/>
                <w:szCs w:val="24"/>
              </w:rPr>
            </w:pPr>
            <w:r>
              <w:rPr>
                <w:rFonts w:hint="eastAsia" w:ascii="黑体" w:hAnsi="黑体" w:eastAsia="黑体" w:cs="黑体"/>
                <w:b/>
                <w:bCs/>
                <w:sz w:val="24"/>
                <w:szCs w:val="24"/>
              </w:rPr>
              <w:t>序号</w:t>
            </w:r>
          </w:p>
        </w:tc>
        <w:tc>
          <w:tcPr>
            <w:tcW w:w="2770" w:type="dxa"/>
            <w:tcBorders>
              <w:top w:val="single" w:color="auto" w:sz="12" w:space="0"/>
              <w:bottom w:val="single" w:color="auto" w:sz="2" w:space="0"/>
            </w:tcBorders>
            <w:shd w:val="clear" w:color="auto" w:fill="F1F1F1"/>
            <w:noWrap w:val="0"/>
            <w:vAlign w:val="center"/>
          </w:tcPr>
          <w:p w14:paraId="6F5C4F4B">
            <w:pPr>
              <w:jc w:val="center"/>
              <w:rPr>
                <w:rFonts w:hint="eastAsia" w:ascii="黑体" w:hAnsi="黑体" w:eastAsia="黑体" w:cs="黑体"/>
                <w:b/>
                <w:bCs/>
                <w:sz w:val="24"/>
                <w:szCs w:val="24"/>
              </w:rPr>
            </w:pPr>
            <w:r>
              <w:rPr>
                <w:rFonts w:hint="eastAsia" w:ascii="黑体" w:hAnsi="黑体" w:eastAsia="黑体" w:cs="黑体"/>
                <w:b/>
                <w:bCs/>
                <w:sz w:val="24"/>
                <w:szCs w:val="24"/>
              </w:rPr>
              <w:t>内容</w:t>
            </w:r>
          </w:p>
        </w:tc>
        <w:tc>
          <w:tcPr>
            <w:tcW w:w="5671" w:type="dxa"/>
            <w:tcBorders>
              <w:top w:val="single" w:color="auto" w:sz="12" w:space="0"/>
              <w:bottom w:val="single" w:color="auto" w:sz="2" w:space="0"/>
            </w:tcBorders>
            <w:shd w:val="clear" w:color="auto" w:fill="F1F1F1"/>
            <w:noWrap w:val="0"/>
            <w:vAlign w:val="center"/>
          </w:tcPr>
          <w:p w14:paraId="27A61910">
            <w:pPr>
              <w:jc w:val="center"/>
              <w:rPr>
                <w:rFonts w:hint="eastAsia" w:ascii="黑体" w:hAnsi="黑体" w:eastAsia="黑体" w:cs="黑体"/>
                <w:b/>
                <w:bCs/>
                <w:sz w:val="24"/>
                <w:szCs w:val="24"/>
              </w:rPr>
            </w:pPr>
            <w:r>
              <w:rPr>
                <w:rFonts w:hint="eastAsia" w:ascii="黑体" w:hAnsi="黑体" w:eastAsia="黑体" w:cs="黑体"/>
                <w:b/>
                <w:bCs/>
                <w:sz w:val="24"/>
                <w:szCs w:val="24"/>
              </w:rPr>
              <w:t>说明和要求</w:t>
            </w:r>
          </w:p>
        </w:tc>
      </w:tr>
      <w:tr w14:paraId="39BAA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noWrap w:val="0"/>
            <w:vAlign w:val="center"/>
          </w:tcPr>
          <w:p w14:paraId="7C92B5BD">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w:t>
            </w:r>
          </w:p>
        </w:tc>
        <w:tc>
          <w:tcPr>
            <w:tcW w:w="2770" w:type="dxa"/>
            <w:tcBorders>
              <w:top w:val="single" w:color="auto" w:sz="2" w:space="0"/>
            </w:tcBorders>
            <w:noWrap w:val="0"/>
            <w:vAlign w:val="center"/>
          </w:tcPr>
          <w:p w14:paraId="64A52DE5">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w:t>
            </w:r>
          </w:p>
        </w:tc>
        <w:tc>
          <w:tcPr>
            <w:tcW w:w="5671" w:type="dxa"/>
            <w:tcBorders>
              <w:top w:val="single" w:color="auto" w:sz="2" w:space="0"/>
            </w:tcBorders>
            <w:noWrap w:val="0"/>
            <w:vAlign w:val="center"/>
          </w:tcPr>
          <w:p w14:paraId="1BFA8F56">
            <w:pPr>
              <w:jc w:val="both"/>
              <w:rPr>
                <w:rFonts w:hint="eastAsia" w:ascii="黑体" w:hAnsi="黑体" w:eastAsia="黑体" w:cs="黑体"/>
                <w:sz w:val="24"/>
                <w:szCs w:val="24"/>
                <w:lang w:eastAsia="zh-CN"/>
              </w:rPr>
            </w:pPr>
          </w:p>
          <w:p w14:paraId="615B9DFB">
            <w:pPr>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 xml:space="preserve">名称：汉阴县第二高级中学 </w:t>
            </w:r>
          </w:p>
          <w:p w14:paraId="0091B518">
            <w:pPr>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地址：汉阴县城关镇太平村四组</w:t>
            </w:r>
          </w:p>
          <w:p w14:paraId="518DB23D">
            <w:pPr>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联系人：</w:t>
            </w:r>
            <w:r>
              <w:rPr>
                <w:rFonts w:hint="eastAsia" w:ascii="黑体" w:hAnsi="黑体" w:eastAsia="黑体" w:cs="黑体"/>
                <w:sz w:val="24"/>
                <w:szCs w:val="24"/>
                <w:lang w:val="en-US" w:eastAsia="zh-CN"/>
              </w:rPr>
              <w:t>汪</w:t>
            </w:r>
            <w:r>
              <w:rPr>
                <w:rFonts w:hint="eastAsia" w:ascii="黑体" w:hAnsi="黑体" w:eastAsia="黑体" w:cs="黑体"/>
                <w:sz w:val="24"/>
                <w:szCs w:val="24"/>
                <w:lang w:eastAsia="zh-CN"/>
              </w:rPr>
              <w:t xml:space="preserve">老师 </w:t>
            </w:r>
          </w:p>
          <w:p w14:paraId="5FB89D66">
            <w:pPr>
              <w:jc w:val="both"/>
              <w:rPr>
                <w:rFonts w:hint="eastAsia" w:ascii="黑体" w:hAnsi="黑体" w:eastAsia="黑体" w:cs="黑体"/>
                <w:sz w:val="24"/>
                <w:szCs w:val="24"/>
                <w:lang w:eastAsia="zh-CN"/>
              </w:rPr>
            </w:pPr>
            <w:r>
              <w:rPr>
                <w:rFonts w:hint="eastAsia" w:ascii="黑体" w:hAnsi="黑体" w:eastAsia="黑体" w:cs="黑体"/>
                <w:sz w:val="24"/>
                <w:szCs w:val="24"/>
                <w:lang w:eastAsia="zh-CN"/>
              </w:rPr>
              <w:t>联系电话：17319556099</w:t>
            </w:r>
          </w:p>
          <w:p w14:paraId="7339379C">
            <w:pPr>
              <w:jc w:val="center"/>
              <w:rPr>
                <w:rFonts w:hint="eastAsia" w:ascii="黑体" w:hAnsi="黑体" w:eastAsia="黑体" w:cs="黑体"/>
                <w:sz w:val="24"/>
                <w:szCs w:val="24"/>
                <w:lang w:eastAsia="zh-CN"/>
              </w:rPr>
            </w:pPr>
          </w:p>
        </w:tc>
      </w:tr>
      <w:tr w14:paraId="626E1D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971DBE8">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p>
        </w:tc>
        <w:tc>
          <w:tcPr>
            <w:tcW w:w="2770" w:type="dxa"/>
            <w:noWrap w:val="0"/>
            <w:vAlign w:val="center"/>
          </w:tcPr>
          <w:p w14:paraId="15477A13">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采购代理机构</w:t>
            </w:r>
          </w:p>
        </w:tc>
        <w:tc>
          <w:tcPr>
            <w:tcW w:w="5671" w:type="dxa"/>
            <w:noWrap w:val="0"/>
            <w:vAlign w:val="center"/>
          </w:tcPr>
          <w:p w14:paraId="0157D4E0">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名称：陕西博诚方圆项目管理有限公司 </w:t>
            </w:r>
          </w:p>
          <w:p w14:paraId="4BBB2800">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地址：陕西省安康市高新技术产业开发区恒大未来城23号楼一单元1403</w:t>
            </w:r>
          </w:p>
          <w:p w14:paraId="086C8BDC">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联系人：张工 </w:t>
            </w:r>
          </w:p>
          <w:p w14:paraId="12A664D3">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联系方式：</w:t>
            </w:r>
            <w:r>
              <w:rPr>
                <w:rFonts w:hint="eastAsia" w:ascii="黑体" w:hAnsi="黑体" w:eastAsia="黑体" w:cs="黑体"/>
                <w:sz w:val="24"/>
                <w:szCs w:val="32"/>
                <w:highlight w:val="none"/>
                <w:lang w:eastAsia="zh-CN"/>
              </w:rPr>
              <w:t>19916135641</w:t>
            </w:r>
          </w:p>
        </w:tc>
      </w:tr>
      <w:tr w14:paraId="4F872F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0A4F6F7">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w:t>
            </w:r>
          </w:p>
        </w:tc>
        <w:tc>
          <w:tcPr>
            <w:tcW w:w="2770" w:type="dxa"/>
            <w:noWrap w:val="0"/>
            <w:vAlign w:val="center"/>
          </w:tcPr>
          <w:p w14:paraId="1CF9E55E">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监督管理机构</w:t>
            </w:r>
          </w:p>
        </w:tc>
        <w:tc>
          <w:tcPr>
            <w:tcW w:w="5671" w:type="dxa"/>
            <w:noWrap w:val="0"/>
            <w:vAlign w:val="center"/>
          </w:tcPr>
          <w:p w14:paraId="201AC7CA">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汉阴县财政局</w:t>
            </w:r>
          </w:p>
        </w:tc>
      </w:tr>
      <w:tr w14:paraId="52786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548275C">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4</w:t>
            </w:r>
          </w:p>
        </w:tc>
        <w:tc>
          <w:tcPr>
            <w:tcW w:w="2770" w:type="dxa"/>
            <w:noWrap w:val="0"/>
            <w:vAlign w:val="center"/>
          </w:tcPr>
          <w:p w14:paraId="7703EC4E">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项目名称</w:t>
            </w:r>
          </w:p>
        </w:tc>
        <w:tc>
          <w:tcPr>
            <w:tcW w:w="5671" w:type="dxa"/>
            <w:noWrap w:val="0"/>
            <w:vAlign w:val="center"/>
          </w:tcPr>
          <w:p w14:paraId="2CBDA994">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lang w:eastAsia="zh-CN"/>
              </w:rPr>
              <w:t>汉阴县第二高级中学食堂食材配送及食堂劳务采购项目（二次）</w:t>
            </w:r>
          </w:p>
        </w:tc>
      </w:tr>
      <w:tr w14:paraId="4FAA5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F804C5D">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w:t>
            </w:r>
          </w:p>
        </w:tc>
        <w:tc>
          <w:tcPr>
            <w:tcW w:w="2770" w:type="dxa"/>
            <w:noWrap w:val="0"/>
            <w:vAlign w:val="center"/>
          </w:tcPr>
          <w:p w14:paraId="6BDDB16F">
            <w:pPr>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rPr>
              <w:t>项目</w:t>
            </w:r>
            <w:r>
              <w:rPr>
                <w:rFonts w:hint="eastAsia" w:ascii="黑体" w:hAnsi="黑体" w:eastAsia="黑体" w:cs="黑体"/>
                <w:sz w:val="24"/>
                <w:szCs w:val="24"/>
                <w:highlight w:val="none"/>
                <w:lang w:val="en-US" w:eastAsia="zh-CN"/>
              </w:rPr>
              <w:t>包号</w:t>
            </w:r>
          </w:p>
        </w:tc>
        <w:tc>
          <w:tcPr>
            <w:tcW w:w="5671" w:type="dxa"/>
            <w:noWrap w:val="0"/>
            <w:vAlign w:val="center"/>
          </w:tcPr>
          <w:p w14:paraId="7FC53D3B">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w:t>
            </w:r>
            <w:r>
              <w:rPr>
                <w:rFonts w:hint="eastAsia" w:ascii="黑体" w:hAnsi="黑体" w:eastAsia="黑体" w:cs="黑体"/>
                <w:sz w:val="24"/>
                <w:szCs w:val="24"/>
                <w:highlight w:val="none"/>
                <w:lang w:eastAsia="zh-CN"/>
              </w:rPr>
              <w:t xml:space="preserve"> 包：食堂劳务服务购买（</w:t>
            </w:r>
            <w:r>
              <w:rPr>
                <w:rFonts w:hint="eastAsia" w:ascii="黑体" w:hAnsi="黑体" w:eastAsia="黑体" w:cs="黑体"/>
                <w:sz w:val="24"/>
                <w:szCs w:val="24"/>
                <w:highlight w:val="none"/>
                <w:lang w:val="en-US" w:eastAsia="zh-CN"/>
              </w:rPr>
              <w:t>二次</w:t>
            </w:r>
            <w:r>
              <w:rPr>
                <w:rFonts w:hint="eastAsia" w:ascii="黑体" w:hAnsi="黑体" w:eastAsia="黑体" w:cs="黑体"/>
                <w:sz w:val="24"/>
                <w:szCs w:val="24"/>
                <w:highlight w:val="none"/>
                <w:lang w:eastAsia="zh-CN"/>
              </w:rPr>
              <w:t xml:space="preserve">） </w:t>
            </w:r>
          </w:p>
        </w:tc>
      </w:tr>
      <w:tr w14:paraId="3BA370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EAD9A33">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w:t>
            </w:r>
          </w:p>
        </w:tc>
        <w:tc>
          <w:tcPr>
            <w:tcW w:w="2770" w:type="dxa"/>
            <w:noWrap w:val="0"/>
            <w:vAlign w:val="center"/>
          </w:tcPr>
          <w:p w14:paraId="793FCB00">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是否预留份额</w:t>
            </w:r>
          </w:p>
          <w:p w14:paraId="27A17CC6">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专门面向中小企业采购</w:t>
            </w:r>
          </w:p>
        </w:tc>
        <w:tc>
          <w:tcPr>
            <w:tcW w:w="5671" w:type="dxa"/>
            <w:noWrap w:val="0"/>
            <w:vAlign w:val="center"/>
          </w:tcPr>
          <w:p w14:paraId="79A26CED">
            <w:pPr>
              <w:jc w:val="center"/>
              <w:rPr>
                <w:rFonts w:hint="eastAsia" w:ascii="黑体" w:hAnsi="黑体" w:eastAsia="黑体" w:cs="黑体"/>
                <w:sz w:val="24"/>
                <w:szCs w:val="24"/>
                <w:highlight w:val="none"/>
              </w:rPr>
            </w:pPr>
            <w:r>
              <w:rPr>
                <w:rFonts w:hint="eastAsia" w:ascii="黑体" w:hAnsi="黑体" w:eastAsia="黑体" w:cs="黑体"/>
                <w:sz w:val="28"/>
                <w:szCs w:val="28"/>
                <w:highlight w:val="none"/>
                <w:lang w:val="en-US" w:eastAsia="zh-CN" w:bidi="ar-SA"/>
              </w:rPr>
              <w:sym w:font="Wingdings 2" w:char="0052"/>
            </w:r>
            <w:r>
              <w:rPr>
                <w:rFonts w:hint="eastAsia" w:ascii="黑体" w:hAnsi="黑体" w:eastAsia="黑体" w:cs="黑体"/>
                <w:sz w:val="24"/>
                <w:szCs w:val="24"/>
                <w:highlight w:val="none"/>
              </w:rPr>
              <w:t xml:space="preserve">是  </w:t>
            </w:r>
            <w:r>
              <w:rPr>
                <w:rFonts w:hint="eastAsia" w:ascii="黑体" w:hAnsi="黑体" w:eastAsia="黑体" w:cs="黑体"/>
                <w:sz w:val="28"/>
                <w:szCs w:val="28"/>
                <w:highlight w:val="none"/>
                <w:lang w:val="en-US" w:eastAsia="zh-CN" w:bidi="ar-SA"/>
              </w:rPr>
              <w:sym w:font="Wingdings 2" w:char="00A3"/>
            </w:r>
            <w:r>
              <w:rPr>
                <w:rFonts w:hint="eastAsia" w:ascii="黑体" w:hAnsi="黑体" w:eastAsia="黑体" w:cs="黑体"/>
                <w:sz w:val="28"/>
                <w:szCs w:val="28"/>
                <w:highlight w:val="none"/>
              </w:rPr>
              <w:t>否</w:t>
            </w:r>
          </w:p>
        </w:tc>
      </w:tr>
      <w:tr w14:paraId="5823B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E5D82E7">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7</w:t>
            </w:r>
          </w:p>
        </w:tc>
        <w:tc>
          <w:tcPr>
            <w:tcW w:w="2770" w:type="dxa"/>
            <w:noWrap w:val="0"/>
            <w:vAlign w:val="center"/>
          </w:tcPr>
          <w:p w14:paraId="3AC5FC57">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预算金额</w:t>
            </w:r>
          </w:p>
        </w:tc>
        <w:tc>
          <w:tcPr>
            <w:tcW w:w="5671" w:type="dxa"/>
            <w:noWrap w:val="0"/>
            <w:vAlign w:val="center"/>
          </w:tcPr>
          <w:p w14:paraId="5AD8AB5C">
            <w:pPr>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577791.04元</w:t>
            </w:r>
          </w:p>
        </w:tc>
      </w:tr>
      <w:tr w14:paraId="51709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9AF9A72">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8</w:t>
            </w:r>
          </w:p>
        </w:tc>
        <w:tc>
          <w:tcPr>
            <w:tcW w:w="2770" w:type="dxa"/>
            <w:noWrap w:val="0"/>
            <w:vAlign w:val="center"/>
          </w:tcPr>
          <w:p w14:paraId="1EBE05DD">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最高限价</w:t>
            </w:r>
          </w:p>
        </w:tc>
        <w:tc>
          <w:tcPr>
            <w:tcW w:w="5671" w:type="dxa"/>
            <w:noWrap w:val="0"/>
            <w:vAlign w:val="center"/>
          </w:tcPr>
          <w:p w14:paraId="50D88FA1">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577791.04元</w:t>
            </w:r>
          </w:p>
        </w:tc>
      </w:tr>
      <w:tr w14:paraId="132072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0006D68F">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9</w:t>
            </w:r>
          </w:p>
        </w:tc>
        <w:tc>
          <w:tcPr>
            <w:tcW w:w="2770" w:type="dxa"/>
            <w:noWrap w:val="0"/>
            <w:vAlign w:val="center"/>
          </w:tcPr>
          <w:p w14:paraId="65DC946C">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是否接受联合体</w:t>
            </w:r>
          </w:p>
        </w:tc>
        <w:tc>
          <w:tcPr>
            <w:tcW w:w="5671" w:type="dxa"/>
            <w:noWrap w:val="0"/>
            <w:vAlign w:val="center"/>
          </w:tcPr>
          <w:p w14:paraId="0EECA82C">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☐是  </w:t>
            </w:r>
            <w:r>
              <w:rPr>
                <w:rFonts w:hint="eastAsia" w:ascii="黑体" w:hAnsi="黑体" w:eastAsia="黑体" w:cs="黑体"/>
                <w:sz w:val="28"/>
                <w:szCs w:val="28"/>
                <w:highlight w:val="none"/>
                <w:lang w:val="en-US" w:eastAsia="zh-CN" w:bidi="ar-SA"/>
              </w:rPr>
              <w:sym w:font="Wingdings 2" w:char="0052"/>
            </w:r>
            <w:r>
              <w:rPr>
                <w:rFonts w:hint="eastAsia" w:ascii="黑体" w:hAnsi="黑体" w:eastAsia="黑体" w:cs="黑体"/>
                <w:sz w:val="24"/>
                <w:szCs w:val="24"/>
                <w:highlight w:val="none"/>
              </w:rPr>
              <w:t>否</w:t>
            </w:r>
          </w:p>
        </w:tc>
      </w:tr>
      <w:tr w14:paraId="088463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06654CD">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10</w:t>
            </w:r>
          </w:p>
        </w:tc>
        <w:tc>
          <w:tcPr>
            <w:tcW w:w="2770" w:type="dxa"/>
            <w:noWrap w:val="0"/>
            <w:vAlign w:val="center"/>
          </w:tcPr>
          <w:p w14:paraId="3BB6B7AF">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投标保证金</w:t>
            </w:r>
          </w:p>
        </w:tc>
        <w:tc>
          <w:tcPr>
            <w:tcW w:w="5671" w:type="dxa"/>
            <w:noWrap w:val="0"/>
            <w:vAlign w:val="center"/>
          </w:tcPr>
          <w:p w14:paraId="19FB8E99">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w:t>
            </w:r>
          </w:p>
        </w:tc>
      </w:tr>
      <w:tr w14:paraId="0FD102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E0E3DFC">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11</w:t>
            </w:r>
          </w:p>
        </w:tc>
        <w:tc>
          <w:tcPr>
            <w:tcW w:w="2770" w:type="dxa"/>
            <w:noWrap w:val="0"/>
            <w:vAlign w:val="center"/>
          </w:tcPr>
          <w:p w14:paraId="78503BBA">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履约保证金</w:t>
            </w:r>
          </w:p>
        </w:tc>
        <w:tc>
          <w:tcPr>
            <w:tcW w:w="5671" w:type="dxa"/>
            <w:noWrap w:val="0"/>
            <w:vAlign w:val="center"/>
          </w:tcPr>
          <w:p w14:paraId="4429071C">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w:t>
            </w:r>
          </w:p>
        </w:tc>
      </w:tr>
      <w:tr w14:paraId="7498A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263AFF9F">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12</w:t>
            </w:r>
          </w:p>
        </w:tc>
        <w:tc>
          <w:tcPr>
            <w:tcW w:w="2770" w:type="dxa"/>
            <w:noWrap w:val="0"/>
            <w:vAlign w:val="center"/>
          </w:tcPr>
          <w:p w14:paraId="39A65263">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投标文件份数</w:t>
            </w:r>
          </w:p>
        </w:tc>
        <w:tc>
          <w:tcPr>
            <w:tcW w:w="5671" w:type="dxa"/>
            <w:noWrap w:val="0"/>
            <w:vAlign w:val="center"/>
          </w:tcPr>
          <w:p w14:paraId="761DDC19">
            <w:pPr>
              <w:jc w:val="both"/>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1份，</w:t>
            </w:r>
            <w:r>
              <w:rPr>
                <w:rFonts w:hint="eastAsia" w:ascii="黑体" w:hAnsi="黑体" w:eastAsia="黑体" w:cs="黑体"/>
                <w:sz w:val="24"/>
                <w:szCs w:val="24"/>
                <w:highlight w:val="none"/>
                <w:lang w:eastAsia="zh-CN"/>
              </w:rPr>
              <w:t>以上传</w:t>
            </w:r>
            <w:r>
              <w:rPr>
                <w:rFonts w:hint="eastAsia" w:ascii="黑体" w:hAnsi="黑体" w:eastAsia="黑体" w:cs="黑体"/>
                <w:sz w:val="24"/>
                <w:szCs w:val="24"/>
                <w:highlight w:val="none"/>
                <w:lang w:val="en-US" w:eastAsia="zh-CN"/>
              </w:rPr>
              <w:t>至</w:t>
            </w:r>
            <w:r>
              <w:rPr>
                <w:rFonts w:hint="eastAsia" w:ascii="黑体" w:hAnsi="黑体" w:eastAsia="黑体" w:cs="黑体"/>
                <w:sz w:val="24"/>
                <w:szCs w:val="24"/>
                <w:highlight w:val="none"/>
                <w:lang w:eastAsia="zh-CN"/>
              </w:rPr>
              <w:t>全国公共资源交易网平台（陕西省.安康市）平台电子版文件为准。</w:t>
            </w:r>
          </w:p>
        </w:tc>
      </w:tr>
      <w:tr w14:paraId="1DD3A0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75967B3">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13</w:t>
            </w:r>
          </w:p>
        </w:tc>
        <w:tc>
          <w:tcPr>
            <w:tcW w:w="2770" w:type="dxa"/>
            <w:noWrap w:val="0"/>
            <w:vAlign w:val="center"/>
          </w:tcPr>
          <w:p w14:paraId="11D5A3A4">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现场踏勘和集中答疑</w:t>
            </w:r>
          </w:p>
        </w:tc>
        <w:tc>
          <w:tcPr>
            <w:tcW w:w="5671" w:type="dxa"/>
            <w:noWrap w:val="0"/>
            <w:vAlign w:val="center"/>
          </w:tcPr>
          <w:p w14:paraId="3454C38E">
            <w:pPr>
              <w:jc w:val="both"/>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现场踏勘</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如需，请自行前往；</w:t>
            </w:r>
          </w:p>
          <w:p w14:paraId="043A4A9A">
            <w:pPr>
              <w:jc w:val="both"/>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rPr>
              <w:t>集中答疑</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无，如有问题请电话咨询。</w:t>
            </w:r>
          </w:p>
        </w:tc>
      </w:tr>
      <w:tr w14:paraId="73E8E9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95AF5B5">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14</w:t>
            </w:r>
          </w:p>
        </w:tc>
        <w:tc>
          <w:tcPr>
            <w:tcW w:w="2770" w:type="dxa"/>
            <w:noWrap w:val="0"/>
            <w:vAlign w:val="center"/>
          </w:tcPr>
          <w:p w14:paraId="35CDF03D">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标前测试</w:t>
            </w:r>
          </w:p>
        </w:tc>
        <w:tc>
          <w:tcPr>
            <w:tcW w:w="5671" w:type="dxa"/>
            <w:noWrap w:val="0"/>
            <w:vAlign w:val="center"/>
          </w:tcPr>
          <w:p w14:paraId="2EA19E8E">
            <w:pPr>
              <w:jc w:val="both"/>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无</w:t>
            </w:r>
          </w:p>
        </w:tc>
      </w:tr>
      <w:tr w14:paraId="38DD28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306A6023">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15</w:t>
            </w:r>
          </w:p>
        </w:tc>
        <w:tc>
          <w:tcPr>
            <w:tcW w:w="2770" w:type="dxa"/>
            <w:noWrap w:val="0"/>
            <w:vAlign w:val="center"/>
          </w:tcPr>
          <w:p w14:paraId="7BEB2205">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政府采购信息发布媒体</w:t>
            </w:r>
          </w:p>
          <w:p w14:paraId="4F71D89E">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（采购公告、采购结果公告、变更公告）</w:t>
            </w:r>
          </w:p>
        </w:tc>
        <w:tc>
          <w:tcPr>
            <w:tcW w:w="5671" w:type="dxa"/>
            <w:noWrap w:val="0"/>
            <w:vAlign w:val="center"/>
          </w:tcPr>
          <w:p w14:paraId="033CAD6D">
            <w:pPr>
              <w:jc w:val="left"/>
              <w:rPr>
                <w:rFonts w:hint="eastAsia" w:ascii="黑体" w:hAnsi="黑体" w:eastAsia="黑体" w:cs="黑体"/>
                <w:sz w:val="24"/>
                <w:szCs w:val="24"/>
                <w:highlight w:val="none"/>
              </w:rPr>
            </w:pPr>
            <w:r>
              <w:rPr>
                <w:rFonts w:hint="eastAsia" w:ascii="黑体" w:hAnsi="黑体" w:eastAsia="黑体" w:cs="黑体"/>
                <w:sz w:val="24"/>
                <w:szCs w:val="24"/>
                <w:highlight w:val="none"/>
              </w:rPr>
              <w:t>1．陕西省政府采购网</w:t>
            </w:r>
          </w:p>
          <w:p w14:paraId="0DA60E5F">
            <w:pPr>
              <w:jc w:val="left"/>
              <w:rPr>
                <w:rFonts w:hint="eastAsia" w:ascii="黑体" w:hAnsi="黑体" w:eastAsia="黑体" w:cs="黑体"/>
                <w:sz w:val="24"/>
                <w:szCs w:val="24"/>
                <w:highlight w:val="none"/>
              </w:rPr>
            </w:pPr>
            <w:r>
              <w:rPr>
                <w:rFonts w:hint="eastAsia" w:ascii="黑体" w:hAnsi="黑体" w:eastAsia="黑体" w:cs="黑体"/>
                <w:sz w:val="24"/>
                <w:szCs w:val="24"/>
                <w:highlight w:val="none"/>
              </w:rPr>
              <w:t>2．全国公共资源交易平台（陕西省·</w:t>
            </w:r>
            <w:r>
              <w:rPr>
                <w:rFonts w:hint="eastAsia" w:ascii="黑体" w:hAnsi="黑体" w:eastAsia="黑体" w:cs="黑体"/>
                <w:sz w:val="24"/>
                <w:szCs w:val="24"/>
                <w:highlight w:val="none"/>
                <w:lang w:val="en-US" w:eastAsia="zh-CN"/>
              </w:rPr>
              <w:t>安康</w:t>
            </w:r>
            <w:r>
              <w:rPr>
                <w:rFonts w:hint="eastAsia" w:ascii="黑体" w:hAnsi="黑体" w:eastAsia="黑体" w:cs="黑体"/>
                <w:sz w:val="24"/>
                <w:szCs w:val="24"/>
                <w:highlight w:val="none"/>
              </w:rPr>
              <w:t>市）</w:t>
            </w:r>
          </w:p>
        </w:tc>
      </w:tr>
      <w:tr w14:paraId="12487B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627AD3F9">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16</w:t>
            </w:r>
          </w:p>
        </w:tc>
        <w:tc>
          <w:tcPr>
            <w:tcW w:w="2770" w:type="dxa"/>
            <w:noWrap w:val="0"/>
            <w:vAlign w:val="center"/>
          </w:tcPr>
          <w:p w14:paraId="292FBF4F">
            <w:pPr>
              <w:jc w:val="center"/>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开标时间</w:t>
            </w:r>
          </w:p>
        </w:tc>
        <w:tc>
          <w:tcPr>
            <w:tcW w:w="5671" w:type="dxa"/>
            <w:noWrap w:val="0"/>
            <w:vAlign w:val="center"/>
          </w:tcPr>
          <w:p w14:paraId="653C3B47">
            <w:pPr>
              <w:jc w:val="both"/>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rPr>
              <w:t>同提交投标文件截止时间</w:t>
            </w:r>
          </w:p>
        </w:tc>
      </w:tr>
      <w:tr w14:paraId="0C6779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5EEE3C9">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17</w:t>
            </w:r>
          </w:p>
        </w:tc>
        <w:tc>
          <w:tcPr>
            <w:tcW w:w="2770" w:type="dxa"/>
            <w:noWrap w:val="0"/>
            <w:vAlign w:val="center"/>
          </w:tcPr>
          <w:p w14:paraId="4A30EA9A">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开标形式</w:t>
            </w:r>
          </w:p>
        </w:tc>
        <w:tc>
          <w:tcPr>
            <w:tcW w:w="5671" w:type="dxa"/>
            <w:noWrap w:val="0"/>
            <w:vAlign w:val="center"/>
          </w:tcPr>
          <w:p w14:paraId="4DADD32E">
            <w:pPr>
              <w:jc w:val="both"/>
              <w:rPr>
                <w:rFonts w:hint="eastAsia" w:ascii="黑体" w:hAnsi="黑体" w:eastAsia="黑体" w:cs="黑体"/>
                <w:sz w:val="24"/>
                <w:szCs w:val="24"/>
                <w:highlight w:val="none"/>
              </w:rPr>
            </w:pPr>
            <w:r>
              <w:rPr>
                <w:rFonts w:hint="eastAsia" w:ascii="黑体" w:hAnsi="黑体" w:eastAsia="黑体" w:cs="黑体"/>
                <w:sz w:val="28"/>
                <w:szCs w:val="28"/>
                <w:highlight w:val="none"/>
                <w:lang w:val="en-US" w:eastAsia="zh-CN" w:bidi="ar-SA"/>
              </w:rPr>
              <w:t>☑</w:t>
            </w:r>
            <w:r>
              <w:rPr>
                <w:rFonts w:hint="eastAsia" w:ascii="黑体" w:hAnsi="黑体" w:eastAsia="黑体" w:cs="黑体"/>
                <w:sz w:val="24"/>
                <w:szCs w:val="24"/>
                <w:highlight w:val="none"/>
              </w:rPr>
              <w:t>不见面开标  ☐见面开标</w:t>
            </w:r>
          </w:p>
          <w:p w14:paraId="01E313F6">
            <w:pPr>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详见本章“开标程序”有关内容。</w:t>
            </w:r>
          </w:p>
        </w:tc>
      </w:tr>
      <w:tr w14:paraId="42EBD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740A21B3">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18</w:t>
            </w:r>
          </w:p>
        </w:tc>
        <w:tc>
          <w:tcPr>
            <w:tcW w:w="2770" w:type="dxa"/>
            <w:noWrap w:val="0"/>
            <w:vAlign w:val="center"/>
          </w:tcPr>
          <w:p w14:paraId="6AC76449">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是否允许递交多个备选投标方案</w:t>
            </w:r>
          </w:p>
        </w:tc>
        <w:tc>
          <w:tcPr>
            <w:tcW w:w="5671" w:type="dxa"/>
            <w:noWrap w:val="0"/>
            <w:vAlign w:val="center"/>
          </w:tcPr>
          <w:p w14:paraId="3E8C5E84">
            <w:pPr>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☐是  </w:t>
            </w:r>
            <w:r>
              <w:rPr>
                <w:rFonts w:hint="eastAsia" w:ascii="黑体" w:hAnsi="黑体" w:eastAsia="黑体" w:cs="黑体"/>
                <w:sz w:val="28"/>
                <w:szCs w:val="28"/>
                <w:highlight w:val="none"/>
                <w:lang w:val="en-US" w:eastAsia="zh-CN" w:bidi="ar-SA"/>
              </w:rPr>
              <w:t>☑</w:t>
            </w:r>
            <w:r>
              <w:rPr>
                <w:rFonts w:hint="eastAsia" w:ascii="黑体" w:hAnsi="黑体" w:eastAsia="黑体" w:cs="黑体"/>
                <w:sz w:val="24"/>
                <w:szCs w:val="24"/>
                <w:highlight w:val="none"/>
              </w:rPr>
              <w:t>否</w:t>
            </w:r>
          </w:p>
        </w:tc>
      </w:tr>
      <w:tr w14:paraId="15CE67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58C1E5AC">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19</w:t>
            </w:r>
          </w:p>
        </w:tc>
        <w:tc>
          <w:tcPr>
            <w:tcW w:w="2770" w:type="dxa"/>
            <w:noWrap w:val="0"/>
            <w:vAlign w:val="center"/>
          </w:tcPr>
          <w:p w14:paraId="088EB1B9">
            <w:pPr>
              <w:jc w:val="center"/>
              <w:rPr>
                <w:rFonts w:hint="eastAsia" w:ascii="黑体" w:hAnsi="黑体" w:eastAsia="黑体" w:cs="黑体"/>
                <w:sz w:val="24"/>
                <w:highlight w:val="none"/>
              </w:rPr>
            </w:pPr>
            <w:r>
              <w:rPr>
                <w:rFonts w:hint="eastAsia" w:ascii="黑体" w:hAnsi="黑体" w:eastAsia="黑体" w:cs="黑体"/>
                <w:sz w:val="24"/>
                <w:szCs w:val="24"/>
                <w:highlight w:val="none"/>
                <w:lang w:val="en-US" w:eastAsia="zh-CN"/>
              </w:rPr>
              <w:t>安康市</w:t>
            </w:r>
            <w:r>
              <w:rPr>
                <w:rFonts w:hint="eastAsia" w:ascii="黑体" w:hAnsi="黑体" w:eastAsia="黑体" w:cs="黑体"/>
                <w:sz w:val="24"/>
                <w:szCs w:val="24"/>
                <w:highlight w:val="none"/>
              </w:rPr>
              <w:t>公共资源交易中心电子化政府采购系统技术支持（软件开发商）</w:t>
            </w:r>
          </w:p>
        </w:tc>
        <w:tc>
          <w:tcPr>
            <w:tcW w:w="5671" w:type="dxa"/>
            <w:noWrap w:val="0"/>
            <w:vAlign w:val="center"/>
          </w:tcPr>
          <w:p w14:paraId="79D63F03">
            <w:pPr>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国泰新点软件股份有限公司</w:t>
            </w:r>
          </w:p>
          <w:p w14:paraId="154A35AF">
            <w:pPr>
              <w:jc w:val="left"/>
              <w:rPr>
                <w:rFonts w:hint="eastAsia" w:ascii="黑体" w:hAnsi="黑体" w:eastAsia="黑体" w:cs="黑体"/>
                <w:sz w:val="24"/>
                <w:szCs w:val="24"/>
                <w:highlight w:val="none"/>
              </w:rPr>
            </w:pPr>
            <w:r>
              <w:rPr>
                <w:rFonts w:hint="eastAsia" w:ascii="黑体" w:hAnsi="黑体" w:eastAsia="黑体" w:cs="黑体"/>
                <w:sz w:val="24"/>
                <w:szCs w:val="24"/>
                <w:highlight w:val="none"/>
              </w:rPr>
              <w:t>1．技术支持热线：400-998-0000/400-928-0095</w:t>
            </w:r>
          </w:p>
        </w:tc>
      </w:tr>
      <w:tr w14:paraId="539B7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54" w:hRule="atLeast"/>
          <w:jc w:val="center"/>
        </w:trPr>
        <w:tc>
          <w:tcPr>
            <w:tcW w:w="978" w:type="dxa"/>
            <w:noWrap w:val="0"/>
            <w:vAlign w:val="center"/>
          </w:tcPr>
          <w:p w14:paraId="05D18EBC">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20</w:t>
            </w:r>
          </w:p>
        </w:tc>
        <w:tc>
          <w:tcPr>
            <w:tcW w:w="2770" w:type="dxa"/>
            <w:noWrap w:val="0"/>
            <w:vAlign w:val="center"/>
          </w:tcPr>
          <w:p w14:paraId="3A2C4904">
            <w:pPr>
              <w:jc w:val="center"/>
              <w:rPr>
                <w:rFonts w:hint="eastAsia" w:ascii="黑体" w:hAnsi="黑体" w:eastAsia="黑体" w:cs="黑体"/>
                <w:sz w:val="24"/>
                <w:highlight w:val="none"/>
              </w:rPr>
            </w:pPr>
            <w:r>
              <w:rPr>
                <w:rFonts w:hint="eastAsia" w:ascii="黑体" w:hAnsi="黑体" w:eastAsia="黑体" w:cs="黑体"/>
                <w:sz w:val="24"/>
                <w:szCs w:val="24"/>
                <w:highlight w:val="none"/>
                <w:lang w:eastAsia="zh-CN"/>
              </w:rPr>
              <w:t>代理服务费</w:t>
            </w:r>
          </w:p>
        </w:tc>
        <w:tc>
          <w:tcPr>
            <w:tcW w:w="5671" w:type="dxa"/>
            <w:noWrap w:val="0"/>
            <w:vAlign w:val="center"/>
          </w:tcPr>
          <w:p w14:paraId="4667042A">
            <w:pPr>
              <w:numPr>
                <w:ilvl w:val="0"/>
                <w:numId w:val="6"/>
              </w:numPr>
              <w:jc w:val="both"/>
              <w:rPr>
                <w:rFonts w:hint="eastAsia" w:ascii="黑体" w:hAnsi="黑体" w:eastAsia="黑体" w:cs="黑体"/>
                <w:b w:val="0"/>
                <w:bCs w:val="0"/>
                <w:color w:val="000000"/>
                <w:sz w:val="24"/>
                <w:highlight w:val="none"/>
              </w:rPr>
            </w:pPr>
            <w:r>
              <w:rPr>
                <w:rFonts w:hint="eastAsia" w:ascii="黑体" w:hAnsi="黑体" w:eastAsia="黑体" w:cs="黑体"/>
                <w:b w:val="0"/>
                <w:bCs w:val="0"/>
                <w:color w:val="000000"/>
                <w:sz w:val="24"/>
                <w:highlight w:val="none"/>
              </w:rPr>
              <w:t>本项目</w:t>
            </w:r>
            <w:r>
              <w:rPr>
                <w:rFonts w:hint="eastAsia" w:ascii="黑体" w:hAnsi="黑体" w:eastAsia="黑体" w:cs="黑体"/>
                <w:b w:val="0"/>
                <w:bCs w:val="0"/>
                <w:color w:val="000000"/>
                <w:sz w:val="24"/>
                <w:highlight w:val="none"/>
                <w:lang w:eastAsia="zh-CN"/>
              </w:rPr>
              <w:t>（</w:t>
            </w:r>
            <w:r>
              <w:rPr>
                <w:rFonts w:hint="eastAsia" w:ascii="黑体" w:hAnsi="黑体" w:eastAsia="黑体" w:cs="黑体"/>
                <w:b w:val="0"/>
                <w:bCs w:val="0"/>
                <w:color w:val="000000"/>
                <w:sz w:val="24"/>
                <w:highlight w:val="none"/>
                <w:lang w:val="en-US" w:eastAsia="zh-CN"/>
              </w:rPr>
              <w:t>包</w:t>
            </w:r>
            <w:r>
              <w:rPr>
                <w:rFonts w:hint="eastAsia" w:ascii="黑体" w:hAnsi="黑体" w:eastAsia="黑体" w:cs="黑体"/>
                <w:b w:val="0"/>
                <w:bCs w:val="0"/>
                <w:color w:val="000000"/>
                <w:sz w:val="24"/>
                <w:highlight w:val="none"/>
                <w:lang w:eastAsia="zh-CN"/>
              </w:rPr>
              <w:t>）</w:t>
            </w:r>
            <w:r>
              <w:rPr>
                <w:rFonts w:hint="eastAsia" w:ascii="黑体" w:hAnsi="黑体" w:eastAsia="黑体" w:cs="黑体"/>
                <w:b w:val="0"/>
                <w:bCs w:val="0"/>
                <w:color w:val="000000"/>
                <w:sz w:val="24"/>
                <w:highlight w:val="none"/>
              </w:rPr>
              <w:t>属性为</w:t>
            </w:r>
            <w:r>
              <w:rPr>
                <w:rFonts w:hint="eastAsia" w:ascii="黑体" w:hAnsi="黑体" w:eastAsia="黑体" w:cs="黑体"/>
                <w:b w:val="0"/>
                <w:bCs w:val="0"/>
                <w:color w:val="000000"/>
                <w:sz w:val="24"/>
                <w:highlight w:val="none"/>
                <w:u w:val="single"/>
              </w:rPr>
              <w:t xml:space="preserve">  </w:t>
            </w:r>
            <w:r>
              <w:rPr>
                <w:rFonts w:hint="eastAsia" w:ascii="黑体" w:hAnsi="黑体" w:eastAsia="黑体" w:cs="黑体"/>
                <w:b w:val="0"/>
                <w:bCs w:val="0"/>
                <w:color w:val="000000"/>
                <w:sz w:val="24"/>
                <w:highlight w:val="none"/>
                <w:u w:val="single"/>
                <w:lang w:val="en-US" w:eastAsia="zh-CN"/>
              </w:rPr>
              <w:t>服务</w:t>
            </w:r>
            <w:r>
              <w:rPr>
                <w:rFonts w:hint="eastAsia" w:ascii="黑体" w:hAnsi="黑体" w:eastAsia="黑体" w:cs="黑体"/>
                <w:b w:val="0"/>
                <w:bCs w:val="0"/>
                <w:color w:val="000000"/>
                <w:sz w:val="24"/>
                <w:highlight w:val="none"/>
                <w:u w:val="single"/>
              </w:rPr>
              <w:t xml:space="preserve">  </w:t>
            </w:r>
            <w:r>
              <w:rPr>
                <w:rFonts w:hint="eastAsia" w:ascii="黑体" w:hAnsi="黑体" w:eastAsia="黑体" w:cs="黑体"/>
                <w:b w:val="0"/>
                <w:bCs w:val="0"/>
                <w:color w:val="000000"/>
                <w:sz w:val="24"/>
                <w:highlight w:val="none"/>
              </w:rPr>
              <w:t>。</w:t>
            </w:r>
          </w:p>
          <w:p w14:paraId="596428BC">
            <w:pPr>
              <w:numPr>
                <w:ilvl w:val="0"/>
                <w:numId w:val="6"/>
              </w:numPr>
              <w:jc w:val="both"/>
              <w:rPr>
                <w:rFonts w:hint="eastAsia" w:ascii="黑体" w:hAnsi="黑体" w:eastAsia="黑体" w:cs="黑体"/>
                <w:sz w:val="24"/>
                <w:highlight w:val="none"/>
              </w:rPr>
            </w:pPr>
            <w:r>
              <w:rPr>
                <w:rFonts w:hint="eastAsia" w:ascii="黑体" w:hAnsi="黑体" w:eastAsia="黑体" w:cs="黑体"/>
                <w:sz w:val="24"/>
                <w:highlight w:val="none"/>
              </w:rPr>
              <w:t>参照《汉阴县财政局关于印发&lt;汉阴县工程造价咨询等服务类收费项目评审最高限价及简化政府采购程序&gt;的通知》（汉财字〔2018〕99 号）文件规定标准收取。</w:t>
            </w:r>
          </w:p>
          <w:p w14:paraId="05735E8E">
            <w:pPr>
              <w:jc w:val="both"/>
              <w:rPr>
                <w:rFonts w:hint="eastAsia" w:ascii="黑体" w:hAnsi="黑体" w:eastAsia="黑体" w:cs="黑体"/>
                <w:sz w:val="24"/>
                <w:szCs w:val="24"/>
                <w:highlight w:val="none"/>
              </w:rPr>
            </w:pPr>
            <w:r>
              <w:rPr>
                <w:rFonts w:hint="eastAsia" w:ascii="黑体" w:hAnsi="黑体" w:eastAsia="黑体" w:cs="黑体"/>
                <w:sz w:val="24"/>
                <w:highlight w:val="none"/>
                <w:lang w:val="en-US" w:eastAsia="zh-CN"/>
              </w:rPr>
              <w:t>3.</w:t>
            </w:r>
            <w:r>
              <w:rPr>
                <w:rFonts w:hint="eastAsia" w:ascii="黑体" w:hAnsi="黑体" w:eastAsia="黑体" w:cs="黑体"/>
                <w:sz w:val="24"/>
                <w:highlight w:val="none"/>
              </w:rPr>
              <w:t>招标代理服务费按约定由中标人支付，</w:t>
            </w:r>
            <w:r>
              <w:rPr>
                <w:rFonts w:hint="eastAsia" w:ascii="黑体" w:hAnsi="黑体" w:eastAsia="黑体" w:cs="黑体"/>
                <w:kern w:val="0"/>
                <w:sz w:val="24"/>
                <w:highlight w:val="none"/>
              </w:rPr>
              <w:t>中标人在领取中标通知书前，须向采购代理机构支付。</w:t>
            </w:r>
          </w:p>
        </w:tc>
      </w:tr>
      <w:tr w14:paraId="1D812B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noWrap w:val="0"/>
            <w:vAlign w:val="center"/>
          </w:tcPr>
          <w:p w14:paraId="11F4D0C6">
            <w:pPr>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21</w:t>
            </w:r>
          </w:p>
        </w:tc>
        <w:tc>
          <w:tcPr>
            <w:tcW w:w="2770" w:type="dxa"/>
            <w:noWrap w:val="0"/>
            <w:vAlign w:val="center"/>
          </w:tcPr>
          <w:p w14:paraId="79823B8C">
            <w:pPr>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其他</w:t>
            </w:r>
          </w:p>
        </w:tc>
        <w:tc>
          <w:tcPr>
            <w:tcW w:w="5671" w:type="dxa"/>
            <w:noWrap w:val="0"/>
            <w:vAlign w:val="center"/>
          </w:tcPr>
          <w:p w14:paraId="0200FE6C">
            <w:pPr>
              <w:numPr>
                <w:ilvl w:val="0"/>
                <w:numId w:val="0"/>
              </w:numPr>
              <w:spacing w:line="360" w:lineRule="auto"/>
              <w:jc w:val="both"/>
              <w:rPr>
                <w:rFonts w:hint="eastAsia" w:ascii="黑体" w:hAnsi="黑体" w:eastAsia="黑体" w:cs="黑体"/>
                <w:sz w:val="24"/>
                <w:szCs w:val="24"/>
                <w:highlight w:val="none"/>
                <w:lang w:val="en-US" w:eastAsia="zh-CN"/>
              </w:rPr>
            </w:pPr>
            <w:r>
              <w:rPr>
                <w:rFonts w:hint="eastAsia" w:ascii="黑体" w:hAnsi="黑体" w:eastAsia="黑体" w:cs="黑体"/>
                <w:kern w:val="2"/>
                <w:sz w:val="24"/>
                <w:szCs w:val="24"/>
                <w:highlight w:val="none"/>
                <w:lang w:val="en-US" w:eastAsia="zh-CN" w:bidi="ar-SA"/>
              </w:rPr>
              <w:t>1.</w:t>
            </w:r>
            <w:r>
              <w:rPr>
                <w:rFonts w:hint="eastAsia" w:ascii="黑体" w:hAnsi="黑体" w:eastAsia="黑体" w:cs="黑体"/>
                <w:sz w:val="24"/>
                <w:szCs w:val="24"/>
                <w:highlight w:val="none"/>
                <w:lang w:val="en-US" w:eastAsia="zh-CN"/>
              </w:rPr>
              <w:t>本项目所属行业为：</w:t>
            </w:r>
            <w:r>
              <w:rPr>
                <w:rFonts w:hint="eastAsia" w:ascii="黑体" w:hAnsi="黑体" w:eastAsia="黑体" w:cs="黑体"/>
                <w:sz w:val="24"/>
                <w:szCs w:val="24"/>
                <w:highlight w:val="none"/>
                <w:u w:val="single"/>
                <w:lang w:val="en-US" w:eastAsia="zh-CN"/>
              </w:rPr>
              <w:t>其他未列明行业。从业人员300 人以下的为中小微型企业。 其中，从业人员 100 人及以上的为中型企业；从业人员 10 人及以上的为 小型企业；从业人员 10 人以下的为微型企业。</w:t>
            </w:r>
            <w:bookmarkStart w:id="146" w:name="_GoBack"/>
            <w:bookmarkEnd w:id="146"/>
          </w:p>
          <w:p w14:paraId="0CFCDEAC">
            <w:pPr>
              <w:pStyle w:val="99"/>
              <w:numPr>
                <w:ilvl w:val="0"/>
                <w:numId w:val="0"/>
              </w:numPr>
              <w:spacing w:line="360" w:lineRule="auto"/>
              <w:ind w:left="0" w:leftChars="0" w:firstLine="0" w:firstLineChars="0"/>
              <w:jc w:val="both"/>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rPr>
              <w:t>.本</w:t>
            </w:r>
            <w:r>
              <w:rPr>
                <w:rFonts w:hint="eastAsia" w:ascii="黑体" w:hAnsi="黑体" w:eastAsia="黑体" w:cs="黑体"/>
                <w:sz w:val="24"/>
                <w:szCs w:val="24"/>
                <w:highlight w:val="none"/>
                <w:lang w:val="en-US" w:eastAsia="zh-CN"/>
              </w:rPr>
              <w:t>招标</w:t>
            </w:r>
            <w:r>
              <w:rPr>
                <w:rFonts w:hint="eastAsia" w:ascii="黑体" w:hAnsi="黑体" w:eastAsia="黑体" w:cs="黑体"/>
                <w:sz w:val="24"/>
                <w:szCs w:val="24"/>
                <w:highlight w:val="none"/>
                <w:lang w:eastAsia="zh-CN"/>
              </w:rPr>
              <w:t>文件</w:t>
            </w:r>
            <w:r>
              <w:rPr>
                <w:rFonts w:hint="eastAsia" w:ascii="黑体" w:hAnsi="黑体" w:eastAsia="黑体" w:cs="黑体"/>
                <w:sz w:val="24"/>
                <w:szCs w:val="24"/>
                <w:highlight w:val="none"/>
              </w:rPr>
              <w:t>未明确的其他事项，按照有关法律、法规或省市有关规定执行。本</w:t>
            </w:r>
            <w:r>
              <w:rPr>
                <w:rFonts w:hint="eastAsia" w:ascii="黑体" w:hAnsi="黑体" w:eastAsia="黑体" w:cs="黑体"/>
                <w:sz w:val="24"/>
                <w:szCs w:val="24"/>
                <w:highlight w:val="none"/>
                <w:lang w:eastAsia="zh-CN"/>
              </w:rPr>
              <w:t>招标文件</w:t>
            </w:r>
            <w:r>
              <w:rPr>
                <w:rFonts w:hint="eastAsia" w:ascii="黑体" w:hAnsi="黑体" w:eastAsia="黑体" w:cs="黑体"/>
                <w:sz w:val="24"/>
                <w:szCs w:val="24"/>
                <w:highlight w:val="none"/>
              </w:rPr>
              <w:t>由采购人和招标代理机构负责解释。</w:t>
            </w:r>
          </w:p>
        </w:tc>
      </w:tr>
      <w:bookmarkEnd w:id="0"/>
    </w:tbl>
    <w:p w14:paraId="1E580C1E">
      <w:pPr>
        <w:ind w:firstLine="3614" w:firstLineChars="1200"/>
        <w:jc w:val="both"/>
        <w:outlineLvl w:val="1"/>
        <w:rPr>
          <w:rFonts w:hint="eastAsia" w:ascii="黑体" w:hAnsi="黑体" w:eastAsia="黑体" w:cs="黑体"/>
          <w:b/>
          <w:color w:val="auto"/>
          <w:sz w:val="30"/>
          <w:szCs w:val="30"/>
          <w:highlight w:val="none"/>
        </w:rPr>
      </w:pPr>
    </w:p>
    <w:p w14:paraId="26269463">
      <w:pPr>
        <w:ind w:firstLine="3614" w:firstLineChars="1200"/>
        <w:jc w:val="both"/>
        <w:outlineLvl w:val="1"/>
        <w:rPr>
          <w:rFonts w:hint="eastAsia" w:ascii="黑体" w:hAnsi="黑体" w:eastAsia="黑体" w:cs="黑体"/>
          <w:b/>
          <w:color w:val="auto"/>
          <w:sz w:val="30"/>
          <w:szCs w:val="30"/>
          <w:highlight w:val="none"/>
        </w:rPr>
      </w:pPr>
    </w:p>
    <w:p w14:paraId="6B211E4E">
      <w:pPr>
        <w:ind w:firstLine="3614" w:firstLineChars="1200"/>
        <w:jc w:val="both"/>
        <w:outlineLvl w:val="1"/>
        <w:rPr>
          <w:rFonts w:hint="eastAsia" w:ascii="黑体" w:hAnsi="黑体" w:eastAsia="黑体" w:cs="黑体"/>
          <w:b/>
          <w:color w:val="auto"/>
          <w:sz w:val="30"/>
          <w:szCs w:val="30"/>
          <w:highlight w:val="none"/>
        </w:rPr>
      </w:pPr>
    </w:p>
    <w:p w14:paraId="7C8E3702">
      <w:pPr>
        <w:ind w:firstLine="3614" w:firstLineChars="1200"/>
        <w:jc w:val="both"/>
        <w:outlineLvl w:val="1"/>
        <w:rPr>
          <w:rFonts w:hint="eastAsia" w:ascii="黑体" w:hAnsi="黑体" w:eastAsia="黑体" w:cs="黑体"/>
          <w:b/>
          <w:color w:val="auto"/>
          <w:sz w:val="30"/>
          <w:szCs w:val="30"/>
          <w:highlight w:val="none"/>
        </w:rPr>
      </w:pPr>
    </w:p>
    <w:p w14:paraId="4B167114">
      <w:pPr>
        <w:ind w:firstLine="3614" w:firstLineChars="1200"/>
        <w:jc w:val="both"/>
        <w:outlineLvl w:val="1"/>
        <w:rPr>
          <w:rFonts w:hint="eastAsia" w:ascii="黑体" w:hAnsi="黑体" w:eastAsia="黑体" w:cs="黑体"/>
          <w:b/>
          <w:color w:val="auto"/>
          <w:sz w:val="30"/>
          <w:szCs w:val="30"/>
          <w:highlight w:val="none"/>
        </w:rPr>
      </w:pPr>
    </w:p>
    <w:p w14:paraId="65FF02A7">
      <w:pPr>
        <w:ind w:firstLine="3614" w:firstLineChars="1200"/>
        <w:jc w:val="both"/>
        <w:outlineLvl w:val="1"/>
        <w:rPr>
          <w:rFonts w:hint="eastAsia" w:ascii="黑体" w:hAnsi="黑体" w:eastAsia="黑体" w:cs="黑体"/>
          <w:b/>
          <w:color w:val="auto"/>
          <w:sz w:val="30"/>
          <w:szCs w:val="30"/>
          <w:highlight w:val="none"/>
        </w:rPr>
      </w:pPr>
    </w:p>
    <w:p w14:paraId="44554F99">
      <w:pPr>
        <w:ind w:firstLine="3614" w:firstLineChars="1200"/>
        <w:jc w:val="both"/>
        <w:outlineLvl w:val="1"/>
        <w:rPr>
          <w:rFonts w:hint="eastAsia" w:ascii="黑体" w:hAnsi="黑体" w:eastAsia="黑体" w:cs="黑体"/>
          <w:b/>
          <w:color w:val="auto"/>
          <w:sz w:val="30"/>
          <w:szCs w:val="30"/>
          <w:highlight w:val="none"/>
        </w:rPr>
      </w:pPr>
    </w:p>
    <w:p w14:paraId="4F7C40F2">
      <w:pPr>
        <w:jc w:val="both"/>
        <w:outlineLvl w:val="1"/>
        <w:rPr>
          <w:rFonts w:hint="eastAsia" w:ascii="黑体" w:hAnsi="黑体" w:eastAsia="黑体" w:cs="黑体"/>
          <w:b/>
          <w:color w:val="auto"/>
          <w:sz w:val="30"/>
          <w:szCs w:val="30"/>
          <w:highlight w:val="none"/>
        </w:rPr>
      </w:pPr>
    </w:p>
    <w:p w14:paraId="3B7F798E">
      <w:pPr>
        <w:jc w:val="center"/>
        <w:outlineLvl w:val="1"/>
        <w:rPr>
          <w:rFonts w:hint="eastAsia" w:ascii="黑体" w:hAnsi="黑体" w:eastAsia="黑体" w:cs="黑体"/>
          <w:b/>
          <w:color w:val="auto"/>
          <w:sz w:val="30"/>
          <w:szCs w:val="30"/>
          <w:highlight w:val="none"/>
          <w:lang w:val="en-US" w:eastAsia="zh-CN"/>
        </w:rPr>
      </w:pPr>
    </w:p>
    <w:p w14:paraId="4385BE2A">
      <w:pPr>
        <w:jc w:val="center"/>
        <w:outlineLvl w:val="1"/>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val="en-US" w:eastAsia="zh-CN"/>
        </w:rPr>
        <w:t>二、</w:t>
      </w:r>
      <w:r>
        <w:rPr>
          <w:rFonts w:hint="eastAsia" w:ascii="黑体" w:hAnsi="黑体" w:eastAsia="黑体" w:cs="黑体"/>
          <w:b/>
          <w:color w:val="auto"/>
          <w:sz w:val="30"/>
          <w:szCs w:val="30"/>
          <w:highlight w:val="none"/>
        </w:rPr>
        <w:t>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2359575">
      <w:pPr>
        <w:spacing w:line="440" w:lineRule="exact"/>
        <w:ind w:firstLine="470" w:firstLineChars="196"/>
        <w:rPr>
          <w:rFonts w:hint="eastAsia" w:ascii="黑体" w:hAnsi="黑体" w:eastAsia="黑体" w:cs="黑体"/>
          <w:color w:val="auto"/>
          <w:sz w:val="24"/>
          <w:highlight w:val="none"/>
        </w:rPr>
      </w:pPr>
      <w:r>
        <w:rPr>
          <w:rFonts w:hint="eastAsia" w:ascii="黑体" w:hAnsi="黑体" w:eastAsia="黑体" w:cs="黑体"/>
          <w:color w:val="auto"/>
          <w:sz w:val="24"/>
          <w:highlight w:val="none"/>
        </w:rPr>
        <w:t>本次招标依据《中华人民共和国政府采购法》、《政府采购货物和服务招标投标管理办法》、及国家现行有关法律法规执行。</w:t>
      </w:r>
    </w:p>
    <w:p w14:paraId="1EED8AE0">
      <w:pPr>
        <w:spacing w:line="440" w:lineRule="exact"/>
        <w:ind w:firstLine="472" w:firstLineChars="196"/>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1．采购人、采购代理机构、监督管理机构</w:t>
      </w:r>
    </w:p>
    <w:p w14:paraId="26B1E17B">
      <w:pPr>
        <w:spacing w:line="440" w:lineRule="exact"/>
        <w:ind w:firstLine="470" w:firstLineChars="196"/>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1.1 采   购   人：</w:t>
      </w:r>
      <w:r>
        <w:rPr>
          <w:rFonts w:hint="eastAsia" w:ascii="黑体" w:hAnsi="黑体" w:eastAsia="黑体" w:cs="黑体"/>
          <w:color w:val="auto"/>
          <w:sz w:val="24"/>
          <w:highlight w:val="none"/>
          <w:lang w:eastAsia="zh-CN"/>
        </w:rPr>
        <w:t>汉阴县第二高级中学</w:t>
      </w:r>
    </w:p>
    <w:p w14:paraId="235F41F6">
      <w:pPr>
        <w:spacing w:line="440" w:lineRule="exact"/>
        <w:ind w:firstLine="470" w:firstLineChars="196"/>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1.2 采购代理机构：</w:t>
      </w:r>
      <w:r>
        <w:rPr>
          <w:rFonts w:hint="eastAsia" w:ascii="黑体" w:hAnsi="黑体" w:eastAsia="黑体" w:cs="黑体"/>
          <w:color w:val="auto"/>
          <w:sz w:val="24"/>
          <w:highlight w:val="none"/>
          <w:lang w:eastAsia="zh-CN"/>
        </w:rPr>
        <w:t>陕西博诚方圆项目管理有限公司</w:t>
      </w:r>
    </w:p>
    <w:p w14:paraId="06B45144">
      <w:pPr>
        <w:spacing w:line="440" w:lineRule="exact"/>
        <w:ind w:firstLine="470" w:firstLineChars="196"/>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1.3 监督机构：汉阴县财政局</w:t>
      </w:r>
    </w:p>
    <w:p w14:paraId="06AF95E5">
      <w:pPr>
        <w:spacing w:line="440" w:lineRule="exact"/>
        <w:ind w:firstLine="472" w:firstLineChars="196"/>
        <w:rPr>
          <w:rFonts w:hint="eastAsia" w:ascii="黑体" w:hAnsi="黑体" w:eastAsia="黑体" w:cs="黑体"/>
          <w:color w:val="auto"/>
          <w:sz w:val="24"/>
          <w:highlight w:val="none"/>
        </w:rPr>
      </w:pPr>
      <w:r>
        <w:rPr>
          <w:rFonts w:hint="eastAsia" w:ascii="黑体" w:hAnsi="黑体" w:eastAsia="黑体" w:cs="黑体"/>
          <w:b/>
          <w:bCs/>
          <w:color w:val="auto"/>
          <w:sz w:val="24"/>
          <w:highlight w:val="none"/>
        </w:rPr>
        <w:t>2．合格的投标人、合格的服务</w:t>
      </w:r>
    </w:p>
    <w:p w14:paraId="4BEDB8D0">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2.1 合格的投标人</w:t>
      </w:r>
    </w:p>
    <w:p w14:paraId="1DC856F4">
      <w:pPr>
        <w:spacing w:line="440" w:lineRule="exact"/>
        <w:ind w:firstLine="470" w:firstLineChars="196"/>
        <w:rPr>
          <w:rFonts w:hint="eastAsia" w:ascii="黑体" w:hAnsi="黑体" w:eastAsia="黑体" w:cs="黑体"/>
          <w:color w:val="auto"/>
          <w:sz w:val="24"/>
          <w:highlight w:val="none"/>
        </w:rPr>
      </w:pPr>
      <w:r>
        <w:rPr>
          <w:rFonts w:hint="eastAsia" w:ascii="黑体" w:hAnsi="黑体" w:eastAsia="黑体" w:cs="黑体"/>
          <w:color w:val="auto"/>
          <w:sz w:val="24"/>
          <w:highlight w:val="none"/>
        </w:rPr>
        <w:t>2.1.1 资质要求：</w:t>
      </w:r>
    </w:p>
    <w:p w14:paraId="06FC5898">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1、符合《中华人民共和国政府采购法》第二十二条的规定；</w:t>
      </w:r>
    </w:p>
    <w:p w14:paraId="6E5FAC19">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2、落实政府采购政策需满足的资格要求：</w:t>
      </w:r>
    </w:p>
    <w:p w14:paraId="5967CB5C">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（1）《财政部国家发展改革委关于印发〈节能产品政府采购实施意见〉的通知》（财库〔2004〕185号）；</w:t>
      </w:r>
    </w:p>
    <w:p w14:paraId="2C8F1C7B">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（2）《财政部环保总局关于环境标志产品政府采购实施的意见》（财库〔2006〕90号）；</w:t>
      </w:r>
    </w:p>
    <w:p w14:paraId="14DE3714">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（3）《国务院办公厅关于建立政府强制采购节能产品制度的通知》（国办发〔2007〕51号）；</w:t>
      </w:r>
    </w:p>
    <w:p w14:paraId="4C68F8D0">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（4）《政府采购促进中小企业发展管理办法》（财库〔2020〕46号）；</w:t>
      </w:r>
    </w:p>
    <w:p w14:paraId="17A29491">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（5）《财政部司法部关于政府采购支持监狱企业发展有关问题的通知》（财库〔2014〕68号）；</w:t>
      </w:r>
    </w:p>
    <w:p w14:paraId="74972FD0">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（6）《民政部财政部中国残疾人联合会关于促进残疾人就业政府采购政策的通知》（财库〔2017〕141号）；</w:t>
      </w:r>
    </w:p>
    <w:p w14:paraId="4A2F250C">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（7）《陕西省中小企业政府采购信用融资办法》（陕财办采〔2018〕23号）；</w:t>
      </w:r>
    </w:p>
    <w:p w14:paraId="5D2C657B">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（8）《关于进一步加大政府采购支持中小企业力度的通知》（财库〔2022〕19号）；</w:t>
      </w:r>
    </w:p>
    <w:p w14:paraId="4FF1875B">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i w:val="0"/>
          <w:iCs w:val="0"/>
          <w:caps w:val="0"/>
          <w:color w:val="auto"/>
          <w:spacing w:val="0"/>
          <w:sz w:val="24"/>
          <w:szCs w:val="24"/>
          <w:highlight w:val="none"/>
          <w:shd w:val="clear" w:fill="FFFFFF"/>
        </w:rPr>
      </w:pPr>
      <w:r>
        <w:rPr>
          <w:rFonts w:hint="eastAsia" w:ascii="黑体" w:hAnsi="黑体" w:eastAsia="黑体" w:cs="黑体"/>
          <w:i w:val="0"/>
          <w:iCs w:val="0"/>
          <w:caps w:val="0"/>
          <w:color w:val="auto"/>
          <w:spacing w:val="0"/>
          <w:sz w:val="24"/>
          <w:szCs w:val="24"/>
          <w:highlight w:val="none"/>
          <w:shd w:val="clear" w:fill="FFFFFF"/>
        </w:rPr>
        <w:t>（9）其他需要落实的政府采购政策。</w:t>
      </w:r>
    </w:p>
    <w:p w14:paraId="01D92379">
      <w:pPr>
        <w:pStyle w:val="19"/>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lang w:val="en-US" w:eastAsia="zh-CN"/>
        </w:rPr>
        <w:t>2.1.2</w:t>
      </w:r>
      <w:r>
        <w:rPr>
          <w:rFonts w:hint="eastAsia" w:ascii="黑体" w:hAnsi="黑体" w:eastAsia="黑体" w:cs="黑体"/>
          <w:bCs/>
          <w:color w:val="auto"/>
          <w:szCs w:val="21"/>
          <w:highlight w:val="none"/>
        </w:rPr>
        <w:t>本项目的特定资格要求：</w:t>
      </w:r>
    </w:p>
    <w:p w14:paraId="6D9B1B1A">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（1）营业执照等主体资格证明文件：提供有效存续的企业营业执照（副本）/事业单位法人证书/专业服务机构执业许可证/民办非企业单位登记证书；；</w:t>
      </w:r>
    </w:p>
    <w:p w14:paraId="687FF47C">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（2）法定代表人直接投标须提交其身份证扫描件；法定代表人授权代表参加投标的，须出具授权书及被授权人身份证扫描件、授权代表本单位的证明（提供有效的养老保险缴纳证明或劳动合同）；</w:t>
      </w:r>
    </w:p>
    <w:p w14:paraId="2E71CC10">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（3）财务状况报告：投标人须提供2022或2023年度经会计师事务所审计的审计报告（新成立企业可从成立当年开始提供相对应的财务报表）或其投标前三个月内基本存款账户开户银行出具的资信证明；</w:t>
      </w:r>
    </w:p>
    <w:p w14:paraId="0ED02655">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（4）税收缴纳证明：投标人须提供投标截止时间前六个月内任意一个月的缴税证明（注：依法免税或零申报的投标人须提供相关文件证明；若为新成立企业可提供相应月度的缴税证明）；</w:t>
      </w:r>
    </w:p>
    <w:p w14:paraId="422B1243">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5）社会保障资金缴纳证明：提供投标截止时间前六个月内任意一个月的社会保险缴纳证明（注：依法不需要缴纳社会保障资金的投标人应提供相关文件证明；若为新成立企业可提供相应月度的社会保险缴纳证明）；</w:t>
      </w:r>
    </w:p>
    <w:p w14:paraId="30414E5F">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（6）投标人须提供具有履行合同所必需的设备和专业技术能力的承诺函(加盖投标人公章)；</w:t>
      </w:r>
    </w:p>
    <w:p w14:paraId="0C755ABF">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（7）投标人应具备良好的商业信誉，提供参加政府采购活动前3年内在经营活动中没有重大违法记录的书面声明；</w:t>
      </w:r>
    </w:p>
    <w:p w14:paraId="75DF16DD">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701ACEF8">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（9）本项目专门面向</w:t>
      </w:r>
      <w:r>
        <w:rPr>
          <w:rFonts w:hint="eastAsia" w:ascii="黑体" w:hAnsi="黑体" w:eastAsia="黑体" w:cs="黑体"/>
          <w:color w:val="auto"/>
          <w:sz w:val="24"/>
          <w:highlight w:val="none"/>
          <w:lang w:val="en-US" w:eastAsia="zh-CN"/>
        </w:rPr>
        <w:t>小微</w:t>
      </w:r>
      <w:r>
        <w:rPr>
          <w:rFonts w:hint="eastAsia" w:ascii="黑体" w:hAnsi="黑体" w:eastAsia="黑体" w:cs="黑体"/>
          <w:i w:val="0"/>
          <w:iCs w:val="0"/>
          <w:caps w:val="0"/>
          <w:color w:val="auto"/>
          <w:spacing w:val="0"/>
          <w:sz w:val="24"/>
          <w:szCs w:val="24"/>
          <w:highlight w:val="none"/>
          <w:shd w:val="clear" w:fill="FFFFFF"/>
          <w:lang w:eastAsia="zh-CN"/>
        </w:rPr>
        <w:t>企业采购，仅限符合《政府采购促进中小企业发展管理办法》（财库〔2020〕46号）条件的企业参与，投标人应填写</w:t>
      </w:r>
      <w:r>
        <w:rPr>
          <w:rFonts w:hint="eastAsia" w:ascii="黑体" w:hAnsi="黑体" w:eastAsia="黑体" w:cs="黑体"/>
          <w:color w:val="auto"/>
          <w:sz w:val="24"/>
          <w:highlight w:val="none"/>
          <w:lang w:val="en-US" w:eastAsia="zh-CN"/>
        </w:rPr>
        <w:t>小微</w:t>
      </w:r>
      <w:r>
        <w:rPr>
          <w:rFonts w:hint="eastAsia" w:ascii="黑体" w:hAnsi="黑体" w:eastAsia="黑体" w:cs="黑体"/>
          <w:i w:val="0"/>
          <w:iCs w:val="0"/>
          <w:caps w:val="0"/>
          <w:color w:val="auto"/>
          <w:spacing w:val="0"/>
          <w:sz w:val="24"/>
          <w:szCs w:val="24"/>
          <w:highlight w:val="none"/>
          <w:shd w:val="clear" w:fill="FFFFFF"/>
          <w:lang w:eastAsia="zh-CN"/>
        </w:rPr>
        <w:t>企业声明函并对真实性负责（残疾人福利性单位及监狱企业视同为小型、微型企业）。</w:t>
      </w:r>
    </w:p>
    <w:p w14:paraId="3C2547DF">
      <w:pPr>
        <w:pStyle w:val="2"/>
        <w:spacing w:after="0" w:line="440" w:lineRule="exact"/>
        <w:ind w:firstLine="480" w:firstLineChars="200"/>
        <w:rPr>
          <w:rFonts w:hint="eastAsia" w:ascii="黑体" w:hAnsi="黑体" w:eastAsia="黑体" w:cs="黑体"/>
          <w:i w:val="0"/>
          <w:iCs w:val="0"/>
          <w:caps w:val="0"/>
          <w:color w:val="auto"/>
          <w:spacing w:val="0"/>
          <w:sz w:val="24"/>
          <w:szCs w:val="24"/>
          <w:highlight w:val="none"/>
          <w:shd w:val="clear" w:fill="FFFFFF"/>
          <w:lang w:eastAsia="zh-CN"/>
        </w:rPr>
      </w:pPr>
      <w:r>
        <w:rPr>
          <w:rFonts w:hint="eastAsia" w:ascii="黑体" w:hAnsi="黑体" w:eastAsia="黑体" w:cs="黑体"/>
          <w:i w:val="0"/>
          <w:iCs w:val="0"/>
          <w:caps w:val="0"/>
          <w:color w:val="auto"/>
          <w:spacing w:val="0"/>
          <w:sz w:val="24"/>
          <w:szCs w:val="24"/>
          <w:highlight w:val="none"/>
          <w:shd w:val="clear" w:fill="FFFFFF"/>
          <w:lang w:eastAsia="zh-CN"/>
        </w:rPr>
        <w:t>（10）供应商应具有有效的《餐饮服务许可证》或《食品经营许可证》。</w:t>
      </w:r>
    </w:p>
    <w:p w14:paraId="54164696">
      <w:pPr>
        <w:pStyle w:val="2"/>
        <w:spacing w:after="0"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2.1.</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 xml:space="preserve"> 本项目不接受联合体投标。</w:t>
      </w:r>
    </w:p>
    <w:p w14:paraId="6FC97745">
      <w:pPr>
        <w:spacing w:line="440" w:lineRule="exact"/>
        <w:ind w:firstLine="472" w:firstLineChars="196"/>
        <w:rPr>
          <w:rFonts w:hint="eastAsia" w:ascii="黑体" w:hAnsi="黑体" w:eastAsia="黑体" w:cs="黑体"/>
          <w:b/>
          <w:color w:val="auto"/>
          <w:sz w:val="24"/>
          <w:highlight w:val="none"/>
        </w:rPr>
      </w:pPr>
      <w:bookmarkStart w:id="27" w:name="_Toc167591479"/>
      <w:bookmarkStart w:id="28" w:name="_Toc169846763"/>
      <w:bookmarkStart w:id="29" w:name="_Toc244623578"/>
      <w:bookmarkStart w:id="30" w:name="_Toc167591030"/>
      <w:bookmarkStart w:id="31" w:name="_Toc245658521"/>
      <w:bookmarkStart w:id="32" w:name="_Toc170980441"/>
      <w:bookmarkStart w:id="33" w:name="_Toc167591317"/>
      <w:bookmarkStart w:id="34" w:name="_Toc167849347"/>
      <w:bookmarkStart w:id="35" w:name="_Toc175032424"/>
      <w:bookmarkStart w:id="36" w:name="_Toc169846860"/>
      <w:bookmarkStart w:id="37" w:name="_Toc245176652"/>
      <w:bookmarkStart w:id="38" w:name="_Toc169838519"/>
      <w:bookmarkStart w:id="39" w:name="_Toc154482466"/>
      <w:bookmarkStart w:id="40" w:name="_Toc245657540"/>
      <w:bookmarkStart w:id="41" w:name="_Toc167590762"/>
      <w:bookmarkStart w:id="42" w:name="_Toc167591131"/>
      <w:bookmarkStart w:id="43" w:name="_Toc170980539"/>
      <w:bookmarkStart w:id="44" w:name="_Toc208337151"/>
      <w:bookmarkStart w:id="45" w:name="_Toc207897903"/>
      <w:bookmarkStart w:id="46" w:name="_Toc173549965"/>
      <w:bookmarkStart w:id="47" w:name="_Toc175033579"/>
      <w:r>
        <w:rPr>
          <w:rFonts w:hint="eastAsia" w:ascii="黑体" w:hAnsi="黑体" w:eastAsia="黑体" w:cs="黑体"/>
          <w:b/>
          <w:color w:val="auto"/>
          <w:sz w:val="24"/>
          <w:highlight w:val="none"/>
        </w:rPr>
        <w:t>2.2 合格的服务</w:t>
      </w:r>
    </w:p>
    <w:p w14:paraId="1EE33C49">
      <w:pPr>
        <w:spacing w:line="440" w:lineRule="exact"/>
        <w:ind w:firstLine="470" w:firstLineChars="196"/>
        <w:rPr>
          <w:rFonts w:hint="eastAsia" w:ascii="黑体" w:hAnsi="黑体" w:eastAsia="黑体" w:cs="黑体"/>
          <w:color w:val="auto"/>
          <w:sz w:val="24"/>
          <w:highlight w:val="none"/>
        </w:rPr>
      </w:pPr>
      <w:r>
        <w:rPr>
          <w:rFonts w:hint="eastAsia" w:ascii="黑体" w:hAnsi="黑体" w:eastAsia="黑体" w:cs="黑体"/>
          <w:color w:val="auto"/>
          <w:sz w:val="24"/>
          <w:highlight w:val="none"/>
        </w:rPr>
        <w:t>2.2.1服务系指</w:t>
      </w:r>
      <w:r>
        <w:rPr>
          <w:rFonts w:hint="eastAsia" w:ascii="黑体" w:hAnsi="黑体" w:eastAsia="黑体" w:cs="黑体"/>
          <w:color w:val="auto"/>
          <w:sz w:val="24"/>
          <w:highlight w:val="none"/>
          <w:lang w:val="en-US" w:eastAsia="zh-CN"/>
        </w:rPr>
        <w:t>招标</w:t>
      </w:r>
      <w:r>
        <w:rPr>
          <w:rFonts w:hint="eastAsia" w:ascii="黑体" w:hAnsi="黑体" w:eastAsia="黑体" w:cs="黑体"/>
          <w:color w:val="auto"/>
          <w:sz w:val="24"/>
          <w:highlight w:val="none"/>
        </w:rPr>
        <w:t>文件规定的，供应商须承担的与本次采购项目有关的服务及其他类似的义务。</w:t>
      </w:r>
    </w:p>
    <w:p w14:paraId="2F9917E2">
      <w:pPr>
        <w:spacing w:line="440" w:lineRule="exact"/>
        <w:ind w:firstLine="482" w:firstLineChars="200"/>
        <w:rPr>
          <w:rFonts w:hint="eastAsia" w:ascii="黑体" w:hAnsi="黑体" w:eastAsia="黑体" w:cs="黑体"/>
          <w:color w:val="auto"/>
          <w:sz w:val="24"/>
          <w:highlight w:val="none"/>
        </w:rPr>
      </w:pPr>
      <w:r>
        <w:rPr>
          <w:rFonts w:hint="eastAsia" w:ascii="黑体" w:hAnsi="黑体" w:eastAsia="黑体" w:cs="黑体"/>
          <w:b/>
          <w:color w:val="auto"/>
          <w:sz w:val="24"/>
          <w:highlight w:val="none"/>
        </w:rPr>
        <w:t>3．投标费用</w:t>
      </w:r>
    </w:p>
    <w:p w14:paraId="2D5D47FA">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投标人应承担所有与准备和参加投标有关的费用。</w:t>
      </w:r>
    </w:p>
    <w:p w14:paraId="18ACBA11">
      <w:pPr>
        <w:jc w:val="center"/>
        <w:outlineLvl w:val="1"/>
        <w:rPr>
          <w:rFonts w:hint="eastAsia" w:ascii="黑体" w:hAnsi="黑体" w:eastAsia="黑体" w:cs="黑体"/>
          <w:b/>
          <w:color w:val="auto"/>
          <w:sz w:val="30"/>
          <w:szCs w:val="30"/>
          <w:highlight w:val="none"/>
        </w:rPr>
      </w:pPr>
    </w:p>
    <w:p w14:paraId="7F1616A2">
      <w:pPr>
        <w:jc w:val="center"/>
        <w:outlineLvl w:val="1"/>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二、招标文件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3150AA4">
      <w:pPr>
        <w:spacing w:line="440" w:lineRule="exact"/>
        <w:ind w:firstLine="482"/>
        <w:rPr>
          <w:rFonts w:hint="eastAsia" w:ascii="黑体" w:hAnsi="黑体" w:eastAsia="黑体" w:cs="黑体"/>
          <w:b/>
          <w:color w:val="auto"/>
          <w:kern w:val="1"/>
          <w:sz w:val="24"/>
          <w:highlight w:val="none"/>
        </w:rPr>
      </w:pPr>
      <w:bookmarkStart w:id="48" w:name="_Toc170980442"/>
      <w:bookmarkStart w:id="49" w:name="_Toc245658522"/>
      <w:bookmarkStart w:id="50" w:name="_Toc208337152"/>
      <w:bookmarkStart w:id="51" w:name="_Toc167590763"/>
      <w:bookmarkStart w:id="52" w:name="_Toc173549966"/>
      <w:bookmarkStart w:id="53" w:name="_Toc154482467"/>
      <w:bookmarkStart w:id="54" w:name="_Toc167849348"/>
      <w:bookmarkStart w:id="55" w:name="_Toc169838520"/>
      <w:bookmarkStart w:id="56" w:name="_Toc169846764"/>
      <w:bookmarkStart w:id="57" w:name="_Toc170980540"/>
      <w:bookmarkStart w:id="58" w:name="_Toc175032425"/>
      <w:bookmarkStart w:id="59" w:name="_Toc175033580"/>
      <w:bookmarkStart w:id="60" w:name="_Toc207897904"/>
      <w:bookmarkStart w:id="61" w:name="_Toc169846861"/>
      <w:bookmarkStart w:id="62" w:name="_Toc167591480"/>
      <w:bookmarkStart w:id="63" w:name="_Toc167591318"/>
      <w:bookmarkStart w:id="64" w:name="_Toc167591132"/>
      <w:bookmarkStart w:id="65" w:name="_Toc244623579"/>
      <w:bookmarkStart w:id="66" w:name="_Toc245176653"/>
      <w:bookmarkStart w:id="67" w:name="_Toc245657541"/>
      <w:bookmarkStart w:id="68" w:name="_Toc167591031"/>
      <w:r>
        <w:rPr>
          <w:rFonts w:hint="eastAsia" w:ascii="黑体" w:hAnsi="黑体" w:eastAsia="黑体" w:cs="黑体"/>
          <w:b/>
          <w:color w:val="auto"/>
          <w:kern w:val="1"/>
          <w:sz w:val="24"/>
          <w:highlight w:val="none"/>
        </w:rPr>
        <w:t>4．招标文件构成</w:t>
      </w:r>
    </w:p>
    <w:p w14:paraId="7612AD2A">
      <w:pPr>
        <w:spacing w:line="440" w:lineRule="exact"/>
        <w:ind w:firstLine="47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招标文件包括下列内容：</w:t>
      </w:r>
    </w:p>
    <w:p w14:paraId="1CE513F2">
      <w:pPr>
        <w:numPr>
          <w:ilvl w:val="0"/>
          <w:numId w:val="0"/>
        </w:numPr>
        <w:spacing w:line="440" w:lineRule="exact"/>
        <w:ind w:firstLine="480" w:firstLineChars="20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lang w:val="en-US" w:eastAsia="zh-CN"/>
        </w:rPr>
        <w:t xml:space="preserve">第一章  </w:t>
      </w:r>
      <w:r>
        <w:rPr>
          <w:rFonts w:hint="eastAsia" w:ascii="黑体" w:hAnsi="黑体" w:eastAsia="黑体" w:cs="黑体"/>
          <w:color w:val="auto"/>
          <w:kern w:val="1"/>
          <w:sz w:val="24"/>
          <w:highlight w:val="none"/>
        </w:rPr>
        <w:t>招标公告</w:t>
      </w:r>
    </w:p>
    <w:p w14:paraId="31B6F824">
      <w:pPr>
        <w:numPr>
          <w:ilvl w:val="0"/>
          <w:numId w:val="0"/>
        </w:numPr>
        <w:spacing w:line="440" w:lineRule="exact"/>
        <w:ind w:firstLine="480" w:firstLineChars="20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lang w:val="en-US" w:eastAsia="zh-CN"/>
        </w:rPr>
        <w:t xml:space="preserve">第二章  </w:t>
      </w:r>
      <w:r>
        <w:rPr>
          <w:rFonts w:hint="eastAsia" w:ascii="黑体" w:hAnsi="黑体" w:eastAsia="黑体" w:cs="黑体"/>
          <w:color w:val="auto"/>
          <w:kern w:val="1"/>
          <w:sz w:val="24"/>
          <w:highlight w:val="none"/>
        </w:rPr>
        <w:t>投标须知</w:t>
      </w:r>
    </w:p>
    <w:p w14:paraId="39B0C042">
      <w:pPr>
        <w:numPr>
          <w:ilvl w:val="0"/>
          <w:numId w:val="0"/>
        </w:numPr>
        <w:spacing w:line="440" w:lineRule="exact"/>
        <w:ind w:firstLine="480" w:firstLineChars="20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lang w:val="en-US" w:eastAsia="zh-CN"/>
        </w:rPr>
        <w:t>第三章  采购内容及技术要求</w:t>
      </w:r>
    </w:p>
    <w:p w14:paraId="46BB9B4B">
      <w:pPr>
        <w:numPr>
          <w:ilvl w:val="0"/>
          <w:numId w:val="0"/>
        </w:numPr>
        <w:spacing w:line="440" w:lineRule="exact"/>
        <w:ind w:firstLine="480" w:firstLineChars="200"/>
        <w:rPr>
          <w:rFonts w:hint="eastAsia" w:ascii="黑体" w:hAnsi="黑体" w:eastAsia="黑体" w:cs="黑体"/>
          <w:color w:val="auto"/>
          <w:kern w:val="1"/>
          <w:sz w:val="24"/>
          <w:highlight w:val="none"/>
          <w:lang w:val="en-US"/>
        </w:rPr>
      </w:pPr>
      <w:r>
        <w:rPr>
          <w:rFonts w:hint="eastAsia" w:ascii="黑体" w:hAnsi="黑体" w:eastAsia="黑体" w:cs="黑体"/>
          <w:color w:val="auto"/>
          <w:kern w:val="1"/>
          <w:sz w:val="24"/>
          <w:highlight w:val="none"/>
          <w:lang w:val="en-US" w:eastAsia="zh-CN"/>
        </w:rPr>
        <w:t>第四章  商务条款</w:t>
      </w:r>
    </w:p>
    <w:p w14:paraId="13184F9B">
      <w:pPr>
        <w:numPr>
          <w:ilvl w:val="0"/>
          <w:numId w:val="0"/>
        </w:numPr>
        <w:spacing w:line="440" w:lineRule="exact"/>
        <w:ind w:firstLine="480" w:firstLineChars="20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lang w:val="en-US" w:eastAsia="zh-CN"/>
        </w:rPr>
        <w:t xml:space="preserve">第五章  </w:t>
      </w:r>
      <w:r>
        <w:rPr>
          <w:rFonts w:hint="eastAsia" w:ascii="黑体" w:hAnsi="黑体" w:eastAsia="黑体" w:cs="黑体"/>
          <w:color w:val="auto"/>
          <w:kern w:val="1"/>
          <w:sz w:val="24"/>
          <w:highlight w:val="none"/>
        </w:rPr>
        <w:t>投标文件基本格式</w:t>
      </w:r>
    </w:p>
    <w:p w14:paraId="0FF3006A">
      <w:pPr>
        <w:spacing w:line="440" w:lineRule="exact"/>
        <w:ind w:firstLine="482"/>
        <w:rPr>
          <w:rFonts w:hint="eastAsia" w:ascii="黑体" w:hAnsi="黑体" w:eastAsia="黑体" w:cs="黑体"/>
          <w:b/>
          <w:color w:val="auto"/>
          <w:kern w:val="1"/>
          <w:sz w:val="24"/>
          <w:highlight w:val="none"/>
        </w:rPr>
      </w:pPr>
      <w:r>
        <w:rPr>
          <w:rFonts w:hint="eastAsia" w:ascii="黑体" w:hAnsi="黑体" w:eastAsia="黑体" w:cs="黑体"/>
          <w:b/>
          <w:color w:val="auto"/>
          <w:kern w:val="1"/>
          <w:sz w:val="24"/>
          <w:highlight w:val="none"/>
        </w:rPr>
        <w:t>5．招标文件的澄清和修改</w:t>
      </w:r>
    </w:p>
    <w:p w14:paraId="47ABEEA6">
      <w:pPr>
        <w:spacing w:line="440" w:lineRule="exact"/>
        <w:ind w:firstLine="480"/>
        <w:rPr>
          <w:rFonts w:hint="eastAsia" w:ascii="黑体" w:hAnsi="黑体" w:eastAsia="黑体" w:cs="黑体"/>
          <w:color w:val="auto"/>
          <w:sz w:val="24"/>
          <w:szCs w:val="24"/>
          <w:highlight w:val="none"/>
        </w:rPr>
      </w:pPr>
      <w:r>
        <w:rPr>
          <w:rFonts w:hint="eastAsia" w:ascii="黑体" w:hAnsi="黑体" w:eastAsia="黑体" w:cs="黑体"/>
          <w:color w:val="auto"/>
          <w:kern w:val="1"/>
          <w:sz w:val="24"/>
          <w:szCs w:val="24"/>
          <w:highlight w:val="none"/>
        </w:rPr>
        <w:t xml:space="preserve">5.1 </w:t>
      </w:r>
      <w:r>
        <w:rPr>
          <w:rFonts w:hint="eastAsia" w:ascii="黑体" w:hAnsi="黑体" w:eastAsia="黑体" w:cs="黑体"/>
          <w:color w:val="auto"/>
          <w:sz w:val="24"/>
          <w:szCs w:val="24"/>
          <w:highlight w:val="none"/>
          <w:lang w:eastAsia="zh-CN"/>
        </w:rPr>
        <w:t>采购代理机构</w:t>
      </w:r>
      <w:r>
        <w:rPr>
          <w:rFonts w:hint="eastAsia" w:ascii="黑体" w:hAnsi="黑体" w:eastAsia="黑体" w:cs="黑体"/>
          <w:color w:val="auto"/>
          <w:sz w:val="24"/>
          <w:szCs w:val="24"/>
          <w:highlight w:val="none"/>
        </w:rPr>
        <w:t>可以对已发出的</w:t>
      </w:r>
      <w:r>
        <w:rPr>
          <w:rFonts w:hint="eastAsia" w:ascii="黑体" w:hAnsi="黑体" w:eastAsia="黑体" w:cs="黑体"/>
          <w:color w:val="auto"/>
          <w:sz w:val="24"/>
          <w:szCs w:val="24"/>
          <w:highlight w:val="none"/>
          <w:lang w:eastAsia="zh-CN"/>
        </w:rPr>
        <w:t>招标文件</w:t>
      </w:r>
      <w:r>
        <w:rPr>
          <w:rFonts w:hint="eastAsia" w:ascii="黑体" w:hAnsi="黑体" w:eastAsia="黑体" w:cs="黑体"/>
          <w:color w:val="auto"/>
          <w:sz w:val="24"/>
          <w:szCs w:val="24"/>
          <w:highlight w:val="none"/>
        </w:rPr>
        <w:t>进行必要的澄清或者修改</w:t>
      </w:r>
      <w:r>
        <w:rPr>
          <w:rFonts w:hint="eastAsia" w:ascii="黑体" w:hAnsi="黑体" w:eastAsia="黑体" w:cs="黑体"/>
          <w:b/>
          <w:color w:val="auto"/>
          <w:sz w:val="24"/>
          <w:szCs w:val="24"/>
          <w:highlight w:val="none"/>
        </w:rPr>
        <w:t>。</w:t>
      </w:r>
      <w:r>
        <w:rPr>
          <w:rFonts w:hint="eastAsia" w:ascii="黑体" w:hAnsi="黑体" w:eastAsia="黑体" w:cs="黑体"/>
          <w:color w:val="auto"/>
          <w:sz w:val="24"/>
          <w:szCs w:val="24"/>
          <w:highlight w:val="none"/>
        </w:rPr>
        <w:t>澄清或者修改应将在原公告发布媒体上发布澄清公告，其内容为</w:t>
      </w:r>
      <w:r>
        <w:rPr>
          <w:rFonts w:hint="eastAsia" w:ascii="黑体" w:hAnsi="黑体" w:eastAsia="黑体" w:cs="黑体"/>
          <w:color w:val="auto"/>
          <w:sz w:val="24"/>
          <w:szCs w:val="24"/>
          <w:highlight w:val="none"/>
          <w:lang w:eastAsia="zh-CN"/>
        </w:rPr>
        <w:t>招标文件</w:t>
      </w:r>
      <w:r>
        <w:rPr>
          <w:rFonts w:hint="eastAsia" w:ascii="黑体" w:hAnsi="黑体" w:eastAsia="黑体" w:cs="黑体"/>
          <w:color w:val="auto"/>
          <w:sz w:val="24"/>
          <w:szCs w:val="24"/>
          <w:highlight w:val="none"/>
        </w:rPr>
        <w:t>的组成部分。</w:t>
      </w:r>
    </w:p>
    <w:p w14:paraId="6E3EA423">
      <w:pPr>
        <w:spacing w:line="440" w:lineRule="exact"/>
        <w:ind w:firstLine="480"/>
        <w:rPr>
          <w:rFonts w:hint="eastAsia" w:ascii="黑体" w:hAnsi="黑体" w:eastAsia="黑体" w:cs="黑体"/>
          <w:color w:val="auto"/>
          <w:kern w:val="1"/>
          <w:sz w:val="24"/>
          <w:szCs w:val="24"/>
          <w:highlight w:val="none"/>
        </w:rPr>
      </w:pPr>
      <w:r>
        <w:rPr>
          <w:rFonts w:hint="eastAsia" w:ascii="黑体" w:hAnsi="黑体" w:eastAsia="黑体" w:cs="黑体"/>
          <w:color w:val="auto"/>
          <w:kern w:val="1"/>
          <w:sz w:val="24"/>
          <w:szCs w:val="24"/>
          <w:highlight w:val="none"/>
        </w:rPr>
        <w:t>5.2 澄清或者修改的内容可能影响</w:t>
      </w:r>
      <w:r>
        <w:rPr>
          <w:rFonts w:hint="eastAsia" w:ascii="黑体" w:hAnsi="黑体" w:eastAsia="黑体" w:cs="黑体"/>
          <w:color w:val="auto"/>
          <w:kern w:val="1"/>
          <w:sz w:val="24"/>
          <w:szCs w:val="24"/>
          <w:highlight w:val="none"/>
          <w:lang w:eastAsia="zh-CN"/>
        </w:rPr>
        <w:t>投标文件</w:t>
      </w:r>
      <w:r>
        <w:rPr>
          <w:rFonts w:hint="eastAsia" w:ascii="黑体" w:hAnsi="黑体" w:eastAsia="黑体" w:cs="黑体"/>
          <w:color w:val="auto"/>
          <w:kern w:val="1"/>
          <w:sz w:val="24"/>
          <w:szCs w:val="24"/>
          <w:highlight w:val="none"/>
        </w:rPr>
        <w:t>编制的，</w:t>
      </w:r>
      <w:r>
        <w:rPr>
          <w:rFonts w:hint="eastAsia" w:ascii="黑体" w:hAnsi="黑体" w:eastAsia="黑体" w:cs="黑体"/>
          <w:color w:val="auto"/>
          <w:kern w:val="1"/>
          <w:sz w:val="24"/>
          <w:szCs w:val="24"/>
          <w:highlight w:val="none"/>
          <w:lang w:eastAsia="zh-CN"/>
        </w:rPr>
        <w:t>采购代理机构</w:t>
      </w:r>
      <w:r>
        <w:rPr>
          <w:rFonts w:hint="eastAsia" w:ascii="黑体" w:hAnsi="黑体" w:eastAsia="黑体" w:cs="黑体"/>
          <w:color w:val="auto"/>
          <w:kern w:val="1"/>
          <w:sz w:val="24"/>
          <w:szCs w:val="24"/>
          <w:highlight w:val="none"/>
        </w:rPr>
        <w:t>将在投标截止时间至少</w:t>
      </w:r>
      <w:r>
        <w:rPr>
          <w:rFonts w:hint="eastAsia" w:ascii="黑体" w:hAnsi="黑体" w:eastAsia="黑体" w:cs="黑体"/>
          <w:color w:val="auto"/>
          <w:kern w:val="1"/>
          <w:sz w:val="24"/>
          <w:szCs w:val="24"/>
          <w:highlight w:val="none"/>
          <w:lang w:val="en-US" w:eastAsia="zh-CN"/>
        </w:rPr>
        <w:t>15</w:t>
      </w:r>
      <w:r>
        <w:rPr>
          <w:rFonts w:hint="eastAsia" w:ascii="黑体" w:hAnsi="黑体" w:eastAsia="黑体" w:cs="黑体"/>
          <w:color w:val="auto"/>
          <w:kern w:val="1"/>
          <w:sz w:val="24"/>
          <w:szCs w:val="24"/>
          <w:highlight w:val="none"/>
        </w:rPr>
        <w:t>日前，在原公告发布媒体上发布更正公告；不足</w:t>
      </w:r>
      <w:r>
        <w:rPr>
          <w:rFonts w:hint="eastAsia" w:ascii="黑体" w:hAnsi="黑体" w:eastAsia="黑体" w:cs="黑体"/>
          <w:color w:val="auto"/>
          <w:kern w:val="1"/>
          <w:sz w:val="24"/>
          <w:szCs w:val="24"/>
          <w:highlight w:val="none"/>
          <w:lang w:val="en-US" w:eastAsia="zh-CN"/>
        </w:rPr>
        <w:t>15</w:t>
      </w:r>
      <w:r>
        <w:rPr>
          <w:rFonts w:hint="eastAsia" w:ascii="黑体" w:hAnsi="黑体" w:eastAsia="黑体" w:cs="黑体"/>
          <w:color w:val="auto"/>
          <w:kern w:val="1"/>
          <w:sz w:val="24"/>
          <w:szCs w:val="24"/>
          <w:highlight w:val="none"/>
        </w:rPr>
        <w:t>日</w:t>
      </w:r>
      <w:r>
        <w:rPr>
          <w:rFonts w:hint="eastAsia" w:ascii="黑体" w:hAnsi="黑体" w:eastAsia="黑体" w:cs="黑体"/>
          <w:color w:val="auto"/>
          <w:kern w:val="1"/>
          <w:sz w:val="24"/>
          <w:szCs w:val="24"/>
          <w:highlight w:val="none"/>
          <w:lang w:val="en-US" w:eastAsia="zh-CN"/>
        </w:rPr>
        <w:t>的</w:t>
      </w:r>
      <w:r>
        <w:rPr>
          <w:rFonts w:hint="eastAsia" w:ascii="黑体" w:hAnsi="黑体" w:eastAsia="黑体" w:cs="黑体"/>
          <w:color w:val="auto"/>
          <w:kern w:val="1"/>
          <w:sz w:val="24"/>
          <w:szCs w:val="24"/>
          <w:highlight w:val="none"/>
        </w:rPr>
        <w:t>，</w:t>
      </w:r>
      <w:r>
        <w:rPr>
          <w:rFonts w:hint="eastAsia" w:ascii="黑体" w:hAnsi="黑体" w:eastAsia="黑体" w:cs="黑体"/>
          <w:color w:val="auto"/>
          <w:kern w:val="1"/>
          <w:sz w:val="24"/>
          <w:szCs w:val="24"/>
          <w:highlight w:val="none"/>
          <w:lang w:eastAsia="zh-CN"/>
        </w:rPr>
        <w:t>采购代理机构</w:t>
      </w:r>
      <w:r>
        <w:rPr>
          <w:rFonts w:hint="eastAsia" w:ascii="黑体" w:hAnsi="黑体" w:eastAsia="黑体" w:cs="黑体"/>
          <w:color w:val="auto"/>
          <w:kern w:val="1"/>
          <w:sz w:val="24"/>
          <w:szCs w:val="24"/>
          <w:highlight w:val="none"/>
        </w:rPr>
        <w:t>将顺延提交</w:t>
      </w:r>
      <w:r>
        <w:rPr>
          <w:rFonts w:hint="eastAsia" w:ascii="黑体" w:hAnsi="黑体" w:eastAsia="黑体" w:cs="黑体"/>
          <w:color w:val="auto"/>
          <w:kern w:val="1"/>
          <w:sz w:val="24"/>
          <w:szCs w:val="24"/>
          <w:highlight w:val="none"/>
          <w:lang w:eastAsia="zh-CN"/>
        </w:rPr>
        <w:t>投标文件</w:t>
      </w:r>
      <w:r>
        <w:rPr>
          <w:rFonts w:hint="eastAsia" w:ascii="黑体" w:hAnsi="黑体" w:eastAsia="黑体" w:cs="黑体"/>
          <w:color w:val="auto"/>
          <w:kern w:val="1"/>
          <w:sz w:val="24"/>
          <w:szCs w:val="24"/>
          <w:highlight w:val="none"/>
        </w:rPr>
        <w:t>的截止时间。</w:t>
      </w:r>
    </w:p>
    <w:p w14:paraId="0810D0B6">
      <w:pPr>
        <w:spacing w:line="500" w:lineRule="exact"/>
        <w:ind w:firstLine="480" w:firstLineChars="200"/>
        <w:rPr>
          <w:rFonts w:hint="eastAsia" w:ascii="黑体" w:hAnsi="黑体" w:eastAsia="黑体" w:cs="黑体"/>
          <w:color w:val="auto"/>
          <w:sz w:val="24"/>
          <w:szCs w:val="24"/>
          <w:highlight w:val="none"/>
          <w:lang w:eastAsia="zh-CN"/>
        </w:rPr>
      </w:pPr>
      <w:r>
        <w:rPr>
          <w:rFonts w:hint="eastAsia" w:ascii="黑体" w:hAnsi="黑体" w:eastAsia="黑体" w:cs="黑体"/>
          <w:color w:val="auto"/>
          <w:kern w:val="1"/>
          <w:sz w:val="24"/>
          <w:szCs w:val="24"/>
          <w:highlight w:val="none"/>
        </w:rPr>
        <w:t xml:space="preserve">5.3 </w:t>
      </w:r>
      <w:r>
        <w:rPr>
          <w:rFonts w:hint="eastAsia" w:ascii="黑体" w:hAnsi="黑体" w:eastAsia="黑体" w:cs="黑体"/>
          <w:color w:val="auto"/>
          <w:sz w:val="24"/>
          <w:szCs w:val="24"/>
          <w:highlight w:val="none"/>
        </w:rPr>
        <w:t>各</w:t>
      </w:r>
      <w:r>
        <w:rPr>
          <w:rFonts w:hint="eastAsia" w:ascii="黑体" w:hAnsi="黑体" w:eastAsia="黑体" w:cs="黑体"/>
          <w:color w:val="auto"/>
          <w:sz w:val="24"/>
          <w:szCs w:val="24"/>
          <w:highlight w:val="none"/>
          <w:lang w:eastAsia="zh-CN"/>
        </w:rPr>
        <w:t>投标人</w:t>
      </w:r>
      <w:r>
        <w:rPr>
          <w:rFonts w:hint="eastAsia" w:ascii="黑体" w:hAnsi="黑体" w:eastAsia="黑体" w:cs="黑体"/>
          <w:color w:val="auto"/>
          <w:sz w:val="24"/>
          <w:szCs w:val="24"/>
          <w:highlight w:val="none"/>
        </w:rPr>
        <w:t>在提交</w:t>
      </w:r>
      <w:r>
        <w:rPr>
          <w:rFonts w:hint="eastAsia" w:ascii="黑体" w:hAnsi="黑体" w:eastAsia="黑体" w:cs="黑体"/>
          <w:color w:val="auto"/>
          <w:sz w:val="24"/>
          <w:szCs w:val="24"/>
          <w:highlight w:val="none"/>
          <w:lang w:eastAsia="zh-CN"/>
        </w:rPr>
        <w:t>投标文件</w:t>
      </w:r>
      <w:r>
        <w:rPr>
          <w:rFonts w:hint="eastAsia" w:ascii="黑体" w:hAnsi="黑体" w:eastAsia="黑体" w:cs="黑体"/>
          <w:color w:val="auto"/>
          <w:sz w:val="24"/>
          <w:szCs w:val="24"/>
          <w:highlight w:val="none"/>
        </w:rPr>
        <w:t>截止时间之前，应随时关注下列地址发布的变更公告，也可登录全国公共资源交易平台（陕西省）政府采购交易系统查看信息提醒，</w:t>
      </w:r>
      <w:r>
        <w:rPr>
          <w:rFonts w:hint="eastAsia" w:ascii="黑体" w:hAnsi="黑体" w:eastAsia="黑体" w:cs="黑体"/>
          <w:color w:val="auto"/>
          <w:sz w:val="24"/>
          <w:szCs w:val="24"/>
          <w:highlight w:val="none"/>
          <w:lang w:eastAsia="zh-CN"/>
        </w:rPr>
        <w:t>采购代理机构</w:t>
      </w:r>
      <w:r>
        <w:rPr>
          <w:rFonts w:hint="eastAsia" w:ascii="黑体" w:hAnsi="黑体" w:eastAsia="黑体" w:cs="黑体"/>
          <w:b/>
          <w:color w:val="auto"/>
          <w:sz w:val="24"/>
          <w:szCs w:val="24"/>
          <w:highlight w:val="none"/>
        </w:rPr>
        <w:t>不再单独通知，因</w:t>
      </w:r>
      <w:r>
        <w:rPr>
          <w:rFonts w:hint="eastAsia" w:ascii="黑体" w:hAnsi="黑体" w:eastAsia="黑体" w:cs="黑体"/>
          <w:b/>
          <w:color w:val="auto"/>
          <w:sz w:val="24"/>
          <w:szCs w:val="24"/>
          <w:highlight w:val="none"/>
          <w:lang w:eastAsia="zh-CN"/>
        </w:rPr>
        <w:t>投标人</w:t>
      </w:r>
      <w:r>
        <w:rPr>
          <w:rFonts w:hint="eastAsia" w:ascii="黑体" w:hAnsi="黑体" w:eastAsia="黑体" w:cs="黑体"/>
          <w:b/>
          <w:color w:val="auto"/>
          <w:sz w:val="24"/>
          <w:szCs w:val="24"/>
          <w:highlight w:val="none"/>
        </w:rPr>
        <w:t>未及时关注所造成的一切后果由</w:t>
      </w:r>
      <w:r>
        <w:rPr>
          <w:rFonts w:hint="eastAsia" w:ascii="黑体" w:hAnsi="黑体" w:eastAsia="黑体" w:cs="黑体"/>
          <w:b/>
          <w:color w:val="auto"/>
          <w:sz w:val="24"/>
          <w:szCs w:val="24"/>
          <w:highlight w:val="none"/>
          <w:lang w:eastAsia="zh-CN"/>
        </w:rPr>
        <w:t>投标人</w:t>
      </w:r>
      <w:r>
        <w:rPr>
          <w:rFonts w:hint="eastAsia" w:ascii="黑体" w:hAnsi="黑体" w:eastAsia="黑体" w:cs="黑体"/>
          <w:b/>
          <w:color w:val="auto"/>
          <w:sz w:val="24"/>
          <w:szCs w:val="24"/>
          <w:highlight w:val="none"/>
        </w:rPr>
        <w:t>自行承担</w:t>
      </w:r>
      <w:r>
        <w:rPr>
          <w:rFonts w:hint="eastAsia" w:ascii="黑体" w:hAnsi="黑体" w:eastAsia="黑体" w:cs="黑体"/>
          <w:b/>
          <w:color w:val="auto"/>
          <w:sz w:val="24"/>
          <w:szCs w:val="24"/>
          <w:highlight w:val="none"/>
          <w:lang w:eastAsia="zh-CN"/>
        </w:rPr>
        <w:t>。</w:t>
      </w:r>
    </w:p>
    <w:p w14:paraId="1C0EFF9C">
      <w:pPr>
        <w:spacing w:line="440" w:lineRule="exact"/>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1"/>
          <w:sz w:val="24"/>
          <w:szCs w:val="24"/>
          <w:highlight w:val="none"/>
        </w:rPr>
        <w:t>6招标文件的解释权归采购代理机构。</w:t>
      </w:r>
    </w:p>
    <w:p w14:paraId="44974AF2">
      <w:pPr>
        <w:spacing w:before="156" w:beforeLines="50" w:after="156" w:afterLines="50" w:line="480" w:lineRule="exact"/>
        <w:jc w:val="center"/>
        <w:outlineLvl w:val="1"/>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三、投标文件的编制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A2CA1FD">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7．编制要求</w:t>
      </w:r>
    </w:p>
    <w:p w14:paraId="72C1C1EF">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7.1 投标人应认真阅读招标文件的所有内容，严格按照招标文件的要求编制和提供投标文件，并保证所提供的全部资料的真实性，使投标文件对招标文件作出实质性响应。</w:t>
      </w:r>
    </w:p>
    <w:p w14:paraId="7E9C7B19">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 xml:space="preserve">7.2 </w:t>
      </w:r>
      <w:r>
        <w:rPr>
          <w:rFonts w:hint="eastAsia" w:ascii="黑体" w:hAnsi="黑体" w:eastAsia="黑体" w:cs="黑体"/>
          <w:color w:val="auto"/>
          <w:sz w:val="24"/>
          <w:highlight w:val="none"/>
        </w:rPr>
        <w:t>投标人提交的投标文件以及投标人与采购代理机构就有关投标的所有来往函电均应以中文书写。</w:t>
      </w:r>
    </w:p>
    <w:p w14:paraId="4567F5D8">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8．投标文件构成和格式</w:t>
      </w:r>
    </w:p>
    <w:p w14:paraId="1877DD92">
      <w:pPr>
        <w:spacing w:line="440" w:lineRule="exact"/>
        <w:ind w:firstLine="480" w:firstLineChars="20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8.1 投标人编写的投标文件应按招标文件提供的相应格式</w:t>
      </w:r>
      <w:r>
        <w:rPr>
          <w:rFonts w:hint="eastAsia" w:ascii="黑体" w:hAnsi="黑体" w:eastAsia="黑体" w:cs="黑体"/>
          <w:color w:val="auto"/>
          <w:sz w:val="24"/>
          <w:highlight w:val="none"/>
          <w:lang w:val="en-US" w:eastAsia="zh-CN"/>
        </w:rPr>
        <w:t>按</w:t>
      </w:r>
      <w:r>
        <w:rPr>
          <w:rFonts w:hint="eastAsia" w:ascii="黑体" w:hAnsi="黑体" w:eastAsia="黑体" w:cs="黑体"/>
          <w:color w:val="auto"/>
          <w:sz w:val="24"/>
          <w:highlight w:val="none"/>
        </w:rPr>
        <w:t>顺序编写</w:t>
      </w:r>
      <w:r>
        <w:rPr>
          <w:rFonts w:hint="eastAsia" w:ascii="黑体" w:hAnsi="黑体" w:eastAsia="黑体" w:cs="黑体"/>
          <w:color w:val="auto"/>
          <w:sz w:val="24"/>
          <w:highlight w:val="none"/>
          <w:lang w:eastAsia="zh-CN"/>
        </w:rPr>
        <w:t>。</w:t>
      </w:r>
    </w:p>
    <w:p w14:paraId="1CE03273">
      <w:pPr>
        <w:spacing w:line="440" w:lineRule="exact"/>
        <w:ind w:firstLine="480" w:firstLineChars="20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8.2 投标人应按照本须知及第</w:t>
      </w:r>
      <w:r>
        <w:rPr>
          <w:rFonts w:hint="eastAsia" w:ascii="黑体" w:hAnsi="黑体" w:eastAsia="黑体" w:cs="黑体"/>
          <w:color w:val="auto"/>
          <w:kern w:val="1"/>
          <w:sz w:val="24"/>
          <w:highlight w:val="none"/>
          <w:lang w:val="en-US" w:eastAsia="zh-CN"/>
        </w:rPr>
        <w:t>五</w:t>
      </w:r>
      <w:r>
        <w:rPr>
          <w:rFonts w:hint="eastAsia" w:ascii="黑体" w:hAnsi="黑体" w:eastAsia="黑体" w:cs="黑体"/>
          <w:color w:val="auto"/>
          <w:kern w:val="1"/>
          <w:sz w:val="24"/>
          <w:highlight w:val="none"/>
        </w:rPr>
        <w:t>章提供的格式编写投标文件，不得缺少招标文件要求填写的表格或提交的资料。</w:t>
      </w:r>
    </w:p>
    <w:p w14:paraId="3DA819DF">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kern w:val="1"/>
          <w:sz w:val="24"/>
          <w:highlight w:val="none"/>
        </w:rPr>
        <w:t>8.3 投标人应将投标文件按本须知规定的顺序编排并应编制目录</w:t>
      </w:r>
      <w:r>
        <w:rPr>
          <w:rFonts w:hint="eastAsia" w:ascii="黑体" w:hAnsi="黑体" w:eastAsia="黑体" w:cs="黑体"/>
          <w:b/>
          <w:color w:val="auto"/>
          <w:kern w:val="1"/>
          <w:sz w:val="24"/>
          <w:highlight w:val="none"/>
        </w:rPr>
        <w:t>。</w:t>
      </w:r>
    </w:p>
    <w:p w14:paraId="593C6E1A">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9．投标报价</w:t>
      </w:r>
    </w:p>
    <w:p w14:paraId="6EE0B159">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9.1 投标报价为完成本项目所要求服务的全部内容、中标服务费</w:t>
      </w:r>
      <w:r>
        <w:rPr>
          <w:rFonts w:hint="eastAsia" w:ascii="黑体" w:hAnsi="黑体" w:eastAsia="黑体" w:cs="黑体"/>
          <w:color w:val="auto"/>
          <w:sz w:val="24"/>
          <w:highlight w:val="none"/>
          <w:lang w:val="zh-CN"/>
        </w:rPr>
        <w:t>及</w:t>
      </w:r>
      <w:r>
        <w:rPr>
          <w:rFonts w:hint="eastAsia" w:ascii="黑体" w:hAnsi="黑体" w:eastAsia="黑体" w:cs="黑体"/>
          <w:color w:val="auto"/>
          <w:sz w:val="24"/>
          <w:highlight w:val="none"/>
        </w:rPr>
        <w:t>国家按现行税收政策征收的一切税费。</w:t>
      </w:r>
    </w:p>
    <w:p w14:paraId="28E087F3">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9.2 </w:t>
      </w:r>
      <w:r>
        <w:rPr>
          <w:rFonts w:hint="eastAsia" w:ascii="黑体" w:hAnsi="黑体" w:eastAsia="黑体" w:cs="黑体"/>
          <w:snapToGrid w:val="0"/>
          <w:color w:val="auto"/>
          <w:sz w:val="24"/>
          <w:highlight w:val="none"/>
        </w:rPr>
        <w:t>投标人须对</w:t>
      </w:r>
      <w:r>
        <w:rPr>
          <w:rFonts w:hint="eastAsia" w:ascii="黑体" w:hAnsi="黑体" w:eastAsia="黑体" w:cs="黑体"/>
          <w:color w:val="auto"/>
          <w:sz w:val="24"/>
          <w:highlight w:val="none"/>
        </w:rPr>
        <w:t>服务要求进行完整报价。采购人拒绝只对部分服务进行报价的投标。投标人应在投标文件中的投标分项报价表上标明对本次招标拟提供服务的单价和总价，任何有选择的报价将不予接受。</w:t>
      </w:r>
    </w:p>
    <w:p w14:paraId="44991BBF">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9.3. 所有根据合同或其它原因应由投标人支付的税款和其它应交纳的费用都要包括在投标人提交的投标报价中。</w:t>
      </w:r>
    </w:p>
    <w:p w14:paraId="516A520C">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9.4 投标人所报的投标价在合同执行过程中是固定不变的，不得以任何理由予以变更。任何包含价格调整要求的投标，将被认为是非响应性投标而予以拒绝。</w:t>
      </w:r>
    </w:p>
    <w:p w14:paraId="642A48C2">
      <w:pPr>
        <w:spacing w:line="440" w:lineRule="exact"/>
        <w:ind w:right="-199" w:rightChars="-95" w:firstLine="482" w:firstLineChars="200"/>
        <w:jc w:val="left"/>
        <w:rPr>
          <w:rFonts w:hint="eastAsia" w:ascii="黑体" w:hAnsi="黑体" w:eastAsia="黑体" w:cs="黑体"/>
          <w:b/>
          <w:bCs/>
          <w:color w:val="auto"/>
          <w:sz w:val="24"/>
          <w:highlight w:val="none"/>
          <w:lang w:val="en-US" w:eastAsia="zh-CN"/>
        </w:rPr>
      </w:pPr>
      <w:r>
        <w:rPr>
          <w:rFonts w:hint="eastAsia" w:ascii="黑体" w:hAnsi="黑体" w:eastAsia="黑体" w:cs="黑体"/>
          <w:b/>
          <w:bCs/>
          <w:color w:val="auto"/>
          <w:sz w:val="24"/>
          <w:highlight w:val="none"/>
        </w:rPr>
        <w:t>9.5 本项目</w:t>
      </w:r>
      <w:r>
        <w:rPr>
          <w:rFonts w:hint="eastAsia" w:ascii="黑体" w:hAnsi="黑体" w:eastAsia="黑体" w:cs="黑体"/>
          <w:b/>
          <w:bCs/>
          <w:color w:val="auto"/>
          <w:sz w:val="24"/>
          <w:highlight w:val="none"/>
          <w:lang w:val="en-US" w:eastAsia="zh-CN"/>
        </w:rPr>
        <w:t>采购预算</w:t>
      </w:r>
      <w:r>
        <w:rPr>
          <w:rFonts w:hint="eastAsia" w:ascii="黑体" w:hAnsi="黑体" w:eastAsia="黑体" w:cs="黑体"/>
          <w:b/>
          <w:bCs/>
          <w:color w:val="auto"/>
          <w:sz w:val="24"/>
          <w:highlight w:val="none"/>
        </w:rPr>
        <w:t>：</w:t>
      </w:r>
      <w:r>
        <w:rPr>
          <w:rFonts w:hint="eastAsia" w:ascii="黑体" w:hAnsi="黑体" w:eastAsia="黑体" w:cs="黑体"/>
          <w:b/>
          <w:bCs/>
          <w:color w:val="auto"/>
          <w:sz w:val="24"/>
          <w:highlight w:val="none"/>
          <w:lang w:val="en-US" w:eastAsia="zh-CN"/>
        </w:rPr>
        <w:t>伍拾柒万柒仟柒佰玖拾壹元零肆分</w:t>
      </w:r>
      <w:r>
        <w:rPr>
          <w:rFonts w:hint="eastAsia" w:ascii="黑体" w:hAnsi="黑体" w:eastAsia="黑体" w:cs="黑体"/>
          <w:b/>
          <w:bCs/>
          <w:color w:val="auto"/>
          <w:sz w:val="24"/>
          <w:highlight w:val="none"/>
        </w:rPr>
        <w:t>（</w:t>
      </w:r>
      <w:r>
        <w:rPr>
          <w:rFonts w:hint="eastAsia" w:ascii="黑体" w:hAnsi="黑体" w:eastAsia="黑体" w:cs="黑体"/>
          <w:b/>
          <w:bCs/>
          <w:color w:val="auto"/>
          <w:sz w:val="24"/>
          <w:highlight w:val="none"/>
          <w:lang w:val="en-US" w:eastAsia="zh-CN"/>
        </w:rPr>
        <w:t>￥577791.04</w:t>
      </w:r>
      <w:r>
        <w:rPr>
          <w:rFonts w:hint="eastAsia" w:ascii="黑体" w:hAnsi="黑体" w:eastAsia="黑体" w:cs="黑体"/>
          <w:color w:val="auto"/>
          <w:sz w:val="24"/>
          <w:highlight w:val="none"/>
        </w:rPr>
        <w:t>元</w:t>
      </w:r>
      <w:r>
        <w:rPr>
          <w:rFonts w:hint="eastAsia" w:ascii="黑体" w:hAnsi="黑体" w:eastAsia="黑体" w:cs="黑体"/>
          <w:b/>
          <w:bCs/>
          <w:color w:val="auto"/>
          <w:sz w:val="24"/>
          <w:highlight w:val="none"/>
        </w:rPr>
        <w:t>），投标报价大于</w:t>
      </w:r>
      <w:r>
        <w:rPr>
          <w:rFonts w:hint="eastAsia" w:ascii="黑体" w:hAnsi="黑体" w:eastAsia="黑体" w:cs="黑体"/>
          <w:b/>
          <w:bCs/>
          <w:color w:val="auto"/>
          <w:sz w:val="24"/>
          <w:highlight w:val="none"/>
          <w:lang w:val="en-US" w:eastAsia="zh-CN"/>
        </w:rPr>
        <w:t>采购预算</w:t>
      </w:r>
      <w:r>
        <w:rPr>
          <w:rFonts w:hint="eastAsia" w:ascii="黑体" w:hAnsi="黑体" w:eastAsia="黑体" w:cs="黑体"/>
          <w:b/>
          <w:bCs/>
          <w:color w:val="auto"/>
          <w:sz w:val="24"/>
          <w:highlight w:val="none"/>
        </w:rPr>
        <w:t>按废标处理。</w:t>
      </w:r>
      <w:r>
        <w:rPr>
          <w:rFonts w:hint="eastAsia" w:ascii="黑体" w:hAnsi="黑体" w:eastAsia="黑体" w:cs="黑体"/>
          <w:b/>
          <w:bCs/>
          <w:color w:val="auto"/>
          <w:sz w:val="24"/>
          <w:highlight w:val="none"/>
          <w:lang w:val="en-US" w:eastAsia="zh-CN"/>
        </w:rPr>
        <w:t xml:space="preserve"> </w:t>
      </w:r>
    </w:p>
    <w:p w14:paraId="1F04A70D">
      <w:pPr>
        <w:spacing w:line="440" w:lineRule="exact"/>
        <w:ind w:firstLine="480" w:firstLineChars="200"/>
        <w:rPr>
          <w:rFonts w:hint="eastAsia" w:ascii="黑体" w:hAnsi="黑体" w:eastAsia="黑体" w:cs="黑体"/>
          <w:bCs/>
          <w:color w:val="auto"/>
          <w:sz w:val="24"/>
          <w:highlight w:val="none"/>
        </w:rPr>
      </w:pPr>
      <w:r>
        <w:rPr>
          <w:rFonts w:hint="eastAsia" w:ascii="黑体" w:hAnsi="黑体" w:eastAsia="黑体" w:cs="黑体"/>
          <w:bCs/>
          <w:color w:val="auto"/>
          <w:kern w:val="1"/>
          <w:sz w:val="24"/>
          <w:highlight w:val="none"/>
        </w:rPr>
        <w:t>9.6 投标人不得以低于成本的报价参加投标，投标人的投标报价明显低于其他投标人的报价，经评标委员会质询后不能在规定时间内说明理由，或说明理由经评标委员会认为不成立，则按无效标处理。</w:t>
      </w:r>
    </w:p>
    <w:p w14:paraId="006828B6">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10．投标货币</w:t>
      </w:r>
    </w:p>
    <w:p w14:paraId="69E03C0E">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10.1 投标人提供的</w:t>
      </w:r>
      <w:r>
        <w:rPr>
          <w:rFonts w:hint="eastAsia" w:ascii="黑体" w:hAnsi="黑体" w:eastAsia="黑体" w:cs="黑体"/>
          <w:color w:val="auto"/>
          <w:sz w:val="24"/>
          <w:highlight w:val="none"/>
          <w:lang w:val="en-US" w:eastAsia="zh-CN"/>
        </w:rPr>
        <w:t>服务</w:t>
      </w:r>
      <w:r>
        <w:rPr>
          <w:rFonts w:hint="eastAsia" w:ascii="黑体" w:hAnsi="黑体" w:eastAsia="黑体" w:cs="黑体"/>
          <w:color w:val="auto"/>
          <w:sz w:val="24"/>
          <w:highlight w:val="none"/>
        </w:rPr>
        <w:t>一律以人民币报价。</w:t>
      </w:r>
    </w:p>
    <w:p w14:paraId="676CCD30">
      <w:pPr>
        <w:autoSpaceDE w:val="0"/>
        <w:autoSpaceDN w:val="0"/>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11．投标有效期</w:t>
      </w:r>
    </w:p>
    <w:p w14:paraId="78C5448D">
      <w:pPr>
        <w:autoSpaceDE w:val="0"/>
        <w:autoSpaceDN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11</w:t>
      </w:r>
      <w:r>
        <w:rPr>
          <w:rFonts w:hint="eastAsia" w:ascii="黑体" w:hAnsi="黑体" w:eastAsia="黑体" w:cs="黑体"/>
          <w:color w:val="auto"/>
          <w:sz w:val="24"/>
          <w:highlight w:val="none"/>
        </w:rPr>
        <w:t>.1 投标有效期为开标之日起九十（90）个日历日（中标人的投标文件有效期与合同有效期一致）。投标人的投标有效期比招标文件规定短的将被视为非响应性投标而予以拒绝。</w:t>
      </w:r>
    </w:p>
    <w:p w14:paraId="693EBB13">
      <w:pPr>
        <w:autoSpaceDE w:val="0"/>
        <w:autoSpaceDN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.2 在特殊情况下，在原投标有效期期满之前，采购人可征得投标人同意延长投标有效期。这种要求与答复均应为书面形式提交。</w:t>
      </w:r>
    </w:p>
    <w:p w14:paraId="3A33E719">
      <w:pPr>
        <w:spacing w:line="440" w:lineRule="exact"/>
        <w:ind w:firstLine="482"/>
        <w:rPr>
          <w:rFonts w:hint="eastAsia" w:ascii="黑体" w:hAnsi="黑体" w:eastAsia="黑体" w:cs="黑体"/>
          <w:b/>
          <w:color w:val="auto"/>
          <w:kern w:val="1"/>
          <w:sz w:val="24"/>
          <w:highlight w:val="none"/>
        </w:rPr>
      </w:pPr>
      <w:r>
        <w:rPr>
          <w:rFonts w:hint="eastAsia" w:ascii="黑体" w:hAnsi="黑体" w:eastAsia="黑体" w:cs="黑体"/>
          <w:b/>
          <w:color w:val="auto"/>
          <w:kern w:val="1"/>
          <w:sz w:val="24"/>
          <w:highlight w:val="none"/>
        </w:rPr>
        <w:t>1</w:t>
      </w:r>
      <w:r>
        <w:rPr>
          <w:rFonts w:hint="eastAsia" w:ascii="黑体" w:hAnsi="黑体" w:eastAsia="黑体" w:cs="黑体"/>
          <w:b/>
          <w:color w:val="auto"/>
          <w:kern w:val="1"/>
          <w:sz w:val="24"/>
          <w:highlight w:val="none"/>
          <w:lang w:val="en-US" w:eastAsia="zh-CN"/>
        </w:rPr>
        <w:t>2</w:t>
      </w:r>
      <w:r>
        <w:rPr>
          <w:rFonts w:hint="eastAsia" w:ascii="黑体" w:hAnsi="黑体" w:eastAsia="黑体" w:cs="黑体"/>
          <w:b/>
          <w:color w:val="auto"/>
          <w:kern w:val="1"/>
          <w:sz w:val="24"/>
          <w:highlight w:val="none"/>
        </w:rPr>
        <w:t>．投标文件的制作和签署</w:t>
      </w:r>
    </w:p>
    <w:p w14:paraId="107BAC0F">
      <w:pPr>
        <w:spacing w:line="440" w:lineRule="exact"/>
        <w:ind w:firstLine="480"/>
        <w:rPr>
          <w:rFonts w:hint="eastAsia" w:ascii="黑体" w:hAnsi="黑体" w:eastAsia="黑体" w:cs="黑体"/>
          <w:color w:val="auto"/>
          <w:kern w:val="1"/>
          <w:sz w:val="24"/>
          <w:highlight w:val="none"/>
        </w:rPr>
      </w:pPr>
      <w:bookmarkStart w:id="69" w:name="_Toc208337153"/>
      <w:bookmarkStart w:id="70" w:name="_Toc154482468"/>
      <w:bookmarkStart w:id="71" w:name="_Toc169846862"/>
      <w:bookmarkStart w:id="72" w:name="_Toc170980443"/>
      <w:bookmarkStart w:id="73" w:name="_Toc167591319"/>
      <w:bookmarkStart w:id="74" w:name="_Toc169838521"/>
      <w:bookmarkStart w:id="75" w:name="_Toc245657542"/>
      <w:bookmarkStart w:id="76" w:name="_Toc167591481"/>
      <w:bookmarkStart w:id="77" w:name="_Toc207897905"/>
      <w:bookmarkStart w:id="78" w:name="_Toc167590764"/>
      <w:bookmarkStart w:id="79" w:name="_Toc244623580"/>
      <w:bookmarkStart w:id="80" w:name="_Toc169846765"/>
      <w:bookmarkStart w:id="81" w:name="_Toc175033581"/>
      <w:bookmarkStart w:id="82" w:name="_Toc167591032"/>
      <w:bookmarkStart w:id="83" w:name="_Toc170980541"/>
      <w:bookmarkStart w:id="84" w:name="_Toc175032426"/>
      <w:bookmarkStart w:id="85" w:name="_Toc173549967"/>
      <w:bookmarkStart w:id="86" w:name="_Toc167591133"/>
      <w:bookmarkStart w:id="87" w:name="_Toc245176654"/>
      <w:bookmarkStart w:id="88" w:name="_Toc245658523"/>
      <w:bookmarkStart w:id="89" w:name="_Toc167849349"/>
      <w:r>
        <w:rPr>
          <w:rFonts w:hint="eastAsia" w:ascii="黑体" w:hAnsi="黑体" w:eastAsia="黑体" w:cs="黑体"/>
          <w:color w:val="auto"/>
          <w:kern w:val="1"/>
          <w:sz w:val="24"/>
          <w:highlight w:val="none"/>
        </w:rPr>
        <w:t>1</w:t>
      </w:r>
      <w:r>
        <w:rPr>
          <w:rFonts w:hint="eastAsia" w:ascii="黑体" w:hAnsi="黑体" w:eastAsia="黑体" w:cs="黑体"/>
          <w:color w:val="auto"/>
          <w:kern w:val="1"/>
          <w:sz w:val="24"/>
          <w:highlight w:val="none"/>
          <w:lang w:val="en-US" w:eastAsia="zh-CN"/>
        </w:rPr>
        <w:t>2</w:t>
      </w:r>
      <w:r>
        <w:rPr>
          <w:rFonts w:hint="eastAsia" w:ascii="黑体" w:hAnsi="黑体" w:eastAsia="黑体" w:cs="黑体"/>
          <w:color w:val="auto"/>
          <w:kern w:val="1"/>
          <w:sz w:val="24"/>
          <w:highlight w:val="none"/>
        </w:rPr>
        <w:t>.1为确保采购项目顺利开展，本项目采用电子投标文件的方式。供应商在投标时须时提供电子投标文件。</w:t>
      </w:r>
    </w:p>
    <w:p w14:paraId="60E942C8">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1</w:t>
      </w:r>
      <w:r>
        <w:rPr>
          <w:rFonts w:hint="eastAsia" w:ascii="黑体" w:hAnsi="黑体" w:eastAsia="黑体" w:cs="黑体"/>
          <w:color w:val="auto"/>
          <w:kern w:val="1"/>
          <w:sz w:val="24"/>
          <w:highlight w:val="none"/>
          <w:lang w:val="en-US" w:eastAsia="zh-CN"/>
        </w:rPr>
        <w:t>2</w:t>
      </w:r>
      <w:r>
        <w:rPr>
          <w:rFonts w:hint="eastAsia" w:ascii="黑体" w:hAnsi="黑体" w:eastAsia="黑体" w:cs="黑体"/>
          <w:color w:val="auto"/>
          <w:kern w:val="1"/>
          <w:sz w:val="24"/>
          <w:highlight w:val="none"/>
        </w:rPr>
        <w:t>.2 编制电子投标文件时，应使用最新发布的电子招标文件及专用制作工具进行编制。并使用数字认证证书（CA）对电子投标文件进行签署、加密、递交及开标时解密等相关操作。</w:t>
      </w:r>
    </w:p>
    <w:p w14:paraId="26F318E9">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（1）电子招标文件下载</w:t>
      </w:r>
    </w:p>
    <w:p w14:paraId="74129800">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供应商登录全国公共资源交易平台（陕西省）网站[电子交易平台-企业端]后，在[我的项目]中点击“项目流程-交易文件下载”下载电子招标文件（*.SXSZF）;</w:t>
      </w:r>
    </w:p>
    <w:p w14:paraId="37428BA9">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注意：该项目如有变更文件，则应点击“项目流程&gt;答疑文件下载”下载更新后的电子招标文件（*.SXSCF），使用旧版电子招标文件制作的电子投标文件，系统将拒绝接收。</w:t>
      </w:r>
    </w:p>
    <w:p w14:paraId="6BB7D7C3">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（2）电子招标文件需要使用专用软件打开、浏览</w:t>
      </w:r>
    </w:p>
    <w:p w14:paraId="3B2C7D0F">
      <w:pPr>
        <w:spacing w:line="360" w:lineRule="auto"/>
        <w:ind w:firstLine="480" w:firstLineChars="200"/>
        <w:outlineLvl w:val="0"/>
        <w:rPr>
          <w:rFonts w:hint="eastAsia" w:ascii="黑体" w:hAnsi="黑体" w:eastAsia="黑体" w:cs="黑体"/>
          <w:color w:val="auto"/>
          <w:kern w:val="1"/>
          <w:sz w:val="24"/>
          <w:highlight w:val="none"/>
        </w:rPr>
      </w:pPr>
      <w:bookmarkStart w:id="90" w:name="_Toc8108"/>
      <w:bookmarkStart w:id="91" w:name="_Toc22321"/>
      <w:bookmarkStart w:id="92" w:name="_Toc5554"/>
      <w:r>
        <w:rPr>
          <w:rFonts w:hint="eastAsia" w:ascii="黑体" w:hAnsi="黑体" w:eastAsia="黑体" w:cs="黑体"/>
          <w:bCs/>
          <w:color w:val="auto"/>
          <w:sz w:val="24"/>
          <w:highlight w:val="none"/>
        </w:rPr>
        <w:t>投标供应商须在“全国公共资源交易中心平台（陕西省）（http://www.sxggzyjy.cn/）”的“服务指南”栏目“下载专区”中，免费下载“陕西省公共资源交易平台政府采购电子标书制作工具”，并升级至最新版本，使用该客户端制作电子投标文件，制作扩展名为“.SXSTF”的电子投标文件。”</w:t>
      </w:r>
      <w:bookmarkEnd w:id="90"/>
      <w:bookmarkEnd w:id="91"/>
      <w:bookmarkEnd w:id="92"/>
    </w:p>
    <w:p w14:paraId="2B782A54">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（3）制作电子投标文件</w:t>
      </w:r>
    </w:p>
    <w:p w14:paraId="169A4287">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电子投标文件同样需要使用上述软件进行编制。在编制过程中，如有技术性问题，请先翻阅操作手册或致电软件开发商，技术支持热线：4009280095、4009980000；</w:t>
      </w:r>
    </w:p>
    <w:p w14:paraId="4215ABCE">
      <w:pPr>
        <w:snapToGrid w:val="0"/>
        <w:spacing w:before="156" w:beforeLines="50" w:after="156" w:afterLines="50"/>
        <w:jc w:val="center"/>
        <w:outlineLvl w:val="1"/>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四、投标文件的递交</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604068B">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w:t>
      </w:r>
      <w:r>
        <w:rPr>
          <w:rFonts w:hint="eastAsia" w:ascii="黑体" w:hAnsi="黑体" w:eastAsia="黑体" w:cs="黑体"/>
          <w:b/>
          <w:color w:val="auto"/>
          <w:sz w:val="24"/>
          <w:highlight w:val="none"/>
          <w:lang w:val="en-US" w:eastAsia="zh-CN"/>
        </w:rPr>
        <w:t>3</w:t>
      </w:r>
      <w:r>
        <w:rPr>
          <w:rFonts w:hint="eastAsia" w:ascii="黑体" w:hAnsi="黑体" w:eastAsia="黑体" w:cs="黑体"/>
          <w:b/>
          <w:color w:val="auto"/>
          <w:sz w:val="24"/>
          <w:highlight w:val="none"/>
        </w:rPr>
        <w:t>．投标文件的提交</w:t>
      </w:r>
    </w:p>
    <w:p w14:paraId="19EAB2D2">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1404A54E">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.投标人应在不迟于招标文件中规定的投标截止时间</w:t>
      </w:r>
      <w:r>
        <w:rPr>
          <w:rFonts w:hint="eastAsia" w:ascii="黑体" w:hAnsi="黑体" w:eastAsia="黑体" w:cs="黑体"/>
          <w:color w:val="auto"/>
          <w:sz w:val="24"/>
          <w:highlight w:val="none"/>
          <w:lang w:val="en-US" w:eastAsia="zh-CN"/>
        </w:rPr>
        <w:t>上传</w:t>
      </w:r>
      <w:r>
        <w:rPr>
          <w:rFonts w:hint="eastAsia" w:ascii="黑体" w:hAnsi="黑体" w:eastAsia="黑体" w:cs="黑体"/>
          <w:color w:val="auto"/>
          <w:sz w:val="24"/>
          <w:highlight w:val="none"/>
        </w:rPr>
        <w:t>投标文件。</w:t>
      </w:r>
    </w:p>
    <w:p w14:paraId="762B9638">
      <w:pPr>
        <w:snapToGrid w:val="0"/>
        <w:spacing w:line="440" w:lineRule="exact"/>
        <w:jc w:val="center"/>
        <w:outlineLvl w:val="1"/>
        <w:rPr>
          <w:rFonts w:hint="eastAsia" w:ascii="黑体" w:hAnsi="黑体" w:eastAsia="黑体" w:cs="黑体"/>
          <w:b/>
          <w:color w:val="auto"/>
          <w:sz w:val="30"/>
          <w:szCs w:val="30"/>
          <w:highlight w:val="none"/>
        </w:rPr>
      </w:pPr>
      <w:bookmarkStart w:id="93" w:name="_Toc167849350"/>
      <w:bookmarkStart w:id="94" w:name="_Toc167591320"/>
      <w:bookmarkStart w:id="95" w:name="_Toc245658524"/>
      <w:bookmarkStart w:id="96" w:name="_Toc245657543"/>
      <w:bookmarkStart w:id="97" w:name="_Toc245176655"/>
      <w:bookmarkStart w:id="98" w:name="_Toc175033582"/>
      <w:bookmarkStart w:id="99" w:name="_Toc173549968"/>
      <w:bookmarkStart w:id="100" w:name="_Toc169846766"/>
      <w:bookmarkStart w:id="101" w:name="_Toc167591033"/>
      <w:bookmarkStart w:id="102" w:name="_Toc167591134"/>
      <w:bookmarkStart w:id="103" w:name="_Toc244623581"/>
      <w:bookmarkStart w:id="104" w:name="_Toc175032427"/>
      <w:bookmarkStart w:id="105" w:name="_Toc207897906"/>
      <w:bookmarkStart w:id="106" w:name="_Toc170980542"/>
      <w:bookmarkStart w:id="107" w:name="_Toc154482469"/>
      <w:bookmarkStart w:id="108" w:name="_Toc167590765"/>
      <w:bookmarkStart w:id="109" w:name="_Toc170980444"/>
      <w:bookmarkStart w:id="110" w:name="_Toc167591482"/>
      <w:bookmarkStart w:id="111" w:name="_Toc169838522"/>
      <w:bookmarkStart w:id="112" w:name="_Toc208337154"/>
      <w:bookmarkStart w:id="113" w:name="_Toc169846863"/>
      <w:r>
        <w:rPr>
          <w:rFonts w:hint="eastAsia" w:ascii="黑体" w:hAnsi="黑体" w:eastAsia="黑体" w:cs="黑体"/>
          <w:b/>
          <w:color w:val="auto"/>
          <w:sz w:val="30"/>
          <w:szCs w:val="30"/>
          <w:highlight w:val="none"/>
        </w:rPr>
        <w:t>五、开标与评标</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FBC8A99">
      <w:pPr>
        <w:snapToGrid w:val="0"/>
        <w:spacing w:line="440" w:lineRule="exact"/>
        <w:ind w:firstLine="422" w:firstLineChars="200"/>
        <w:rPr>
          <w:rFonts w:hint="eastAsia" w:ascii="黑体" w:hAnsi="黑体" w:eastAsia="黑体" w:cs="黑体"/>
          <w:b/>
          <w:color w:val="auto"/>
          <w:highlight w:val="none"/>
        </w:rPr>
      </w:pPr>
      <w:r>
        <w:rPr>
          <w:rFonts w:hint="eastAsia" w:ascii="黑体" w:hAnsi="黑体" w:eastAsia="黑体" w:cs="黑体"/>
          <w:b/>
          <w:color w:val="auto"/>
          <w:highlight w:val="none"/>
        </w:rPr>
        <w:t>1</w:t>
      </w:r>
      <w:r>
        <w:rPr>
          <w:rFonts w:hint="eastAsia" w:ascii="黑体" w:hAnsi="黑体" w:eastAsia="黑体" w:cs="黑体"/>
          <w:b/>
          <w:color w:val="auto"/>
          <w:highlight w:val="none"/>
          <w:lang w:val="en-US" w:eastAsia="zh-CN"/>
        </w:rPr>
        <w:t>5</w:t>
      </w:r>
      <w:r>
        <w:rPr>
          <w:rFonts w:hint="eastAsia" w:ascii="黑体" w:hAnsi="黑体" w:eastAsia="黑体" w:cs="黑体"/>
          <w:b/>
          <w:color w:val="auto"/>
          <w:highlight w:val="none"/>
        </w:rPr>
        <w:t>．开标</w:t>
      </w:r>
    </w:p>
    <w:p w14:paraId="208CF5AA">
      <w:pPr>
        <w:spacing w:line="400" w:lineRule="exact"/>
        <w:ind w:firstLine="480" w:firstLineChars="20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.1 采购代理机构将在招标公告规定的时间和地点组织公开开标。开标会议邀请所有供应商派代表参加，开标当日，请各供应商在开标截止时间前至少提前半小时登录“不见面”开标系统</w:t>
      </w:r>
      <w:r>
        <w:rPr>
          <w:rFonts w:hint="eastAsia" w:ascii="黑体" w:hAnsi="黑体" w:eastAsia="黑体" w:cs="黑体"/>
          <w:color w:val="auto"/>
          <w:sz w:val="24"/>
          <w:highlight w:val="none"/>
          <w:lang w:eastAsia="zh-CN"/>
        </w:rPr>
        <w:t>。</w:t>
      </w:r>
    </w:p>
    <w:p w14:paraId="46ECCADF">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 xml:space="preserve"> </w:t>
      </w:r>
      <w:r>
        <w:rPr>
          <w:rFonts w:hint="eastAsia" w:ascii="黑体" w:hAnsi="黑体" w:eastAsia="黑体" w:cs="黑体"/>
          <w:bCs/>
          <w:color w:val="auto"/>
          <w:sz w:val="24"/>
          <w:highlight w:val="none"/>
        </w:rPr>
        <w:t>开标过程中，供应商在收到工作人员“开始解密”指令后，请及时使用CA对电子投标文件进行解密。解密时所用CA应与加密投标文件时所用CA相同；注：解密时间为</w:t>
      </w:r>
      <w:r>
        <w:rPr>
          <w:rFonts w:hint="eastAsia" w:ascii="黑体" w:hAnsi="黑体" w:eastAsia="黑体" w:cs="黑体"/>
          <w:bCs/>
          <w:color w:val="auto"/>
          <w:sz w:val="24"/>
          <w:highlight w:val="none"/>
          <w:lang w:val="en-US" w:eastAsia="zh-CN"/>
        </w:rPr>
        <w:t>3</w:t>
      </w:r>
      <w:r>
        <w:rPr>
          <w:rFonts w:hint="eastAsia" w:ascii="黑体" w:hAnsi="黑体" w:eastAsia="黑体" w:cs="黑体"/>
          <w:bCs/>
          <w:color w:val="auto"/>
          <w:sz w:val="24"/>
          <w:highlight w:val="none"/>
        </w:rPr>
        <w:t>0分钟，在解密时间内供应商全部解密完成后，可提前进入开标下一阶段</w:t>
      </w:r>
      <w:r>
        <w:rPr>
          <w:rFonts w:hint="eastAsia" w:ascii="黑体" w:hAnsi="黑体" w:eastAsia="黑体" w:cs="黑体"/>
          <w:color w:val="auto"/>
          <w:sz w:val="24"/>
          <w:highlight w:val="none"/>
        </w:rPr>
        <w:t>，由电子交易系统进行自动唱标。</w:t>
      </w:r>
    </w:p>
    <w:p w14:paraId="0CCE6E3B">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 xml:space="preserve"> 采购代理机构将在开标会议现场做开标记录。</w:t>
      </w:r>
    </w:p>
    <w:p w14:paraId="0B03545A">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 xml:space="preserve"> 在开标环节出现下列情况之一的，其投标文件视为无效文件：</w:t>
      </w:r>
    </w:p>
    <w:p w14:paraId="55951FE3">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（1）供应商拒绝对电子投标文件进行解密的；</w:t>
      </w:r>
    </w:p>
    <w:p w14:paraId="7F0A98BC">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（2）因供应商自身原因（如CA锁与制作电子投标文件使用的CA锁不一致、或沿用旧版招标文件编制投标文件等情形），导致在规定时间内无法解密投标文件的；</w:t>
      </w:r>
    </w:p>
    <w:p w14:paraId="4D07E3AD">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（3）上传的电子投标文件无法打开的；</w:t>
      </w:r>
    </w:p>
    <w:p w14:paraId="68D7E86D">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（4）政府采购法律法规规定的其他无效情形。</w:t>
      </w:r>
    </w:p>
    <w:p w14:paraId="1583BF3A">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 xml:space="preserve"> 特殊情形下的应急处置</w:t>
      </w:r>
    </w:p>
    <w:p w14:paraId="5AE9048D">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sz w:val="24"/>
          <w:szCs w:val="24"/>
          <w:highlight w:val="none"/>
        </w:rPr>
        <w:t>在开标、评审过程中，如因停电、断网、电子化系统故障等特殊原因导致电子化开、评标无法正常进行时，视具体情况确定是否停止开评标活动。</w:t>
      </w:r>
    </w:p>
    <w:p w14:paraId="12DBD5C4">
      <w:pPr>
        <w:spacing w:line="4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1</w:t>
      </w:r>
      <w:r>
        <w:rPr>
          <w:rFonts w:hint="eastAsia" w:ascii="黑体" w:hAnsi="黑体" w:eastAsia="黑体" w:cs="黑体"/>
          <w:b/>
          <w:color w:val="auto"/>
          <w:sz w:val="24"/>
          <w:highlight w:val="none"/>
          <w:lang w:val="en-US" w:eastAsia="zh-CN"/>
        </w:rPr>
        <w:t>6</w:t>
      </w:r>
      <w:r>
        <w:rPr>
          <w:rFonts w:hint="eastAsia" w:ascii="黑体" w:hAnsi="黑体" w:eastAsia="黑体" w:cs="黑体"/>
          <w:b/>
          <w:color w:val="auto"/>
          <w:sz w:val="24"/>
          <w:highlight w:val="none"/>
        </w:rPr>
        <w:t>．评标委员会</w:t>
      </w:r>
    </w:p>
    <w:p w14:paraId="61D28896">
      <w:pPr>
        <w:spacing w:line="400" w:lineRule="exact"/>
        <w:ind w:firstLine="480" w:firstLineChars="200"/>
        <w:rPr>
          <w:rFonts w:hint="eastAsia" w:ascii="黑体" w:hAnsi="黑体" w:eastAsia="黑体" w:cs="黑体"/>
          <w:snapToGrid w:val="0"/>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6</w:t>
      </w:r>
      <w:r>
        <w:rPr>
          <w:rFonts w:hint="eastAsia" w:ascii="黑体" w:hAnsi="黑体" w:eastAsia="黑体" w:cs="黑体"/>
          <w:color w:val="auto"/>
          <w:sz w:val="24"/>
          <w:highlight w:val="none"/>
        </w:rPr>
        <w:t>.1 采购人</w:t>
      </w:r>
      <w:r>
        <w:rPr>
          <w:rFonts w:hint="eastAsia" w:ascii="黑体" w:hAnsi="黑体" w:eastAsia="黑体" w:cs="黑体"/>
          <w:snapToGrid w:val="0"/>
          <w:color w:val="auto"/>
          <w:sz w:val="24"/>
          <w:highlight w:val="none"/>
        </w:rPr>
        <w:t>将按照《政府采购法》、《政府采购货物和服务招标投标管理办法》及有关规定组建评标委员会。</w:t>
      </w:r>
    </w:p>
    <w:p w14:paraId="6C6EF8E6">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6</w:t>
      </w:r>
      <w:r>
        <w:rPr>
          <w:rFonts w:hint="eastAsia" w:ascii="黑体" w:hAnsi="黑体" w:eastAsia="黑体" w:cs="黑体"/>
          <w:color w:val="auto"/>
          <w:sz w:val="24"/>
          <w:highlight w:val="none"/>
        </w:rPr>
        <w:t>.2 评标委员会由采购人代表及评审专家组成，专家从陕西省政府采购专家库中随机抽取产生。</w:t>
      </w:r>
    </w:p>
    <w:p w14:paraId="2F11B2B8">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6</w:t>
      </w:r>
      <w:r>
        <w:rPr>
          <w:rFonts w:hint="eastAsia" w:ascii="黑体" w:hAnsi="黑体" w:eastAsia="黑体" w:cs="黑体"/>
          <w:color w:val="auto"/>
          <w:sz w:val="24"/>
          <w:highlight w:val="none"/>
        </w:rPr>
        <w:t>.3 评标委员会负责评标工作，对投标文件进行审查和评估，并向采购人提交书面评审意见。</w:t>
      </w:r>
    </w:p>
    <w:p w14:paraId="6AF5CF86">
      <w:pPr>
        <w:spacing w:line="4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lang w:val="en-US" w:eastAsia="zh-CN"/>
        </w:rPr>
        <w:t>17</w:t>
      </w:r>
      <w:r>
        <w:rPr>
          <w:rFonts w:hint="eastAsia" w:ascii="黑体" w:hAnsi="黑体" w:eastAsia="黑体" w:cs="黑体"/>
          <w:b/>
          <w:color w:val="auto"/>
          <w:sz w:val="24"/>
          <w:highlight w:val="none"/>
        </w:rPr>
        <w:t>．评标过程的保密性</w:t>
      </w:r>
    </w:p>
    <w:p w14:paraId="3CA381A7">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17</w:t>
      </w:r>
      <w:r>
        <w:rPr>
          <w:rFonts w:hint="eastAsia" w:ascii="黑体" w:hAnsi="黑体" w:eastAsia="黑体" w:cs="黑体"/>
          <w:color w:val="auto"/>
          <w:sz w:val="24"/>
          <w:highlight w:val="none"/>
        </w:rPr>
        <w:t>.1 公开开标后，直至发布中标公告时止，凡与审查、澄清、评价和比较投标的有关资料以及授标意见等，均属保密范围，评标委员会及招标工作人员不得向投标人及与评标无关的其他人透露。</w:t>
      </w:r>
    </w:p>
    <w:p w14:paraId="49657071">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17</w:t>
      </w:r>
      <w:r>
        <w:rPr>
          <w:rFonts w:hint="eastAsia" w:ascii="黑体" w:hAnsi="黑体" w:eastAsia="黑体" w:cs="黑体"/>
          <w:color w:val="auto"/>
          <w:sz w:val="24"/>
          <w:highlight w:val="none"/>
        </w:rPr>
        <w:t>.2 在评标过程中，如果投标人试图在投标文件审查、澄清、比较及授予合同方面向评标委员会或采购人施加任何影响，其投标将被拒绝。</w:t>
      </w:r>
    </w:p>
    <w:p w14:paraId="0BC2D9FB">
      <w:pPr>
        <w:spacing w:line="4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lang w:val="en-US" w:eastAsia="zh-CN"/>
        </w:rPr>
        <w:t>18</w:t>
      </w:r>
      <w:r>
        <w:rPr>
          <w:rFonts w:hint="eastAsia" w:ascii="黑体" w:hAnsi="黑体" w:eastAsia="黑体" w:cs="黑体"/>
          <w:b/>
          <w:color w:val="auto"/>
          <w:sz w:val="24"/>
          <w:highlight w:val="none"/>
        </w:rPr>
        <w:t>、投标文件的澄清</w:t>
      </w:r>
    </w:p>
    <w:p w14:paraId="49992021">
      <w:pPr>
        <w:spacing w:line="40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18</w:t>
      </w:r>
      <w:r>
        <w:rPr>
          <w:rFonts w:hint="eastAsia" w:ascii="黑体" w:hAnsi="黑体" w:eastAsia="黑体" w:cs="黑体"/>
          <w:color w:val="auto"/>
          <w:sz w:val="24"/>
          <w:highlight w:val="none"/>
        </w:rPr>
        <w:t>.1 在评标期间，为有助于对投标文件的审查、评价和比较，评标委员会可分别要求投标人对其投标文件进行澄清或说明，有关澄清或说明的要求和答复应以书面形式提交。澄清和说明的内容不得超出投标文件的范围或改变投标文件实质性内容。</w:t>
      </w:r>
    </w:p>
    <w:p w14:paraId="0C0676B2">
      <w:pPr>
        <w:spacing w:line="40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lang w:val="en-US" w:eastAsia="zh-CN"/>
        </w:rPr>
        <w:t>19</w:t>
      </w:r>
      <w:r>
        <w:rPr>
          <w:rFonts w:hint="eastAsia" w:ascii="黑体" w:hAnsi="黑体" w:eastAsia="黑体" w:cs="黑体"/>
          <w:b/>
          <w:color w:val="auto"/>
          <w:sz w:val="24"/>
          <w:highlight w:val="none"/>
        </w:rPr>
        <w:t>．投标文件的初审</w:t>
      </w:r>
    </w:p>
    <w:p w14:paraId="772E37EA">
      <w:pPr>
        <w:pStyle w:val="19"/>
        <w:spacing w:line="510" w:lineRule="atLeast"/>
        <w:ind w:firstLine="42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19</w:t>
      </w:r>
      <w:r>
        <w:rPr>
          <w:rFonts w:hint="eastAsia" w:ascii="黑体" w:hAnsi="黑体" w:eastAsia="黑体" w:cs="黑体"/>
          <w:color w:val="auto"/>
          <w:sz w:val="24"/>
          <w:highlight w:val="none"/>
        </w:rPr>
        <w:t>.1 采购人将审查资格证明文件是否齐全有效。</w:t>
      </w:r>
    </w:p>
    <w:tbl>
      <w:tblPr>
        <w:tblStyle w:val="2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79"/>
        <w:gridCol w:w="1686"/>
        <w:gridCol w:w="7112"/>
      </w:tblGrid>
      <w:tr w14:paraId="4E6F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2"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0710D7D">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序号</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2818C5DC">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审查因素</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1BB54399">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审查标准</w:t>
            </w:r>
          </w:p>
        </w:tc>
      </w:tr>
      <w:tr w14:paraId="7F39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779" w:type="dxa"/>
            <w:tcBorders>
              <w:left w:val="single" w:color="auto" w:sz="4" w:space="0"/>
              <w:right w:val="single" w:color="auto" w:sz="4" w:space="0"/>
            </w:tcBorders>
            <w:noWrap w:val="0"/>
            <w:vAlign w:val="center"/>
          </w:tcPr>
          <w:p w14:paraId="0D1E7287">
            <w:pPr>
              <w:spacing w:line="300" w:lineRule="exact"/>
              <w:ind w:firstLine="240" w:firstLineChars="100"/>
              <w:rPr>
                <w:rFonts w:hint="eastAsia" w:ascii="黑体" w:hAnsi="黑体" w:eastAsia="黑体" w:cs="黑体"/>
                <w:b w:val="0"/>
                <w:bCs w:val="0"/>
                <w:color w:val="auto"/>
                <w:sz w:val="24"/>
                <w:highlight w:val="none"/>
              </w:rPr>
            </w:pPr>
            <w:r>
              <w:rPr>
                <w:rFonts w:hint="eastAsia" w:ascii="黑体" w:hAnsi="黑体" w:eastAsia="黑体" w:cs="黑体"/>
                <w:b w:val="0"/>
                <w:bCs w:val="0"/>
                <w:color w:val="auto"/>
                <w:sz w:val="24"/>
                <w:highlight w:val="none"/>
              </w:rPr>
              <w:t>1</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2D6F7F9D">
            <w:pPr>
              <w:spacing w:line="300" w:lineRule="exact"/>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有效的主体资格证明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494E7ADC">
            <w:pPr>
              <w:spacing w:line="300" w:lineRule="exact"/>
              <w:jc w:val="left"/>
              <w:rPr>
                <w:rFonts w:hint="eastAsia" w:ascii="黑体" w:hAnsi="黑体" w:eastAsia="黑体" w:cs="黑体"/>
                <w:color w:val="auto"/>
                <w:sz w:val="24"/>
                <w:highlight w:val="none"/>
              </w:rPr>
            </w:pPr>
            <w:r>
              <w:rPr>
                <w:rFonts w:hint="eastAsia" w:ascii="黑体" w:hAnsi="黑体" w:eastAsia="黑体" w:cs="黑体"/>
                <w:i w:val="0"/>
                <w:iCs w:val="0"/>
                <w:caps w:val="0"/>
                <w:color w:val="auto"/>
                <w:spacing w:val="0"/>
                <w:sz w:val="24"/>
                <w:szCs w:val="24"/>
                <w:highlight w:val="none"/>
                <w:shd w:val="clear" w:fill="FFFFFF"/>
              </w:rPr>
              <w:t>提供有效存续的企业营业执照（副本）/事业单位法人证书/专业服务机构执业许可证/民办非企业单位登记证书</w:t>
            </w:r>
          </w:p>
        </w:tc>
      </w:tr>
      <w:tr w14:paraId="48E1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11974BD3">
            <w:pPr>
              <w:spacing w:line="300" w:lineRule="exact"/>
              <w:jc w:val="center"/>
              <w:rPr>
                <w:rFonts w:hint="eastAsia" w:ascii="黑体" w:hAnsi="黑体" w:eastAsia="黑体" w:cs="黑体"/>
                <w:b w:val="0"/>
                <w:bCs w:val="0"/>
                <w:color w:val="auto"/>
                <w:szCs w:val="21"/>
                <w:highlight w:val="none"/>
                <w:lang w:eastAsia="zh-CN"/>
              </w:rPr>
            </w:pPr>
            <w:r>
              <w:rPr>
                <w:rFonts w:hint="eastAsia" w:ascii="黑体" w:hAnsi="黑体" w:eastAsia="黑体" w:cs="黑体"/>
                <w:b w:val="0"/>
                <w:bCs w:val="0"/>
                <w:color w:val="auto"/>
                <w:szCs w:val="21"/>
                <w:highlight w:val="none"/>
                <w:lang w:val="en-US" w:eastAsia="zh-CN"/>
              </w:rPr>
              <w:t>2</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66F8A825">
            <w:pPr>
              <w:spacing w:line="300" w:lineRule="exact"/>
              <w:jc w:val="center"/>
              <w:rPr>
                <w:rFonts w:hint="eastAsia" w:ascii="黑体" w:hAnsi="黑体" w:eastAsia="黑体" w:cs="黑体"/>
                <w:color w:val="auto"/>
                <w:sz w:val="24"/>
                <w:highlight w:val="none"/>
                <w:lang w:val="en-US"/>
              </w:rPr>
            </w:pPr>
            <w:r>
              <w:rPr>
                <w:rFonts w:hint="eastAsia" w:ascii="黑体" w:hAnsi="黑体" w:eastAsia="黑体" w:cs="黑体"/>
                <w:b w:val="0"/>
                <w:i w:val="0"/>
                <w:caps w:val="0"/>
                <w:color w:val="auto"/>
                <w:spacing w:val="0"/>
                <w:sz w:val="24"/>
                <w:szCs w:val="24"/>
                <w:highlight w:val="none"/>
                <w:shd w:val="clear" w:color="auto" w:fill="FFFFFF"/>
                <w:lang w:val="en-US" w:eastAsia="zh-CN"/>
              </w:rPr>
              <w:t>法定代表人授权书</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0200169C">
            <w:pPr>
              <w:spacing w:line="300" w:lineRule="exact"/>
              <w:jc w:val="left"/>
              <w:rPr>
                <w:rFonts w:hint="eastAsia" w:ascii="黑体" w:hAnsi="黑体" w:eastAsia="黑体" w:cs="黑体"/>
                <w:color w:val="auto"/>
                <w:sz w:val="24"/>
                <w:highlight w:val="none"/>
              </w:rPr>
            </w:pPr>
            <w:r>
              <w:rPr>
                <w:rFonts w:hint="eastAsia" w:ascii="黑体" w:hAnsi="黑体" w:eastAsia="黑体" w:cs="黑体"/>
                <w:i w:val="0"/>
                <w:iCs w:val="0"/>
                <w:caps w:val="0"/>
                <w:color w:val="auto"/>
                <w:spacing w:val="0"/>
                <w:sz w:val="24"/>
                <w:szCs w:val="24"/>
                <w:highlight w:val="none"/>
                <w:shd w:val="clear" w:fill="FFFFFF"/>
                <w:lang w:eastAsia="zh-CN"/>
              </w:rPr>
              <w:t>法定代表人直接投标须提交其身份证扫描件；法定代表人授权代表参加投标的，须出具授权书及被授权人身份证扫描件、授权代表本单位的证明</w:t>
            </w:r>
          </w:p>
        </w:tc>
      </w:tr>
      <w:tr w14:paraId="29DE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5901BF74">
            <w:pPr>
              <w:spacing w:line="300" w:lineRule="exact"/>
              <w:jc w:val="center"/>
              <w:rPr>
                <w:rFonts w:hint="eastAsia" w:ascii="黑体" w:hAnsi="黑体" w:eastAsia="黑体" w:cs="黑体"/>
                <w:b w:val="0"/>
                <w:bCs w:val="0"/>
                <w:color w:val="auto"/>
                <w:szCs w:val="21"/>
                <w:highlight w:val="none"/>
                <w:lang w:val="en-US" w:eastAsia="zh-CN"/>
              </w:rPr>
            </w:pPr>
            <w:r>
              <w:rPr>
                <w:rFonts w:hint="eastAsia" w:ascii="黑体" w:hAnsi="黑体" w:eastAsia="黑体" w:cs="黑体"/>
                <w:b w:val="0"/>
                <w:bCs w:val="0"/>
                <w:color w:val="auto"/>
                <w:szCs w:val="21"/>
                <w:highlight w:val="none"/>
                <w:lang w:val="en-US" w:eastAsia="zh-CN"/>
              </w:rPr>
              <w:t>3</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1FFA1BB3">
            <w:pPr>
              <w:spacing w:line="300" w:lineRule="exact"/>
              <w:jc w:val="center"/>
              <w:rPr>
                <w:rFonts w:hint="eastAsia" w:ascii="黑体" w:hAnsi="黑体" w:eastAsia="黑体" w:cs="黑体"/>
                <w:color w:val="auto"/>
                <w:sz w:val="24"/>
                <w:highlight w:val="none"/>
              </w:rPr>
            </w:pPr>
            <w:r>
              <w:rPr>
                <w:rFonts w:hint="eastAsia" w:ascii="黑体" w:hAnsi="黑体" w:eastAsia="黑体" w:cs="黑体"/>
                <w:b w:val="0"/>
                <w:bCs w:val="0"/>
                <w:color w:val="auto"/>
                <w:sz w:val="24"/>
                <w:szCs w:val="24"/>
                <w:highlight w:val="none"/>
                <w:u w:val="none"/>
              </w:rPr>
              <w:t>财务要求</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3937EA7D">
            <w:pPr>
              <w:spacing w:line="300" w:lineRule="exact"/>
              <w:jc w:val="left"/>
              <w:rPr>
                <w:rFonts w:hint="eastAsia" w:ascii="黑体" w:hAnsi="黑体" w:eastAsia="黑体" w:cs="黑体"/>
                <w:color w:val="auto"/>
                <w:sz w:val="24"/>
                <w:highlight w:val="none"/>
                <w:lang w:eastAsia="zh-CN"/>
              </w:rPr>
            </w:pPr>
            <w:r>
              <w:rPr>
                <w:rFonts w:hint="eastAsia" w:ascii="黑体" w:hAnsi="黑体" w:eastAsia="黑体" w:cs="黑体"/>
                <w:i w:val="0"/>
                <w:iCs w:val="0"/>
                <w:caps w:val="0"/>
                <w:color w:val="auto"/>
                <w:spacing w:val="0"/>
                <w:sz w:val="24"/>
                <w:szCs w:val="24"/>
                <w:highlight w:val="none"/>
                <w:shd w:val="clear" w:fill="FFFFFF"/>
                <w:lang w:eastAsia="zh-CN"/>
              </w:rPr>
              <w:t>投标人须提供2022或2023年度经会计师事务所审计的审计报告（新成立企业可从成立当年开始提供相对应的财务报表）或其投标前三个月内基本存款账户开户银行出具的资信证明</w:t>
            </w:r>
          </w:p>
        </w:tc>
      </w:tr>
      <w:tr w14:paraId="7A2D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103EFA28">
            <w:pPr>
              <w:spacing w:line="300" w:lineRule="exact"/>
              <w:jc w:val="center"/>
              <w:rPr>
                <w:rFonts w:hint="eastAsia" w:ascii="黑体" w:hAnsi="黑体" w:eastAsia="黑体" w:cs="黑体"/>
                <w:b w:val="0"/>
                <w:bCs w:val="0"/>
                <w:color w:val="auto"/>
                <w:szCs w:val="21"/>
                <w:highlight w:val="none"/>
                <w:lang w:val="en-US" w:eastAsia="zh-CN"/>
              </w:rPr>
            </w:pPr>
            <w:r>
              <w:rPr>
                <w:rFonts w:hint="eastAsia" w:ascii="黑体" w:hAnsi="黑体" w:eastAsia="黑体" w:cs="黑体"/>
                <w:b w:val="0"/>
                <w:bCs w:val="0"/>
                <w:color w:val="auto"/>
                <w:szCs w:val="21"/>
                <w:highlight w:val="none"/>
                <w:lang w:val="en-US" w:eastAsia="zh-CN"/>
              </w:rPr>
              <w:t>4</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B9EEA2F">
            <w:pPr>
              <w:spacing w:line="300" w:lineRule="exact"/>
              <w:jc w:val="cente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eastAsia="zh-CN"/>
              </w:rPr>
              <w:t>税收缴纳证明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292830A3">
            <w:pPr>
              <w:spacing w:line="300" w:lineRule="exact"/>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lang w:eastAsia="zh-CN"/>
              </w:rPr>
              <w:t>投标人须提供投标截止时间前六个月内任意</w:t>
            </w:r>
            <w:r>
              <w:rPr>
                <w:rFonts w:hint="eastAsia" w:ascii="黑体" w:hAnsi="黑体" w:eastAsia="黑体" w:cs="黑体"/>
                <w:color w:val="auto"/>
                <w:sz w:val="24"/>
                <w:highlight w:val="none"/>
                <w:lang w:val="en-US" w:eastAsia="zh-CN"/>
              </w:rPr>
              <w:t>一</w:t>
            </w:r>
            <w:r>
              <w:rPr>
                <w:rFonts w:hint="eastAsia" w:ascii="黑体" w:hAnsi="黑体" w:eastAsia="黑体" w:cs="黑体"/>
                <w:color w:val="auto"/>
                <w:sz w:val="24"/>
                <w:highlight w:val="none"/>
                <w:lang w:eastAsia="zh-CN"/>
              </w:rPr>
              <w:t xml:space="preserve">个月的缴税证明（注：依法免税或零申报的投标人须提供相关文件证明；若为新成立企业可提供相应月度的缴税证明）  </w:t>
            </w:r>
          </w:p>
        </w:tc>
      </w:tr>
      <w:tr w14:paraId="7C31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2F406FD">
            <w:pPr>
              <w:spacing w:line="300" w:lineRule="exact"/>
              <w:jc w:val="center"/>
              <w:rPr>
                <w:rFonts w:hint="eastAsia" w:ascii="黑体" w:hAnsi="黑体" w:eastAsia="黑体" w:cs="黑体"/>
                <w:b w:val="0"/>
                <w:bCs w:val="0"/>
                <w:color w:val="auto"/>
                <w:szCs w:val="21"/>
                <w:highlight w:val="none"/>
                <w:lang w:val="en-US" w:eastAsia="zh-CN"/>
              </w:rPr>
            </w:pPr>
            <w:r>
              <w:rPr>
                <w:rFonts w:hint="eastAsia" w:ascii="黑体" w:hAnsi="黑体" w:eastAsia="黑体" w:cs="黑体"/>
                <w:b w:val="0"/>
                <w:bCs w:val="0"/>
                <w:color w:val="auto"/>
                <w:szCs w:val="21"/>
                <w:highlight w:val="none"/>
                <w:lang w:val="en-US" w:eastAsia="zh-CN"/>
              </w:rPr>
              <w:t>5</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8AC7795">
            <w:pPr>
              <w:spacing w:line="300" w:lineRule="exact"/>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社会保障资金缴纳证明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0E8C0C98">
            <w:pPr>
              <w:spacing w:line="300" w:lineRule="exact"/>
              <w:jc w:val="left"/>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提供投标截止时间前六个月内任意</w:t>
            </w:r>
            <w:r>
              <w:rPr>
                <w:rFonts w:hint="eastAsia" w:ascii="黑体" w:hAnsi="黑体" w:eastAsia="黑体" w:cs="黑体"/>
                <w:color w:val="auto"/>
                <w:sz w:val="24"/>
                <w:highlight w:val="none"/>
                <w:lang w:val="en-US" w:eastAsia="zh-CN"/>
              </w:rPr>
              <w:t>一</w:t>
            </w:r>
            <w:r>
              <w:rPr>
                <w:rFonts w:hint="eastAsia" w:ascii="黑体" w:hAnsi="黑体" w:eastAsia="黑体" w:cs="黑体"/>
                <w:color w:val="auto"/>
                <w:sz w:val="24"/>
                <w:highlight w:val="none"/>
                <w:lang w:eastAsia="zh-CN"/>
              </w:rPr>
              <w:t>个月的社会保险缴纳证明（注：依法不需要缴纳社会保障资金的投标人应提供相关文件证明；若为新成立企业可提供相应月度的社会保险缴纳证明）</w:t>
            </w:r>
          </w:p>
        </w:tc>
      </w:tr>
      <w:tr w14:paraId="0B3B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3BF97D60">
            <w:pPr>
              <w:spacing w:line="300" w:lineRule="exact"/>
              <w:jc w:val="center"/>
              <w:rPr>
                <w:rFonts w:hint="eastAsia" w:ascii="黑体" w:hAnsi="黑体" w:eastAsia="黑体" w:cs="黑体"/>
                <w:b w:val="0"/>
                <w:bCs w:val="0"/>
                <w:color w:val="auto"/>
                <w:kern w:val="2"/>
                <w:sz w:val="21"/>
                <w:szCs w:val="21"/>
                <w:highlight w:val="none"/>
                <w:lang w:val="en-US" w:eastAsia="zh-CN" w:bidi="ar-SA"/>
              </w:rPr>
            </w:pPr>
            <w:r>
              <w:rPr>
                <w:rFonts w:hint="eastAsia" w:ascii="黑体" w:hAnsi="黑体" w:eastAsia="黑体" w:cs="黑体"/>
                <w:b w:val="0"/>
                <w:bCs w:val="0"/>
                <w:color w:val="auto"/>
                <w:szCs w:val="21"/>
                <w:highlight w:val="none"/>
                <w:lang w:val="en-US" w:eastAsia="zh-CN"/>
              </w:rPr>
              <w:t>6</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64D38258">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highlight w:val="none"/>
                <w:lang w:val="en-US" w:eastAsia="zh-CN"/>
              </w:rPr>
              <w:t>设备和专业技术能力的证明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035A2962">
            <w:pPr>
              <w:spacing w:line="3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highlight w:val="none"/>
              </w:rPr>
              <w:t>提</w:t>
            </w:r>
            <w:r>
              <w:rPr>
                <w:rFonts w:hint="eastAsia" w:ascii="黑体" w:hAnsi="黑体" w:eastAsia="黑体" w:cs="黑体"/>
                <w:b w:val="0"/>
                <w:bCs w:val="0"/>
                <w:color w:val="auto"/>
                <w:sz w:val="24"/>
                <w:szCs w:val="24"/>
                <w:highlight w:val="none"/>
                <w:u w:val="none"/>
              </w:rPr>
              <w:t>供具有履行合同所必需的设备和专业技术能力的证明资料或承诺书</w:t>
            </w:r>
          </w:p>
        </w:tc>
      </w:tr>
      <w:tr w14:paraId="72C2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779" w:type="dxa"/>
            <w:tcBorders>
              <w:left w:val="single" w:color="auto" w:sz="4" w:space="0"/>
              <w:right w:val="single" w:color="auto" w:sz="4" w:space="0"/>
            </w:tcBorders>
            <w:noWrap w:val="0"/>
            <w:vAlign w:val="center"/>
          </w:tcPr>
          <w:p w14:paraId="1F64A388">
            <w:pPr>
              <w:spacing w:line="300" w:lineRule="exact"/>
              <w:jc w:val="center"/>
              <w:rPr>
                <w:rFonts w:hint="eastAsia" w:ascii="黑体" w:hAnsi="黑体" w:eastAsia="黑体" w:cs="黑体"/>
                <w:b w:val="0"/>
                <w:bCs w:val="0"/>
                <w:color w:val="auto"/>
                <w:szCs w:val="21"/>
                <w:highlight w:val="none"/>
                <w:lang w:eastAsia="zh-CN"/>
              </w:rPr>
            </w:pPr>
            <w:r>
              <w:rPr>
                <w:rFonts w:hint="eastAsia" w:ascii="黑体" w:hAnsi="黑体" w:eastAsia="黑体" w:cs="黑体"/>
                <w:b w:val="0"/>
                <w:bCs w:val="0"/>
                <w:color w:val="auto"/>
                <w:szCs w:val="21"/>
                <w:highlight w:val="none"/>
                <w:lang w:val="en-US" w:eastAsia="zh-CN"/>
              </w:rPr>
              <w:t>7</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0EDDEE61">
            <w:pPr>
              <w:spacing w:line="300" w:lineRule="exact"/>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无重大违法记录的</w:t>
            </w:r>
            <w:r>
              <w:rPr>
                <w:rFonts w:hint="eastAsia" w:ascii="黑体" w:hAnsi="黑体" w:eastAsia="黑体" w:cs="黑体"/>
                <w:color w:val="auto"/>
                <w:sz w:val="24"/>
                <w:highlight w:val="none"/>
              </w:rPr>
              <w:t>声明</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673B49D5">
            <w:pPr>
              <w:spacing w:line="300" w:lineRule="exact"/>
              <w:rPr>
                <w:rFonts w:hint="eastAsia" w:ascii="黑体" w:hAnsi="黑体" w:eastAsia="黑体" w:cs="黑体"/>
                <w:b w:val="0"/>
                <w:bCs w:val="0"/>
                <w:color w:val="auto"/>
                <w:sz w:val="24"/>
                <w:szCs w:val="24"/>
                <w:highlight w:val="none"/>
                <w:u w:val="none"/>
                <w:lang w:eastAsia="zh-CN"/>
              </w:rPr>
            </w:pPr>
            <w:r>
              <w:rPr>
                <w:rFonts w:hint="eastAsia" w:ascii="黑体" w:hAnsi="黑体" w:eastAsia="黑体" w:cs="黑体"/>
                <w:b w:val="0"/>
                <w:bCs w:val="0"/>
                <w:color w:val="auto"/>
                <w:sz w:val="24"/>
                <w:szCs w:val="24"/>
                <w:highlight w:val="none"/>
                <w:u w:val="none"/>
              </w:rPr>
              <w:t>投标人应具备良好的商业信誉，提供参加政府采购活动前3年内在经营活动中没有重大违法记录的书面声明</w:t>
            </w:r>
          </w:p>
        </w:tc>
      </w:tr>
      <w:tr w14:paraId="6386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77196F35">
            <w:pPr>
              <w:spacing w:line="300" w:lineRule="exact"/>
              <w:jc w:val="center"/>
              <w:rPr>
                <w:rFonts w:hint="eastAsia" w:ascii="黑体" w:hAnsi="黑体" w:eastAsia="黑体" w:cs="黑体"/>
                <w:b w:val="0"/>
                <w:bCs w:val="0"/>
                <w:color w:val="auto"/>
                <w:szCs w:val="21"/>
                <w:highlight w:val="none"/>
                <w:lang w:eastAsia="zh-CN"/>
              </w:rPr>
            </w:pPr>
            <w:r>
              <w:rPr>
                <w:rFonts w:hint="eastAsia" w:ascii="黑体" w:hAnsi="黑体" w:eastAsia="黑体" w:cs="黑体"/>
                <w:b w:val="0"/>
                <w:bCs w:val="0"/>
                <w:color w:val="auto"/>
                <w:szCs w:val="21"/>
                <w:highlight w:val="none"/>
                <w:lang w:val="en-US" w:eastAsia="zh-CN"/>
              </w:rPr>
              <w:t>8</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405D43B8">
            <w:pPr>
              <w:spacing w:line="300" w:lineRule="exact"/>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企业信用</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38F6F42D">
            <w:pPr>
              <w:spacing w:line="300" w:lineRule="exact"/>
              <w:rPr>
                <w:rFonts w:hint="eastAsia" w:ascii="黑体" w:hAnsi="黑体" w:eastAsia="黑体" w:cs="黑体"/>
                <w:color w:val="auto"/>
                <w:sz w:val="24"/>
                <w:highlight w:val="none"/>
              </w:rPr>
            </w:pPr>
            <w:r>
              <w:rPr>
                <w:rFonts w:hint="eastAsia" w:ascii="黑体" w:hAnsi="黑体" w:eastAsia="黑体" w:cs="黑体"/>
                <w:b w:val="0"/>
                <w:bCs w:val="0"/>
                <w:color w:val="auto"/>
                <w:kern w:val="2"/>
                <w:sz w:val="24"/>
                <w:szCs w:val="24"/>
                <w:highlight w:val="none"/>
                <w:lang w:val="en-US" w:eastAsia="zh-CN" w:bidi="ar-SA"/>
              </w:rPr>
              <w:t>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tc>
      </w:tr>
      <w:tr w14:paraId="1955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7C435B2">
            <w:pPr>
              <w:spacing w:line="300" w:lineRule="exact"/>
              <w:jc w:val="center"/>
              <w:rPr>
                <w:rFonts w:hint="eastAsia" w:ascii="黑体" w:hAnsi="黑体" w:eastAsia="黑体" w:cs="黑体"/>
                <w:b w:val="0"/>
                <w:bCs w:val="0"/>
                <w:color w:val="auto"/>
                <w:szCs w:val="21"/>
                <w:highlight w:val="none"/>
                <w:lang w:val="en-US" w:eastAsia="zh-CN"/>
              </w:rPr>
            </w:pPr>
            <w:r>
              <w:rPr>
                <w:rFonts w:hint="eastAsia" w:ascii="黑体" w:hAnsi="黑体" w:eastAsia="黑体" w:cs="黑体"/>
                <w:b w:val="0"/>
                <w:bCs w:val="0"/>
                <w:color w:val="auto"/>
                <w:szCs w:val="21"/>
                <w:highlight w:val="none"/>
                <w:lang w:val="en-US" w:eastAsia="zh-CN"/>
              </w:rPr>
              <w:t>9</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6B60029E">
            <w:pPr>
              <w:spacing w:line="300" w:lineRule="exact"/>
              <w:jc w:val="center"/>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小微</w:t>
            </w:r>
            <w:r>
              <w:rPr>
                <w:rFonts w:hint="eastAsia" w:ascii="黑体" w:hAnsi="黑体" w:eastAsia="黑体" w:cs="黑体"/>
                <w:color w:val="auto"/>
                <w:sz w:val="24"/>
                <w:highlight w:val="none"/>
              </w:rPr>
              <w:t>企业声明函</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7D5C26DA">
            <w:pPr>
              <w:spacing w:line="30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本项目专门面向</w:t>
            </w:r>
            <w:r>
              <w:rPr>
                <w:rFonts w:hint="eastAsia" w:ascii="黑体" w:hAnsi="黑体" w:eastAsia="黑体" w:cs="黑体"/>
                <w:color w:val="auto"/>
                <w:sz w:val="24"/>
                <w:highlight w:val="none"/>
                <w:lang w:val="en-US" w:eastAsia="zh-CN"/>
              </w:rPr>
              <w:t>小微</w:t>
            </w:r>
            <w:r>
              <w:rPr>
                <w:rFonts w:hint="eastAsia" w:ascii="黑体" w:hAnsi="黑体" w:eastAsia="黑体" w:cs="黑体"/>
                <w:color w:val="auto"/>
                <w:sz w:val="24"/>
                <w:highlight w:val="none"/>
              </w:rPr>
              <w:t>企业采购，仅限符合《政府采购促进中小企业发展管理办法》（财库〔2020〕46号）条件的企业参与，投标人应填写</w:t>
            </w:r>
            <w:r>
              <w:rPr>
                <w:rFonts w:hint="eastAsia" w:ascii="黑体" w:hAnsi="黑体" w:eastAsia="黑体" w:cs="黑体"/>
                <w:color w:val="auto"/>
                <w:sz w:val="24"/>
                <w:highlight w:val="none"/>
                <w:lang w:val="en-US" w:eastAsia="zh-CN"/>
              </w:rPr>
              <w:t>小微</w:t>
            </w:r>
            <w:r>
              <w:rPr>
                <w:rFonts w:hint="eastAsia" w:ascii="黑体" w:hAnsi="黑体" w:eastAsia="黑体" w:cs="黑体"/>
                <w:color w:val="auto"/>
                <w:sz w:val="24"/>
                <w:highlight w:val="none"/>
              </w:rPr>
              <w:t>企业声明函并对真实性负责（残疾人福利性单位及监狱企业视同为小型、微型企业）</w:t>
            </w:r>
          </w:p>
        </w:tc>
      </w:tr>
      <w:tr w14:paraId="5DF0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779" w:type="dxa"/>
            <w:tcBorders>
              <w:left w:val="single" w:color="auto" w:sz="4" w:space="0"/>
              <w:right w:val="single" w:color="auto" w:sz="4" w:space="0"/>
            </w:tcBorders>
            <w:noWrap w:val="0"/>
            <w:vAlign w:val="center"/>
          </w:tcPr>
          <w:p w14:paraId="2F3DBA59">
            <w:pPr>
              <w:spacing w:line="300" w:lineRule="exact"/>
              <w:jc w:val="center"/>
              <w:rPr>
                <w:rFonts w:hint="eastAsia" w:ascii="黑体" w:hAnsi="黑体" w:eastAsia="黑体" w:cs="黑体"/>
                <w:b w:val="0"/>
                <w:bCs w:val="0"/>
                <w:color w:val="auto"/>
                <w:szCs w:val="21"/>
                <w:highlight w:val="none"/>
                <w:lang w:val="en-US" w:eastAsia="zh-CN"/>
              </w:rPr>
            </w:pPr>
            <w:r>
              <w:rPr>
                <w:rFonts w:hint="eastAsia" w:ascii="黑体" w:hAnsi="黑体" w:eastAsia="黑体" w:cs="黑体"/>
                <w:b w:val="0"/>
                <w:bCs w:val="0"/>
                <w:color w:val="auto"/>
                <w:szCs w:val="21"/>
                <w:highlight w:val="none"/>
                <w:lang w:val="en-US" w:eastAsia="zh-CN"/>
              </w:rPr>
              <w:t>10</w:t>
            </w:r>
          </w:p>
        </w:tc>
        <w:tc>
          <w:tcPr>
            <w:tcW w:w="1686" w:type="dxa"/>
            <w:tcBorders>
              <w:top w:val="single" w:color="auto" w:sz="4" w:space="0"/>
              <w:left w:val="single" w:color="auto" w:sz="4" w:space="0"/>
              <w:bottom w:val="single" w:color="auto" w:sz="4" w:space="0"/>
              <w:right w:val="single" w:color="auto" w:sz="4" w:space="0"/>
            </w:tcBorders>
            <w:noWrap w:val="0"/>
            <w:vAlign w:val="center"/>
          </w:tcPr>
          <w:p w14:paraId="50AFE016">
            <w:pPr>
              <w:spacing w:line="300" w:lineRule="exact"/>
              <w:jc w:val="center"/>
              <w:rPr>
                <w:rFonts w:hint="eastAsia" w:ascii="黑体" w:hAnsi="黑体" w:eastAsia="黑体" w:cs="黑体"/>
                <w:b w:val="0"/>
                <w:bCs/>
                <w:color w:val="auto"/>
                <w:kern w:val="2"/>
                <w:sz w:val="24"/>
                <w:szCs w:val="24"/>
                <w:highlight w:val="none"/>
                <w:lang w:val="en-US" w:eastAsia="zh-CN" w:bidi="ar-SA"/>
              </w:rPr>
            </w:pPr>
            <w:r>
              <w:rPr>
                <w:rFonts w:hint="eastAsia" w:ascii="黑体" w:hAnsi="黑体" w:eastAsia="黑体" w:cs="黑体"/>
                <w:color w:val="auto"/>
                <w:sz w:val="24"/>
                <w:highlight w:val="none"/>
                <w:lang w:val="en-US" w:eastAsia="zh-CN"/>
              </w:rPr>
              <w:t>许可证</w:t>
            </w:r>
          </w:p>
        </w:tc>
        <w:tc>
          <w:tcPr>
            <w:tcW w:w="7112" w:type="dxa"/>
            <w:tcBorders>
              <w:top w:val="single" w:color="auto" w:sz="4" w:space="0"/>
              <w:left w:val="single" w:color="auto" w:sz="4" w:space="0"/>
              <w:bottom w:val="single" w:color="auto" w:sz="4" w:space="0"/>
              <w:right w:val="single" w:color="auto" w:sz="4" w:space="0"/>
            </w:tcBorders>
            <w:noWrap w:val="0"/>
            <w:vAlign w:val="center"/>
          </w:tcPr>
          <w:p w14:paraId="30964835">
            <w:pPr>
              <w:spacing w:line="3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供应商应具有有效的《餐饮服务许可证》或《食品经营许可证》</w:t>
            </w:r>
          </w:p>
        </w:tc>
      </w:tr>
      <w:tr w14:paraId="1F67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9577" w:type="dxa"/>
            <w:gridSpan w:val="3"/>
            <w:tcBorders>
              <w:left w:val="single" w:color="auto" w:sz="4" w:space="0"/>
              <w:bottom w:val="single" w:color="auto" w:sz="4" w:space="0"/>
              <w:right w:val="single" w:color="auto" w:sz="4" w:space="0"/>
            </w:tcBorders>
            <w:noWrap w:val="0"/>
            <w:vAlign w:val="center"/>
          </w:tcPr>
          <w:p w14:paraId="28596A2E">
            <w:pPr>
              <w:spacing w:line="300" w:lineRule="exact"/>
              <w:jc w:val="left"/>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注：审查不合格的投标供应商将视为非响应投标，不再进入后续评标阶段。</w:t>
            </w:r>
          </w:p>
        </w:tc>
      </w:tr>
    </w:tbl>
    <w:p w14:paraId="4188EA6A">
      <w:pPr>
        <w:spacing w:before="156" w:beforeLines="50"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19.2</w:t>
      </w:r>
      <w:r>
        <w:rPr>
          <w:rFonts w:hint="eastAsia" w:ascii="黑体" w:hAnsi="黑体" w:eastAsia="黑体" w:cs="黑体"/>
          <w:color w:val="auto"/>
          <w:sz w:val="24"/>
          <w:highlight w:val="none"/>
        </w:rPr>
        <w:t>评标委员会将审查每份投标文件是否实质上响应了招标文件的要求。实质上响应的投标应该是与招标文件要求的全部条款、条件和规格相符，没有重大偏离或保留的投标。对关键条文的偏离、保留或反对将被认为是实质上的偏离。重大偏离或保留是指实质上影响服务内容；或者实质上与招标文件不一致，而且限制了采购人的权利或投标人的义务。纠正这些偏离或保留将会对其他实质上响应要求的投标人的竞争地位产生不公正的影响。对于投标文件中不构成实质性偏差的不正规、不一致或不规则，采购人可以接受，但这种接受将影响投标人的综合得分。评标委员会只根据投标文件本身的内容确定投标文件的响应性，而不寻求外部的证据。</w:t>
      </w:r>
    </w:p>
    <w:p w14:paraId="6AEE51D7">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19</w:t>
      </w:r>
      <w:r>
        <w:rPr>
          <w:rFonts w:hint="eastAsia" w:ascii="黑体" w:hAnsi="黑体" w:eastAsia="黑体" w:cs="黑体"/>
          <w:color w:val="auto"/>
          <w:sz w:val="24"/>
          <w:highlight w:val="none"/>
        </w:rPr>
        <w:t>.3 符合性评审：</w:t>
      </w:r>
      <w:r>
        <w:rPr>
          <w:rFonts w:hint="eastAsia" w:ascii="黑体" w:hAnsi="黑体" w:eastAsia="黑体" w:cs="黑体"/>
          <w:sz w:val="24"/>
          <w:highlight w:val="none"/>
        </w:rPr>
        <w:t>主要对各</w:t>
      </w:r>
      <w:r>
        <w:rPr>
          <w:rFonts w:hint="eastAsia" w:ascii="黑体" w:hAnsi="黑体" w:eastAsia="黑体" w:cs="黑体"/>
          <w:sz w:val="24"/>
          <w:highlight w:val="none"/>
          <w:lang w:eastAsia="zh-CN"/>
        </w:rPr>
        <w:t>供应商投标</w:t>
      </w:r>
      <w:r>
        <w:rPr>
          <w:rFonts w:hint="eastAsia" w:ascii="黑体" w:hAnsi="黑体" w:eastAsia="黑体" w:cs="黑体"/>
          <w:sz w:val="24"/>
          <w:highlight w:val="none"/>
        </w:rPr>
        <w:t>文件进行商务性的审定。</w:t>
      </w:r>
      <w:r>
        <w:rPr>
          <w:rFonts w:hint="eastAsia" w:ascii="黑体" w:hAnsi="黑体" w:eastAsia="黑体" w:cs="黑体"/>
          <w:sz w:val="24"/>
          <w:highlight w:val="none"/>
          <w:lang w:eastAsia="zh-CN"/>
        </w:rPr>
        <w:t>不符合</w:t>
      </w:r>
      <w:r>
        <w:rPr>
          <w:rFonts w:hint="eastAsia" w:ascii="黑体" w:hAnsi="黑体" w:eastAsia="黑体" w:cs="黑体"/>
          <w:sz w:val="24"/>
          <w:highlight w:val="none"/>
        </w:rPr>
        <w:t>下列情况之一的，其投标将按无效处理：</w:t>
      </w:r>
    </w:p>
    <w:tbl>
      <w:tblPr>
        <w:tblStyle w:val="22"/>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6"/>
        <w:gridCol w:w="7762"/>
        <w:gridCol w:w="659"/>
      </w:tblGrid>
      <w:tr w14:paraId="29AB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F38F3E7">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序号</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7C56F4BD">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审查因素</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45867D15">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备注</w:t>
            </w:r>
          </w:p>
        </w:tc>
      </w:tr>
      <w:tr w14:paraId="146F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135C7D7">
            <w:pPr>
              <w:jc w:val="center"/>
              <w:rPr>
                <w:rFonts w:hint="eastAsia" w:ascii="黑体" w:hAnsi="黑体" w:eastAsia="黑体" w:cs="黑体"/>
                <w:b/>
                <w:color w:val="auto"/>
                <w:szCs w:val="21"/>
                <w:highlight w:val="none"/>
              </w:rPr>
            </w:pPr>
            <w:r>
              <w:rPr>
                <w:rFonts w:hint="eastAsia" w:ascii="黑体" w:hAnsi="黑体" w:eastAsia="黑体" w:cs="黑体"/>
                <w:b/>
                <w:color w:val="auto"/>
                <w:szCs w:val="21"/>
                <w:highlight w:val="none"/>
                <w:lang w:val="en-US" w:eastAsia="zh-CN"/>
              </w:rPr>
              <w:t>1</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F6A7C52">
            <w:pPr>
              <w:jc w:val="both"/>
              <w:rPr>
                <w:rFonts w:hint="eastAsia" w:ascii="黑体" w:hAnsi="黑体" w:eastAsia="黑体" w:cs="黑体"/>
                <w:b/>
                <w:color w:val="auto"/>
                <w:szCs w:val="21"/>
                <w:highlight w:val="none"/>
              </w:rPr>
            </w:pPr>
            <w:r>
              <w:rPr>
                <w:rFonts w:hint="eastAsia" w:ascii="黑体" w:hAnsi="黑体" w:eastAsia="黑体" w:cs="黑体"/>
                <w:color w:val="auto"/>
                <w:sz w:val="24"/>
                <w:highlight w:val="none"/>
              </w:rPr>
              <w:t>响应文件格式、项目名称、项目编号符合招标文件要求</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32976B62">
            <w:pPr>
              <w:jc w:val="center"/>
              <w:rPr>
                <w:rFonts w:hint="eastAsia" w:ascii="黑体" w:hAnsi="黑体" w:eastAsia="黑体" w:cs="黑体"/>
                <w:b/>
                <w:color w:val="auto"/>
                <w:szCs w:val="21"/>
                <w:highlight w:val="none"/>
              </w:rPr>
            </w:pPr>
          </w:p>
        </w:tc>
      </w:tr>
      <w:tr w14:paraId="2759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atLeast"/>
          <w:jc w:val="center"/>
        </w:trPr>
        <w:tc>
          <w:tcPr>
            <w:tcW w:w="746" w:type="dxa"/>
            <w:tcBorders>
              <w:left w:val="single" w:color="auto" w:sz="4" w:space="0"/>
              <w:right w:val="single" w:color="auto" w:sz="4" w:space="0"/>
            </w:tcBorders>
            <w:noWrap w:val="0"/>
            <w:vAlign w:val="center"/>
          </w:tcPr>
          <w:p w14:paraId="632EAB98">
            <w:pPr>
              <w:jc w:val="center"/>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lang w:val="en-US" w:eastAsia="zh-CN"/>
              </w:rPr>
              <w:t>2</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562EAE38">
            <w:pP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lang w:eastAsia="zh-CN"/>
              </w:rPr>
              <w:t>投标报价同时满足以下条款：（1）投标报价符合唯一性要求；（2）开标一览表填写符合要求；（3）报价货币符合招标文件要求；（4）未超出采购预算或招标文件规定的最高限价；</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01E6E412">
            <w:pPr>
              <w:jc w:val="center"/>
              <w:rPr>
                <w:rFonts w:hint="eastAsia" w:ascii="黑体" w:hAnsi="黑体" w:eastAsia="黑体" w:cs="黑体"/>
                <w:b/>
                <w:bCs/>
                <w:color w:val="auto"/>
                <w:szCs w:val="21"/>
                <w:highlight w:val="none"/>
              </w:rPr>
            </w:pPr>
          </w:p>
        </w:tc>
      </w:tr>
      <w:tr w14:paraId="465A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2" w:hRule="atLeast"/>
          <w:jc w:val="center"/>
        </w:trPr>
        <w:tc>
          <w:tcPr>
            <w:tcW w:w="746" w:type="dxa"/>
            <w:tcBorders>
              <w:left w:val="single" w:color="auto" w:sz="4" w:space="0"/>
              <w:right w:val="single" w:color="auto" w:sz="4" w:space="0"/>
            </w:tcBorders>
            <w:noWrap w:val="0"/>
            <w:vAlign w:val="center"/>
          </w:tcPr>
          <w:p w14:paraId="2B3F30DA">
            <w:pPr>
              <w:jc w:val="center"/>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lang w:val="en-US" w:eastAsia="zh-CN"/>
              </w:rPr>
              <w:t>3</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3642D8B5">
            <w:pPr>
              <w:rPr>
                <w:rFonts w:hint="eastAsia" w:ascii="黑体" w:hAnsi="黑体" w:eastAsia="黑体" w:cs="黑体"/>
                <w:color w:val="auto"/>
                <w:sz w:val="24"/>
                <w:highlight w:val="none"/>
              </w:rPr>
            </w:pPr>
            <w:r>
              <w:rPr>
                <w:rFonts w:hint="eastAsia" w:ascii="黑体" w:hAnsi="黑体" w:eastAsia="黑体" w:cs="黑体"/>
                <w:color w:val="auto"/>
                <w:sz w:val="24"/>
                <w:highlight w:val="none"/>
              </w:rPr>
              <w:t>投标有效期符合</w:t>
            </w:r>
            <w:r>
              <w:rPr>
                <w:rFonts w:hint="eastAsia" w:ascii="黑体" w:hAnsi="黑体" w:eastAsia="黑体" w:cs="黑体"/>
                <w:color w:val="auto"/>
                <w:sz w:val="24"/>
                <w:highlight w:val="none"/>
                <w:lang w:eastAsia="zh-CN"/>
              </w:rPr>
              <w:t>招标文件</w:t>
            </w:r>
            <w:r>
              <w:rPr>
                <w:rFonts w:hint="eastAsia" w:ascii="黑体" w:hAnsi="黑体" w:eastAsia="黑体" w:cs="黑体"/>
                <w:color w:val="auto"/>
                <w:sz w:val="24"/>
                <w:highlight w:val="none"/>
              </w:rPr>
              <w:t>要求</w:t>
            </w:r>
            <w:r>
              <w:rPr>
                <w:rFonts w:hint="eastAsia" w:ascii="黑体" w:hAnsi="黑体" w:eastAsia="黑体" w:cs="黑体"/>
                <w:color w:val="auto"/>
                <w:sz w:val="24"/>
                <w:highlight w:val="none"/>
                <w:lang w:eastAsia="zh-CN"/>
              </w:rPr>
              <w:t>；</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2A25A98F">
            <w:pPr>
              <w:jc w:val="center"/>
              <w:rPr>
                <w:rFonts w:hint="eastAsia" w:ascii="黑体" w:hAnsi="黑体" w:eastAsia="黑体" w:cs="黑体"/>
                <w:b/>
                <w:color w:val="auto"/>
                <w:szCs w:val="21"/>
                <w:highlight w:val="none"/>
              </w:rPr>
            </w:pPr>
          </w:p>
        </w:tc>
      </w:tr>
      <w:tr w14:paraId="389A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2" w:hRule="atLeast"/>
          <w:jc w:val="center"/>
        </w:trPr>
        <w:tc>
          <w:tcPr>
            <w:tcW w:w="746" w:type="dxa"/>
            <w:tcBorders>
              <w:left w:val="single" w:color="auto" w:sz="4" w:space="0"/>
              <w:right w:val="single" w:color="auto" w:sz="4" w:space="0"/>
            </w:tcBorders>
            <w:noWrap w:val="0"/>
            <w:vAlign w:val="center"/>
          </w:tcPr>
          <w:p w14:paraId="5D11C20E">
            <w:pP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4</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1760E5C1">
            <w:pPr>
              <w:rPr>
                <w:rFonts w:hint="eastAsia" w:ascii="黑体" w:hAnsi="黑体" w:eastAsia="黑体" w:cs="黑体"/>
                <w:color w:val="auto"/>
                <w:sz w:val="24"/>
                <w:highlight w:val="none"/>
              </w:rPr>
            </w:pPr>
            <w:r>
              <w:rPr>
                <w:rFonts w:hint="eastAsia" w:ascii="黑体" w:hAnsi="黑体" w:eastAsia="黑体" w:cs="黑体"/>
                <w:sz w:val="24"/>
                <w:highlight w:val="none"/>
                <w:lang w:val="en-US" w:eastAsia="zh-CN"/>
              </w:rPr>
              <w:t>实质性条款</w:t>
            </w:r>
            <w:r>
              <w:rPr>
                <w:rFonts w:hint="eastAsia" w:ascii="黑体" w:hAnsi="黑体" w:eastAsia="黑体" w:cs="黑体"/>
                <w:sz w:val="24"/>
                <w:highlight w:val="none"/>
              </w:rPr>
              <w:t>完全响应</w:t>
            </w:r>
            <w:r>
              <w:rPr>
                <w:rFonts w:hint="eastAsia" w:ascii="黑体" w:hAnsi="黑体" w:eastAsia="黑体" w:cs="黑体"/>
                <w:sz w:val="24"/>
                <w:highlight w:val="none"/>
                <w:lang w:eastAsia="zh-CN"/>
              </w:rPr>
              <w:t>招标</w:t>
            </w:r>
            <w:r>
              <w:rPr>
                <w:rFonts w:hint="eastAsia" w:ascii="黑体" w:hAnsi="黑体" w:eastAsia="黑体" w:cs="黑体"/>
                <w:sz w:val="24"/>
                <w:highlight w:val="none"/>
              </w:rPr>
              <w:t>文件要求的各项实质性条款；</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1A204597">
            <w:pPr>
              <w:jc w:val="center"/>
              <w:rPr>
                <w:rFonts w:hint="eastAsia" w:ascii="黑体" w:hAnsi="黑体" w:eastAsia="黑体" w:cs="黑体"/>
                <w:b/>
                <w:color w:val="auto"/>
                <w:szCs w:val="21"/>
                <w:highlight w:val="none"/>
              </w:rPr>
            </w:pPr>
          </w:p>
        </w:tc>
      </w:tr>
      <w:tr w14:paraId="2168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1" w:hRule="atLeast"/>
          <w:jc w:val="center"/>
        </w:trPr>
        <w:tc>
          <w:tcPr>
            <w:tcW w:w="746" w:type="dxa"/>
            <w:tcBorders>
              <w:left w:val="single" w:color="auto" w:sz="4" w:space="0"/>
              <w:bottom w:val="single" w:color="auto" w:sz="4" w:space="0"/>
              <w:right w:val="single" w:color="auto" w:sz="4" w:space="0"/>
            </w:tcBorders>
            <w:noWrap w:val="0"/>
            <w:vAlign w:val="center"/>
          </w:tcPr>
          <w:p w14:paraId="05FD1055">
            <w:pPr>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val="en-US" w:eastAsia="zh-CN"/>
              </w:rPr>
              <w:t>5</w:t>
            </w:r>
          </w:p>
        </w:tc>
        <w:tc>
          <w:tcPr>
            <w:tcW w:w="7762" w:type="dxa"/>
            <w:tcBorders>
              <w:top w:val="single" w:color="auto" w:sz="4" w:space="0"/>
              <w:left w:val="single" w:color="auto" w:sz="4" w:space="0"/>
              <w:bottom w:val="single" w:color="auto" w:sz="4" w:space="0"/>
              <w:right w:val="single" w:color="auto" w:sz="4" w:space="0"/>
            </w:tcBorders>
            <w:noWrap w:val="0"/>
            <w:vAlign w:val="center"/>
          </w:tcPr>
          <w:p w14:paraId="46CCB039">
            <w:pPr>
              <w:rPr>
                <w:rFonts w:hint="eastAsia" w:ascii="黑体" w:hAnsi="黑体" w:eastAsia="黑体" w:cs="黑体"/>
                <w:color w:val="auto"/>
                <w:sz w:val="24"/>
                <w:highlight w:val="none"/>
              </w:rPr>
            </w:pPr>
            <w:r>
              <w:rPr>
                <w:rFonts w:hint="eastAsia" w:ascii="黑体" w:hAnsi="黑体" w:eastAsia="黑体" w:cs="黑体"/>
                <w:color w:val="auto"/>
                <w:sz w:val="24"/>
                <w:highlight w:val="none"/>
              </w:rPr>
              <w:t>其他情况：没有串通投标或弄虚作假或有其他违法行为；招标文件或法律法规规有关废标或否决投标规定的其他情形。</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6D7CDB4C">
            <w:pPr>
              <w:jc w:val="center"/>
              <w:rPr>
                <w:rFonts w:hint="eastAsia" w:ascii="黑体" w:hAnsi="黑体" w:eastAsia="黑体" w:cs="黑体"/>
                <w:b/>
                <w:color w:val="auto"/>
                <w:szCs w:val="21"/>
                <w:highlight w:val="none"/>
              </w:rPr>
            </w:pPr>
          </w:p>
        </w:tc>
      </w:tr>
      <w:tr w14:paraId="11D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5" w:hRule="atLeast"/>
          <w:jc w:val="center"/>
        </w:trPr>
        <w:tc>
          <w:tcPr>
            <w:tcW w:w="8508" w:type="dxa"/>
            <w:gridSpan w:val="2"/>
            <w:tcBorders>
              <w:left w:val="single" w:color="auto" w:sz="4" w:space="0"/>
              <w:bottom w:val="single" w:color="auto" w:sz="4" w:space="0"/>
              <w:right w:val="single" w:color="auto" w:sz="4" w:space="0"/>
            </w:tcBorders>
            <w:noWrap w:val="0"/>
            <w:vAlign w:val="center"/>
          </w:tcPr>
          <w:p w14:paraId="4B72C303">
            <w:pPr>
              <w:spacing w:line="440" w:lineRule="exact"/>
              <w:rPr>
                <w:rFonts w:hint="eastAsia" w:ascii="黑体" w:hAnsi="黑体" w:eastAsia="黑体" w:cs="黑体"/>
                <w:color w:val="auto"/>
                <w:sz w:val="24"/>
                <w:highlight w:val="none"/>
              </w:rPr>
            </w:pPr>
            <w:r>
              <w:rPr>
                <w:rFonts w:hint="eastAsia" w:ascii="黑体" w:hAnsi="黑体" w:eastAsia="黑体" w:cs="黑体"/>
                <w:color w:val="auto"/>
                <w:sz w:val="24"/>
                <w:highlight w:val="none"/>
              </w:rPr>
              <w:t>备注：符合性审查不合格的投标单位不得进入下一评审环节。</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3A86A0CD">
            <w:pPr>
              <w:jc w:val="center"/>
              <w:rPr>
                <w:rFonts w:hint="eastAsia" w:ascii="黑体" w:hAnsi="黑体" w:eastAsia="黑体" w:cs="黑体"/>
                <w:b/>
                <w:color w:val="auto"/>
                <w:szCs w:val="21"/>
                <w:highlight w:val="none"/>
              </w:rPr>
            </w:pPr>
          </w:p>
        </w:tc>
      </w:tr>
    </w:tbl>
    <w:p w14:paraId="221FAEF6">
      <w:pPr>
        <w:pStyle w:val="2"/>
        <w:ind w:firstLine="480" w:firstLineChars="200"/>
        <w:rPr>
          <w:rFonts w:hint="eastAsia" w:ascii="黑体" w:hAnsi="黑体" w:eastAsia="黑体" w:cs="黑体"/>
          <w:color w:val="auto"/>
          <w:kern w:val="2"/>
          <w:sz w:val="24"/>
          <w:highlight w:val="none"/>
        </w:rPr>
      </w:pPr>
      <w:r>
        <w:rPr>
          <w:rFonts w:hint="eastAsia" w:ascii="黑体" w:hAnsi="黑体" w:eastAsia="黑体" w:cs="黑体"/>
          <w:color w:val="auto"/>
          <w:kern w:val="2"/>
          <w:sz w:val="24"/>
          <w:highlight w:val="none"/>
          <w:lang w:val="en-US" w:eastAsia="zh-CN"/>
        </w:rPr>
        <w:t>19</w:t>
      </w:r>
      <w:r>
        <w:rPr>
          <w:rFonts w:hint="eastAsia" w:ascii="黑体" w:hAnsi="黑体" w:eastAsia="黑体" w:cs="黑体"/>
          <w:color w:val="auto"/>
          <w:kern w:val="2"/>
          <w:sz w:val="24"/>
          <w:highlight w:val="none"/>
        </w:rPr>
        <w:t>.3.1有下列情形之一的，视为投标人相互恶意串通投标响应，其投标文件按无效处理：</w:t>
      </w:r>
    </w:p>
    <w:p w14:paraId="423BA072">
      <w:pPr>
        <w:pStyle w:val="2"/>
        <w:ind w:firstLine="240" w:firstLineChars="100"/>
        <w:rPr>
          <w:rFonts w:hint="eastAsia" w:ascii="黑体" w:hAnsi="黑体" w:eastAsia="黑体" w:cs="黑体"/>
          <w:color w:val="auto"/>
          <w:kern w:val="2"/>
          <w:sz w:val="24"/>
          <w:highlight w:val="none"/>
        </w:rPr>
      </w:pPr>
      <w:r>
        <w:rPr>
          <w:rFonts w:hint="eastAsia" w:ascii="黑体" w:hAnsi="黑体" w:eastAsia="黑体" w:cs="黑体"/>
          <w:color w:val="auto"/>
          <w:kern w:val="2"/>
          <w:sz w:val="24"/>
          <w:highlight w:val="none"/>
        </w:rPr>
        <w:t>1）不同投标人的投标文件由同一单位或者个人编制；</w:t>
      </w:r>
    </w:p>
    <w:p w14:paraId="4CB21C8D">
      <w:pPr>
        <w:pStyle w:val="2"/>
        <w:ind w:firstLine="240" w:firstLineChars="100"/>
        <w:rPr>
          <w:rFonts w:hint="eastAsia" w:ascii="黑体" w:hAnsi="黑体" w:eastAsia="黑体" w:cs="黑体"/>
          <w:color w:val="auto"/>
          <w:kern w:val="2"/>
          <w:sz w:val="24"/>
          <w:highlight w:val="none"/>
        </w:rPr>
      </w:pPr>
      <w:r>
        <w:rPr>
          <w:rFonts w:hint="eastAsia" w:ascii="黑体" w:hAnsi="黑体" w:eastAsia="黑体" w:cs="黑体"/>
          <w:color w:val="auto"/>
          <w:kern w:val="2"/>
          <w:sz w:val="24"/>
          <w:highlight w:val="none"/>
        </w:rPr>
        <w:t>2）不同投标人委托同一单位或者个人办理投标事宜；</w:t>
      </w:r>
    </w:p>
    <w:p w14:paraId="08115A94">
      <w:pPr>
        <w:pStyle w:val="2"/>
        <w:ind w:firstLine="240" w:firstLineChars="100"/>
        <w:rPr>
          <w:rFonts w:hint="eastAsia" w:ascii="黑体" w:hAnsi="黑体" w:eastAsia="黑体" w:cs="黑体"/>
          <w:color w:val="auto"/>
          <w:kern w:val="2"/>
          <w:sz w:val="24"/>
          <w:highlight w:val="none"/>
        </w:rPr>
      </w:pPr>
      <w:r>
        <w:rPr>
          <w:rFonts w:hint="eastAsia" w:ascii="黑体" w:hAnsi="黑体" w:eastAsia="黑体" w:cs="黑体"/>
          <w:color w:val="auto"/>
          <w:kern w:val="2"/>
          <w:sz w:val="24"/>
          <w:highlight w:val="none"/>
        </w:rPr>
        <w:t>3）不同投标人的响应文件载明的项目管理成员为同一人；</w:t>
      </w:r>
    </w:p>
    <w:p w14:paraId="4CBCCC4C">
      <w:pPr>
        <w:pStyle w:val="2"/>
        <w:ind w:firstLine="240" w:firstLineChars="100"/>
        <w:rPr>
          <w:rFonts w:hint="eastAsia" w:ascii="黑体" w:hAnsi="黑体" w:eastAsia="黑体" w:cs="黑体"/>
          <w:color w:val="auto"/>
          <w:kern w:val="2"/>
          <w:sz w:val="24"/>
          <w:highlight w:val="none"/>
        </w:rPr>
      </w:pPr>
      <w:r>
        <w:rPr>
          <w:rFonts w:hint="eastAsia" w:ascii="黑体" w:hAnsi="黑体" w:eastAsia="黑体" w:cs="黑体"/>
          <w:color w:val="auto"/>
          <w:kern w:val="2"/>
          <w:sz w:val="24"/>
          <w:highlight w:val="none"/>
        </w:rPr>
        <w:t>4）不同投标人的响应文件异常一致或者投标报价呈规律性差异；</w:t>
      </w:r>
    </w:p>
    <w:p w14:paraId="2D51D8DA">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19</w:t>
      </w:r>
      <w:r>
        <w:rPr>
          <w:rFonts w:hint="eastAsia" w:ascii="黑体" w:hAnsi="黑体" w:eastAsia="黑体" w:cs="黑体"/>
          <w:color w:val="auto"/>
          <w:sz w:val="24"/>
          <w:highlight w:val="none"/>
        </w:rPr>
        <w:t>.4 如果投标文件实质上没有响应招标文件的要求，评标委员会将予以拒绝，投标人不得通过修正或撤销不合要求的偏离从而使其投标成为实质上响应的投标。</w:t>
      </w:r>
    </w:p>
    <w:p w14:paraId="5B4C4B83">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19</w:t>
      </w:r>
      <w:r>
        <w:rPr>
          <w:rFonts w:hint="eastAsia" w:ascii="黑体" w:hAnsi="黑体" w:eastAsia="黑体" w:cs="黑体"/>
          <w:color w:val="auto"/>
          <w:sz w:val="24"/>
          <w:highlight w:val="none"/>
        </w:rPr>
        <w:t>.5 评标委员会将只对确定为实质上响应的投标进行审核，看其是否有计算上和累加上的算术错误，修正错误的原则如下：</w:t>
      </w:r>
    </w:p>
    <w:p w14:paraId="2F049813">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1）投标报价表中内容与投标文件投标分项报价表内容不一致的，应以投标报价表为准；</w:t>
      </w:r>
    </w:p>
    <w:p w14:paraId="4BA83ACD">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2）投标文件的大写金额和小写金额不一致的，以大写金额为准；总价金额与按单价汇总金额不一致的，以单价金额计算结果为准；单价金额小数点有明显错位的，应以总价为准，并修改单价；</w:t>
      </w:r>
    </w:p>
    <w:p w14:paraId="55FF8D23">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19</w:t>
      </w:r>
      <w:r>
        <w:rPr>
          <w:rFonts w:hint="eastAsia" w:ascii="黑体" w:hAnsi="黑体" w:eastAsia="黑体" w:cs="黑体"/>
          <w:color w:val="auto"/>
          <w:sz w:val="24"/>
          <w:highlight w:val="none"/>
        </w:rPr>
        <w:t>.6 评标委员会将按上述修正错误的原则调整投标文件中的投标报价，调整后的价格应对投标人具有约束力。如果投标人不接受修正后的价格，则其投标将被拒绝。</w:t>
      </w:r>
    </w:p>
    <w:p w14:paraId="12B932F2">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lang w:val="en-US" w:eastAsia="zh-CN"/>
        </w:rPr>
        <w:t>20</w:t>
      </w:r>
      <w:r>
        <w:rPr>
          <w:rFonts w:hint="eastAsia" w:ascii="黑体" w:hAnsi="黑体" w:eastAsia="黑体" w:cs="黑体"/>
          <w:b/>
          <w:color w:val="auto"/>
          <w:sz w:val="24"/>
          <w:highlight w:val="none"/>
        </w:rPr>
        <w:t>．投标文件的详细评审</w:t>
      </w:r>
    </w:p>
    <w:p w14:paraId="79342C67">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20</w:t>
      </w:r>
      <w:r>
        <w:rPr>
          <w:rFonts w:hint="eastAsia" w:ascii="黑体" w:hAnsi="黑体" w:eastAsia="黑体" w:cs="黑体"/>
          <w:color w:val="auto"/>
          <w:sz w:val="24"/>
          <w:highlight w:val="none"/>
        </w:rPr>
        <w:t>.1 评标委员会将只对确定为实质上响应招标文件要求的投标</w:t>
      </w:r>
      <w:r>
        <w:rPr>
          <w:rFonts w:hint="eastAsia" w:ascii="黑体" w:hAnsi="黑体" w:eastAsia="黑体" w:cs="黑体"/>
          <w:color w:val="auto"/>
          <w:sz w:val="24"/>
          <w:highlight w:val="none"/>
          <w:lang w:val="en-US" w:eastAsia="zh-CN"/>
        </w:rPr>
        <w:t>文件</w:t>
      </w:r>
      <w:r>
        <w:rPr>
          <w:rFonts w:hint="eastAsia" w:ascii="黑体" w:hAnsi="黑体" w:eastAsia="黑体" w:cs="黑体"/>
          <w:color w:val="auto"/>
          <w:sz w:val="24"/>
          <w:highlight w:val="none"/>
        </w:rPr>
        <w:t>进行详细的评价和比较。</w:t>
      </w:r>
    </w:p>
    <w:p w14:paraId="4A5D34B2">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20</w:t>
      </w:r>
      <w:r>
        <w:rPr>
          <w:rFonts w:hint="eastAsia" w:ascii="黑体" w:hAnsi="黑体" w:eastAsia="黑体" w:cs="黑体"/>
          <w:color w:val="auto"/>
          <w:sz w:val="24"/>
          <w:highlight w:val="none"/>
        </w:rPr>
        <w:t>.2 评标方法：综合评分法</w:t>
      </w:r>
    </w:p>
    <w:p w14:paraId="15CFF95B">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评审总分值为100分，具体分值如下：</w:t>
      </w:r>
    </w:p>
    <w:p w14:paraId="7CD69658">
      <w:pPr>
        <w:pStyle w:val="2"/>
        <w:rPr>
          <w:rFonts w:hint="eastAsia"/>
        </w:rPr>
      </w:pPr>
    </w:p>
    <w:p w14:paraId="62C66F69">
      <w:pPr>
        <w:spacing w:line="440" w:lineRule="exact"/>
        <w:ind w:firstLine="482" w:firstLineChars="200"/>
        <w:rPr>
          <w:rFonts w:hint="eastAsia" w:ascii="黑体" w:hAnsi="黑体" w:eastAsia="黑体" w:cs="黑体"/>
          <w:b/>
          <w:color w:val="auto"/>
          <w:sz w:val="24"/>
          <w:highlight w:val="none"/>
        </w:rPr>
      </w:pPr>
    </w:p>
    <w:tbl>
      <w:tblPr>
        <w:tblStyle w:val="22"/>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69"/>
        <w:gridCol w:w="1020"/>
        <w:gridCol w:w="6975"/>
      </w:tblGrid>
      <w:tr w14:paraId="6232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0"/>
            <w:vAlign w:val="center"/>
          </w:tcPr>
          <w:p w14:paraId="1C6C7894">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序号</w:t>
            </w:r>
          </w:p>
        </w:tc>
        <w:tc>
          <w:tcPr>
            <w:tcW w:w="969" w:type="dxa"/>
            <w:noWrap w:val="0"/>
            <w:vAlign w:val="center"/>
          </w:tcPr>
          <w:p w14:paraId="0DE9B1F9">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评分因素及权重</w:t>
            </w:r>
          </w:p>
        </w:tc>
        <w:tc>
          <w:tcPr>
            <w:tcW w:w="1020" w:type="dxa"/>
            <w:noWrap w:val="0"/>
            <w:vAlign w:val="center"/>
          </w:tcPr>
          <w:p w14:paraId="118F42B1">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分值</w:t>
            </w:r>
          </w:p>
        </w:tc>
        <w:tc>
          <w:tcPr>
            <w:tcW w:w="6975" w:type="dxa"/>
            <w:noWrap w:val="0"/>
            <w:vAlign w:val="center"/>
          </w:tcPr>
          <w:p w14:paraId="180055F1">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评分标准</w:t>
            </w:r>
          </w:p>
        </w:tc>
      </w:tr>
      <w:tr w14:paraId="4A08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68" w:type="dxa"/>
            <w:noWrap w:val="0"/>
            <w:vAlign w:val="center"/>
          </w:tcPr>
          <w:p w14:paraId="6AA08954">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1</w:t>
            </w:r>
          </w:p>
        </w:tc>
        <w:tc>
          <w:tcPr>
            <w:tcW w:w="969" w:type="dxa"/>
            <w:noWrap w:val="0"/>
            <w:vAlign w:val="center"/>
          </w:tcPr>
          <w:p w14:paraId="7EC2CB5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报价</w:t>
            </w:r>
          </w:p>
          <w:p w14:paraId="26AC3711">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10分</w:t>
            </w:r>
          </w:p>
        </w:tc>
        <w:tc>
          <w:tcPr>
            <w:tcW w:w="1020" w:type="dxa"/>
            <w:noWrap w:val="0"/>
            <w:vAlign w:val="center"/>
          </w:tcPr>
          <w:p w14:paraId="7D0AADEA">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lang w:val="en-US" w:eastAsia="zh-CN"/>
              </w:rPr>
              <w:t>10</w:t>
            </w:r>
            <w:r>
              <w:rPr>
                <w:rFonts w:hint="eastAsia" w:ascii="黑体" w:hAnsi="黑体" w:eastAsia="黑体" w:cs="黑体"/>
                <w:b/>
                <w:color w:val="auto"/>
                <w:sz w:val="24"/>
                <w:szCs w:val="24"/>
                <w:highlight w:val="none"/>
              </w:rPr>
              <w:t>分</w:t>
            </w:r>
          </w:p>
        </w:tc>
        <w:tc>
          <w:tcPr>
            <w:tcW w:w="6975" w:type="dxa"/>
            <w:noWrap w:val="0"/>
            <w:vAlign w:val="center"/>
          </w:tcPr>
          <w:p w14:paraId="638C459E">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综合评分法中的价格分统一采用低价优先法计算，即满足招标文件要求且投标价格最低的</w:t>
            </w:r>
            <w:r>
              <w:rPr>
                <w:rFonts w:hint="eastAsia" w:ascii="黑体" w:hAnsi="黑体" w:eastAsia="黑体" w:cs="黑体"/>
                <w:color w:val="auto"/>
                <w:sz w:val="24"/>
                <w:szCs w:val="24"/>
                <w:highlight w:val="none"/>
                <w:lang w:eastAsia="zh-CN"/>
              </w:rPr>
              <w:t>有效</w:t>
            </w:r>
            <w:r>
              <w:rPr>
                <w:rFonts w:hint="eastAsia" w:ascii="黑体" w:hAnsi="黑体" w:eastAsia="黑体" w:cs="黑体"/>
                <w:color w:val="auto"/>
                <w:sz w:val="24"/>
                <w:szCs w:val="24"/>
                <w:highlight w:val="none"/>
              </w:rPr>
              <w:t>投标报价为</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评</w:t>
            </w:r>
            <w:r>
              <w:rPr>
                <w:rFonts w:hint="eastAsia" w:ascii="黑体" w:hAnsi="黑体" w:eastAsia="黑体" w:cs="黑体"/>
                <w:color w:val="auto"/>
                <w:sz w:val="24"/>
                <w:szCs w:val="24"/>
                <w:highlight w:val="none"/>
                <w:lang w:eastAsia="zh-CN"/>
              </w:rPr>
              <w:t>标</w:t>
            </w:r>
            <w:r>
              <w:rPr>
                <w:rFonts w:hint="eastAsia" w:ascii="黑体" w:hAnsi="黑体" w:eastAsia="黑体" w:cs="黑体"/>
                <w:color w:val="auto"/>
                <w:sz w:val="24"/>
                <w:szCs w:val="24"/>
                <w:highlight w:val="none"/>
              </w:rPr>
              <w:t>基准价</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，其价格分为满分。其他投标单位的价格分统一按照下列公式计算：投标报价得分=(评标基准价／投标报价)×</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0。</w:t>
            </w:r>
          </w:p>
        </w:tc>
      </w:tr>
      <w:tr w14:paraId="0766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8" w:type="dxa"/>
            <w:noWrap w:val="0"/>
            <w:vAlign w:val="center"/>
          </w:tcPr>
          <w:p w14:paraId="28C243BD">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2</w:t>
            </w:r>
          </w:p>
        </w:tc>
        <w:tc>
          <w:tcPr>
            <w:tcW w:w="969" w:type="dxa"/>
            <w:noWrap w:val="0"/>
            <w:vAlign w:val="center"/>
          </w:tcPr>
          <w:p w14:paraId="4E15F61B">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商务</w:t>
            </w:r>
          </w:p>
          <w:p w14:paraId="6290E56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响应</w:t>
            </w:r>
          </w:p>
          <w:p w14:paraId="10C705CD">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5分</w:t>
            </w:r>
          </w:p>
        </w:tc>
        <w:tc>
          <w:tcPr>
            <w:tcW w:w="1020" w:type="dxa"/>
            <w:noWrap w:val="0"/>
            <w:vAlign w:val="center"/>
          </w:tcPr>
          <w:p w14:paraId="4A4AE2C1">
            <w:pPr>
              <w:keepNext w:val="0"/>
              <w:keepLines w:val="0"/>
              <w:pageBreakBefore w:val="0"/>
              <w:widowControl w:val="0"/>
              <w:kinsoku/>
              <w:wordWrap/>
              <w:overflowPunct/>
              <w:topLinePunct w:val="0"/>
              <w:autoSpaceDE/>
              <w:autoSpaceDN/>
              <w:bidi w:val="0"/>
              <w:adjustRightInd/>
              <w:snapToGrid w:val="0"/>
              <w:spacing w:line="20" w:lineRule="atLeast"/>
              <w:ind w:firstLine="241" w:firstLineChars="100"/>
              <w:jc w:val="both"/>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5分</w:t>
            </w:r>
          </w:p>
        </w:tc>
        <w:tc>
          <w:tcPr>
            <w:tcW w:w="6975" w:type="dxa"/>
            <w:noWrap w:val="0"/>
            <w:vAlign w:val="center"/>
          </w:tcPr>
          <w:p w14:paraId="333E25C7">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供应商对服务期限、服务范围、服务承诺等商务要求进行响应说明，按响应程度计 0-</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分。</w:t>
            </w:r>
          </w:p>
        </w:tc>
      </w:tr>
      <w:tr w14:paraId="1F03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8" w:type="dxa"/>
            <w:vMerge w:val="restart"/>
            <w:noWrap w:val="0"/>
            <w:vAlign w:val="center"/>
          </w:tcPr>
          <w:p w14:paraId="0BB7217D">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p>
          <w:p w14:paraId="0DD06D0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p>
          <w:p w14:paraId="4CD4168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p>
          <w:p w14:paraId="74D3AC5E">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3</w:t>
            </w:r>
          </w:p>
        </w:tc>
        <w:tc>
          <w:tcPr>
            <w:tcW w:w="969" w:type="dxa"/>
            <w:vMerge w:val="restart"/>
            <w:noWrap w:val="0"/>
            <w:vAlign w:val="center"/>
          </w:tcPr>
          <w:p w14:paraId="46005CD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val="en-US" w:eastAsia="zh-CN"/>
              </w:rPr>
            </w:pPr>
          </w:p>
          <w:p w14:paraId="2102629E">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val="en-US" w:eastAsia="zh-CN"/>
              </w:rPr>
            </w:pPr>
          </w:p>
          <w:p w14:paraId="282B8707">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val="en-US" w:eastAsia="zh-CN"/>
              </w:rPr>
            </w:pPr>
          </w:p>
          <w:p w14:paraId="2C303767">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项目</w:t>
            </w:r>
          </w:p>
          <w:p w14:paraId="4E2157DD">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方案</w:t>
            </w:r>
          </w:p>
          <w:p w14:paraId="1C716C39">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default"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51分</w:t>
            </w:r>
          </w:p>
        </w:tc>
        <w:tc>
          <w:tcPr>
            <w:tcW w:w="1020" w:type="dxa"/>
            <w:noWrap w:val="0"/>
            <w:vAlign w:val="center"/>
          </w:tcPr>
          <w:p w14:paraId="633D337E">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000000"/>
                <w:kern w:val="0"/>
                <w:sz w:val="24"/>
                <w:szCs w:val="24"/>
                <w:highlight w:val="none"/>
                <w:lang w:val="en-US" w:eastAsia="zh-CN" w:bidi="ar"/>
              </w:rPr>
              <w:t>管理服务流程</w:t>
            </w:r>
          </w:p>
          <w:p w14:paraId="2452BD97">
            <w:pPr>
              <w:keepNext w:val="0"/>
              <w:keepLines w:val="0"/>
              <w:pageBreakBefore w:val="0"/>
              <w:widowControl w:val="0"/>
              <w:kinsoku/>
              <w:wordWrap/>
              <w:overflowPunct/>
              <w:topLinePunct w:val="0"/>
              <w:autoSpaceDE/>
              <w:autoSpaceDN/>
              <w:bidi w:val="0"/>
              <w:adjustRightInd/>
              <w:snapToGrid w:val="0"/>
              <w:spacing w:line="20" w:lineRule="atLeast"/>
              <w:ind w:firstLine="241" w:firstLineChars="100"/>
              <w:jc w:val="both"/>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8分</w:t>
            </w:r>
          </w:p>
        </w:tc>
        <w:tc>
          <w:tcPr>
            <w:tcW w:w="6975" w:type="dxa"/>
            <w:noWrap w:val="0"/>
            <w:vAlign w:val="center"/>
          </w:tcPr>
          <w:p w14:paraId="5C6F2D1D">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具有规范的管理服务流程（内部管理架构、管理制度、操作流程、信息反馈渠道等方面）；</w:t>
            </w:r>
          </w:p>
          <w:p w14:paraId="4FCFB0C1">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服务流程清晰、合理、全面得5-8 分；</w:t>
            </w:r>
          </w:p>
          <w:p w14:paraId="4013ADC0">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服务流程较清晰、较合理、较全面得2-5分；</w:t>
            </w:r>
          </w:p>
          <w:p w14:paraId="7F68EBE4">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default"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服务流程欠缺清晰、缺乏合理得0-2</w:t>
            </w:r>
          </w:p>
        </w:tc>
      </w:tr>
      <w:tr w14:paraId="5E05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exact"/>
          <w:jc w:val="center"/>
        </w:trPr>
        <w:tc>
          <w:tcPr>
            <w:tcW w:w="668" w:type="dxa"/>
            <w:vMerge w:val="continue"/>
            <w:noWrap w:val="0"/>
            <w:vAlign w:val="center"/>
          </w:tcPr>
          <w:p w14:paraId="109A18BA">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lang w:val="en-US" w:eastAsia="zh-CN"/>
              </w:rPr>
            </w:pPr>
          </w:p>
        </w:tc>
        <w:tc>
          <w:tcPr>
            <w:tcW w:w="969" w:type="dxa"/>
            <w:vMerge w:val="continue"/>
            <w:noWrap w:val="0"/>
            <w:vAlign w:val="center"/>
          </w:tcPr>
          <w:p w14:paraId="6B849B49">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val="en-US" w:eastAsia="zh-CN"/>
              </w:rPr>
            </w:pPr>
          </w:p>
        </w:tc>
        <w:tc>
          <w:tcPr>
            <w:tcW w:w="1020" w:type="dxa"/>
            <w:noWrap w:val="0"/>
            <w:vAlign w:val="top"/>
          </w:tcPr>
          <w:p w14:paraId="7B3AEDE7">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color w:val="000000"/>
                <w:kern w:val="0"/>
                <w:sz w:val="24"/>
                <w:szCs w:val="24"/>
                <w:highlight w:val="none"/>
                <w:lang w:val="en-US" w:eastAsia="zh-CN" w:bidi="ar"/>
              </w:rPr>
            </w:pPr>
          </w:p>
          <w:p w14:paraId="320901A6">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000000"/>
                <w:kern w:val="0"/>
                <w:sz w:val="24"/>
                <w:szCs w:val="24"/>
                <w:highlight w:val="none"/>
                <w:lang w:val="en-US" w:eastAsia="zh-CN" w:bidi="ar"/>
              </w:rPr>
              <w:t>食品安全管理方案</w:t>
            </w:r>
          </w:p>
          <w:p w14:paraId="3EF6C2C2">
            <w:pPr>
              <w:keepNext w:val="0"/>
              <w:keepLines w:val="0"/>
              <w:pageBreakBefore w:val="0"/>
              <w:widowControl w:val="0"/>
              <w:kinsoku/>
              <w:wordWrap/>
              <w:overflowPunct/>
              <w:topLinePunct w:val="0"/>
              <w:autoSpaceDE/>
              <w:autoSpaceDN/>
              <w:bidi w:val="0"/>
              <w:adjustRightInd/>
              <w:snapToGrid w:val="0"/>
              <w:spacing w:line="20" w:lineRule="atLeast"/>
              <w:ind w:firstLine="241" w:firstLineChars="100"/>
              <w:jc w:val="both"/>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8分</w:t>
            </w:r>
          </w:p>
        </w:tc>
        <w:tc>
          <w:tcPr>
            <w:tcW w:w="6975" w:type="dxa"/>
            <w:noWrap w:val="0"/>
            <w:vAlign w:val="center"/>
          </w:tcPr>
          <w:p w14:paraId="7A6CCA9C">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具备完整、规范的食品安全管理方案（包含但不限于食品加工（生熟分离）、卫生、日常维护、食品留样）；</w:t>
            </w:r>
          </w:p>
          <w:p w14:paraId="40B19D86">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方案合理完整、可行性强得5-8 分；</w:t>
            </w:r>
          </w:p>
          <w:p w14:paraId="035907A3">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000000"/>
                <w:kern w:val="0"/>
                <w:sz w:val="24"/>
                <w:szCs w:val="24"/>
                <w:highlight w:val="none"/>
                <w:lang w:val="en-US" w:eastAsia="zh-CN" w:bidi="ar"/>
              </w:rPr>
            </w:pPr>
            <w:r>
              <w:rPr>
                <w:rFonts w:hint="eastAsia" w:ascii="黑体" w:hAnsi="黑体" w:eastAsia="黑体" w:cs="黑体"/>
                <w:color w:val="000000"/>
                <w:kern w:val="0"/>
                <w:sz w:val="24"/>
                <w:szCs w:val="24"/>
                <w:highlight w:val="none"/>
                <w:lang w:val="en-US" w:eastAsia="zh-CN" w:bidi="ar"/>
              </w:rPr>
              <w:t>方案内容一般思路可行计2-5分；</w:t>
            </w:r>
          </w:p>
          <w:p w14:paraId="4929BB53">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000000"/>
                <w:kern w:val="0"/>
                <w:sz w:val="24"/>
                <w:szCs w:val="24"/>
                <w:highlight w:val="none"/>
                <w:lang w:val="en-US" w:eastAsia="zh-CN" w:bidi="ar"/>
              </w:rPr>
              <w:t>理解不到位，策划不合理计0-2分。</w:t>
            </w:r>
          </w:p>
        </w:tc>
      </w:tr>
      <w:tr w14:paraId="1F6B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exact"/>
          <w:jc w:val="center"/>
        </w:trPr>
        <w:tc>
          <w:tcPr>
            <w:tcW w:w="668" w:type="dxa"/>
            <w:vMerge w:val="continue"/>
            <w:noWrap w:val="0"/>
            <w:vAlign w:val="center"/>
          </w:tcPr>
          <w:p w14:paraId="16E11760">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lang w:val="en-US" w:eastAsia="zh-CN"/>
              </w:rPr>
            </w:pPr>
          </w:p>
        </w:tc>
        <w:tc>
          <w:tcPr>
            <w:tcW w:w="969" w:type="dxa"/>
            <w:vMerge w:val="continue"/>
            <w:noWrap w:val="0"/>
            <w:vAlign w:val="center"/>
          </w:tcPr>
          <w:p w14:paraId="3293B80A">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p>
        </w:tc>
        <w:tc>
          <w:tcPr>
            <w:tcW w:w="1020" w:type="dxa"/>
            <w:noWrap w:val="0"/>
            <w:vAlign w:val="top"/>
          </w:tcPr>
          <w:p w14:paraId="71A4424B">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val="en-US" w:eastAsia="zh-CN"/>
              </w:rPr>
            </w:pPr>
          </w:p>
          <w:p w14:paraId="535CB0A2">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服务质量保证措施</w:t>
            </w:r>
          </w:p>
          <w:p w14:paraId="08572FA0">
            <w:pPr>
              <w:keepNext w:val="0"/>
              <w:keepLines w:val="0"/>
              <w:pageBreakBefore w:val="0"/>
              <w:widowControl w:val="0"/>
              <w:kinsoku/>
              <w:wordWrap/>
              <w:overflowPunct/>
              <w:topLinePunct w:val="0"/>
              <w:autoSpaceDE/>
              <w:autoSpaceDN/>
              <w:bidi w:val="0"/>
              <w:adjustRightInd/>
              <w:snapToGrid w:val="0"/>
              <w:spacing w:line="20" w:lineRule="atLeast"/>
              <w:ind w:firstLine="241" w:firstLineChars="100"/>
              <w:jc w:val="both"/>
              <w:textAlignment w:val="auto"/>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5分</w:t>
            </w:r>
          </w:p>
        </w:tc>
        <w:tc>
          <w:tcPr>
            <w:tcW w:w="6975" w:type="dxa"/>
            <w:noWrap w:val="0"/>
            <w:vAlign w:val="center"/>
          </w:tcPr>
          <w:p w14:paraId="2A2182AB">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能够列出用餐品种、营养搭配、成本核算的高低；</w:t>
            </w:r>
          </w:p>
          <w:p w14:paraId="56A63E61">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品种多样、营养搭配合理、成本核算低得</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lang w:eastAsia="zh-CN"/>
              </w:rPr>
              <w:t>分；</w:t>
            </w:r>
          </w:p>
          <w:p w14:paraId="4C346377">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品种及营养搭配一般、成本较高得</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分。</w:t>
            </w:r>
          </w:p>
        </w:tc>
      </w:tr>
      <w:tr w14:paraId="74D0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668" w:type="dxa"/>
            <w:vMerge w:val="continue"/>
            <w:noWrap w:val="0"/>
            <w:vAlign w:val="center"/>
          </w:tcPr>
          <w:p w14:paraId="0F75BC01">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rPr>
            </w:pPr>
          </w:p>
        </w:tc>
        <w:tc>
          <w:tcPr>
            <w:tcW w:w="969" w:type="dxa"/>
            <w:vMerge w:val="continue"/>
            <w:noWrap w:val="0"/>
            <w:vAlign w:val="center"/>
          </w:tcPr>
          <w:p w14:paraId="1F0B3305">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kern w:val="2"/>
                <w:sz w:val="24"/>
                <w:szCs w:val="24"/>
                <w:highlight w:val="none"/>
                <w:lang w:val="en-US" w:eastAsia="zh-CN" w:bidi="ar-SA"/>
              </w:rPr>
            </w:pPr>
          </w:p>
        </w:tc>
        <w:tc>
          <w:tcPr>
            <w:tcW w:w="1020" w:type="dxa"/>
            <w:noWrap w:val="0"/>
            <w:vAlign w:val="top"/>
          </w:tcPr>
          <w:p w14:paraId="0E2BC2F0">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kern w:val="2"/>
                <w:sz w:val="24"/>
                <w:szCs w:val="24"/>
                <w:highlight w:val="none"/>
                <w:lang w:val="en-US" w:eastAsia="zh-CN" w:bidi="ar-SA"/>
              </w:rPr>
            </w:pPr>
          </w:p>
          <w:p w14:paraId="777083E5">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应急</w:t>
            </w:r>
          </w:p>
          <w:p w14:paraId="3018AE24">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kern w:val="2"/>
                <w:sz w:val="24"/>
                <w:szCs w:val="24"/>
                <w:highlight w:val="none"/>
                <w:lang w:val="en-US" w:eastAsia="zh-CN" w:bidi="ar-SA"/>
              </w:rPr>
            </w:pPr>
            <w:r>
              <w:rPr>
                <w:rFonts w:hint="eastAsia" w:ascii="黑体" w:hAnsi="黑体" w:eastAsia="黑体" w:cs="黑体"/>
                <w:b/>
                <w:bCs/>
                <w:color w:val="auto"/>
                <w:sz w:val="24"/>
                <w:szCs w:val="24"/>
                <w:highlight w:val="none"/>
                <w:lang w:eastAsia="zh-CN"/>
              </w:rPr>
              <w:t>方案</w:t>
            </w:r>
          </w:p>
          <w:p w14:paraId="4132BD0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kern w:val="2"/>
                <w:sz w:val="24"/>
                <w:szCs w:val="24"/>
                <w:highlight w:val="none"/>
                <w:lang w:val="en-US" w:eastAsia="zh-CN" w:bidi="ar-SA"/>
              </w:rPr>
            </w:pPr>
            <w:r>
              <w:rPr>
                <w:rFonts w:hint="eastAsia" w:ascii="黑体" w:hAnsi="黑体" w:eastAsia="黑体" w:cs="黑体"/>
                <w:b/>
                <w:bCs/>
                <w:color w:val="auto"/>
                <w:kern w:val="2"/>
                <w:sz w:val="24"/>
                <w:szCs w:val="24"/>
                <w:highlight w:val="none"/>
                <w:lang w:val="en-US" w:eastAsia="zh-CN" w:bidi="ar-SA"/>
              </w:rPr>
              <w:t>10分</w:t>
            </w:r>
          </w:p>
        </w:tc>
        <w:tc>
          <w:tcPr>
            <w:tcW w:w="6975" w:type="dxa"/>
            <w:noWrap w:val="0"/>
            <w:vAlign w:val="center"/>
          </w:tcPr>
          <w:p w14:paraId="5392D1C8">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具有完整、规范的应急方案，突发情况处置方案，包括停水、停电、停气应急预案，消防安全突发事件应急预案；</w:t>
            </w:r>
          </w:p>
          <w:p w14:paraId="77213584">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方案完善、</w:t>
            </w:r>
            <w:r>
              <w:rPr>
                <w:rFonts w:hint="eastAsia" w:ascii="黑体" w:hAnsi="黑体" w:eastAsia="黑体" w:cs="黑体"/>
                <w:color w:val="auto"/>
                <w:sz w:val="24"/>
                <w:szCs w:val="24"/>
                <w:highlight w:val="none"/>
                <w:lang w:val="en-US" w:eastAsia="zh-CN"/>
              </w:rPr>
              <w:t>全面、合理、</w:t>
            </w:r>
            <w:r>
              <w:rPr>
                <w:rFonts w:hint="eastAsia" w:ascii="黑体" w:hAnsi="黑体" w:eastAsia="黑体" w:cs="黑体"/>
                <w:color w:val="auto"/>
                <w:sz w:val="24"/>
                <w:szCs w:val="24"/>
                <w:highlight w:val="none"/>
                <w:lang w:eastAsia="zh-CN"/>
              </w:rPr>
              <w:t xml:space="preserve">切实可行 </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10</w:t>
            </w:r>
            <w:r>
              <w:rPr>
                <w:rFonts w:hint="eastAsia" w:ascii="黑体" w:hAnsi="黑体" w:eastAsia="黑体" w:cs="黑体"/>
                <w:color w:val="auto"/>
                <w:sz w:val="24"/>
                <w:szCs w:val="24"/>
                <w:highlight w:val="none"/>
                <w:lang w:eastAsia="zh-CN"/>
              </w:rPr>
              <w:t>分；</w:t>
            </w:r>
          </w:p>
          <w:p w14:paraId="39A20B01">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eastAsia="zh-CN"/>
              </w:rPr>
              <w:t>方案</w:t>
            </w:r>
            <w:r>
              <w:rPr>
                <w:rFonts w:hint="eastAsia" w:ascii="黑体" w:hAnsi="黑体" w:eastAsia="黑体" w:cs="黑体"/>
                <w:color w:val="auto"/>
                <w:sz w:val="24"/>
                <w:szCs w:val="24"/>
                <w:highlight w:val="none"/>
                <w:lang w:val="en-US" w:eastAsia="zh-CN"/>
              </w:rPr>
              <w:t>较为</w:t>
            </w:r>
            <w:r>
              <w:rPr>
                <w:rFonts w:hint="eastAsia" w:ascii="黑体" w:hAnsi="黑体" w:eastAsia="黑体" w:cs="黑体"/>
                <w:color w:val="auto"/>
                <w:sz w:val="24"/>
                <w:szCs w:val="24"/>
                <w:highlight w:val="none"/>
                <w:lang w:eastAsia="zh-CN"/>
              </w:rPr>
              <w:t>完善、</w:t>
            </w:r>
            <w:r>
              <w:rPr>
                <w:rFonts w:hint="eastAsia" w:ascii="黑体" w:hAnsi="黑体" w:eastAsia="黑体" w:cs="黑体"/>
                <w:color w:val="auto"/>
                <w:sz w:val="24"/>
                <w:szCs w:val="24"/>
                <w:highlight w:val="none"/>
                <w:lang w:val="en-US" w:eastAsia="zh-CN"/>
              </w:rPr>
              <w:t>较为合理3-6分；</w:t>
            </w:r>
          </w:p>
          <w:p w14:paraId="5D725C47">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方案不完善、不合理得1-3分。</w:t>
            </w:r>
          </w:p>
        </w:tc>
      </w:tr>
      <w:tr w14:paraId="47E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exact"/>
          <w:jc w:val="center"/>
        </w:trPr>
        <w:tc>
          <w:tcPr>
            <w:tcW w:w="668" w:type="dxa"/>
            <w:vMerge w:val="continue"/>
            <w:noWrap w:val="0"/>
            <w:vAlign w:val="center"/>
          </w:tcPr>
          <w:p w14:paraId="72381CE1">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rPr>
            </w:pPr>
          </w:p>
        </w:tc>
        <w:tc>
          <w:tcPr>
            <w:tcW w:w="969" w:type="dxa"/>
            <w:vMerge w:val="continue"/>
            <w:noWrap w:val="0"/>
            <w:vAlign w:val="center"/>
          </w:tcPr>
          <w:p w14:paraId="47587939">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eastAsia="zh-CN"/>
              </w:rPr>
            </w:pPr>
          </w:p>
        </w:tc>
        <w:tc>
          <w:tcPr>
            <w:tcW w:w="1020" w:type="dxa"/>
            <w:noWrap w:val="0"/>
            <w:vAlign w:val="top"/>
          </w:tcPr>
          <w:p w14:paraId="240970B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kern w:val="2"/>
                <w:sz w:val="24"/>
                <w:szCs w:val="24"/>
                <w:highlight w:val="none"/>
                <w:lang w:val="en-US" w:eastAsia="zh-CN" w:bidi="ar-SA"/>
              </w:rPr>
            </w:pPr>
          </w:p>
          <w:p w14:paraId="624273C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kern w:val="2"/>
                <w:sz w:val="24"/>
                <w:szCs w:val="24"/>
                <w:highlight w:val="none"/>
                <w:lang w:val="en-US" w:eastAsia="zh-CN" w:bidi="ar-SA"/>
              </w:rPr>
            </w:pPr>
            <w:r>
              <w:rPr>
                <w:rFonts w:hint="eastAsia" w:ascii="黑体" w:hAnsi="黑体" w:eastAsia="黑体" w:cs="黑体"/>
                <w:b/>
                <w:bCs/>
                <w:color w:val="auto"/>
                <w:sz w:val="24"/>
                <w:szCs w:val="24"/>
                <w:highlight w:val="none"/>
                <w:lang w:eastAsia="zh-CN"/>
              </w:rPr>
              <w:t>环境卫生管理方案及措施</w:t>
            </w:r>
          </w:p>
          <w:p w14:paraId="70621C2B">
            <w:pPr>
              <w:keepNext w:val="0"/>
              <w:keepLines w:val="0"/>
              <w:pageBreakBefore w:val="0"/>
              <w:widowControl w:val="0"/>
              <w:kinsoku/>
              <w:wordWrap/>
              <w:overflowPunct/>
              <w:topLinePunct w:val="0"/>
              <w:autoSpaceDE/>
              <w:autoSpaceDN/>
              <w:bidi w:val="0"/>
              <w:adjustRightInd/>
              <w:snapToGrid w:val="0"/>
              <w:spacing w:line="20" w:lineRule="atLeast"/>
              <w:ind w:firstLine="241" w:firstLineChars="100"/>
              <w:jc w:val="both"/>
              <w:textAlignment w:val="auto"/>
              <w:rPr>
                <w:rFonts w:hint="eastAsia" w:ascii="黑体" w:hAnsi="黑体" w:eastAsia="黑体" w:cs="黑体"/>
                <w:b/>
                <w:bCs/>
                <w:color w:val="auto"/>
                <w:kern w:val="2"/>
                <w:sz w:val="24"/>
                <w:szCs w:val="24"/>
                <w:highlight w:val="none"/>
                <w:lang w:val="en-US" w:eastAsia="zh-CN" w:bidi="ar-SA"/>
              </w:rPr>
            </w:pPr>
            <w:r>
              <w:rPr>
                <w:rFonts w:hint="eastAsia" w:ascii="黑体" w:hAnsi="黑体" w:eastAsia="黑体" w:cs="黑体"/>
                <w:b/>
                <w:bCs/>
                <w:color w:val="auto"/>
                <w:kern w:val="2"/>
                <w:sz w:val="24"/>
                <w:szCs w:val="24"/>
                <w:highlight w:val="none"/>
                <w:lang w:val="en-US" w:eastAsia="zh-CN" w:bidi="ar-SA"/>
              </w:rPr>
              <w:t>10分</w:t>
            </w:r>
          </w:p>
        </w:tc>
        <w:tc>
          <w:tcPr>
            <w:tcW w:w="6975" w:type="dxa"/>
            <w:noWrap w:val="0"/>
            <w:vAlign w:val="center"/>
          </w:tcPr>
          <w:p w14:paraId="05AC2650">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针对本项目提供详细的餐厅的日常卫生清理、保洁及虫、鼠、蟑螂等的消杀方案。</w:t>
            </w:r>
          </w:p>
          <w:p w14:paraId="2C3CC5D6">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方案全面合理、完整详尽、符合本项目实际情况的计7-10分；</w:t>
            </w:r>
          </w:p>
          <w:p w14:paraId="375A11BD">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实施方案基本完善、合理可行的计 4-6 分；</w:t>
            </w:r>
          </w:p>
          <w:p w14:paraId="097B2EF5">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实施方案存在部分缺陷和不足计 0-3 分。</w:t>
            </w:r>
          </w:p>
        </w:tc>
      </w:tr>
      <w:tr w14:paraId="5258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exact"/>
          <w:jc w:val="center"/>
        </w:trPr>
        <w:tc>
          <w:tcPr>
            <w:tcW w:w="668" w:type="dxa"/>
            <w:vMerge w:val="continue"/>
            <w:noWrap w:val="0"/>
            <w:vAlign w:val="center"/>
          </w:tcPr>
          <w:p w14:paraId="70AD2160">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rPr>
            </w:pPr>
          </w:p>
        </w:tc>
        <w:tc>
          <w:tcPr>
            <w:tcW w:w="969" w:type="dxa"/>
            <w:vMerge w:val="continue"/>
            <w:noWrap w:val="0"/>
            <w:vAlign w:val="center"/>
          </w:tcPr>
          <w:p w14:paraId="637F27DF">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bCs/>
                <w:color w:val="auto"/>
                <w:sz w:val="24"/>
                <w:szCs w:val="24"/>
                <w:highlight w:val="none"/>
                <w:lang w:eastAsia="zh-CN"/>
              </w:rPr>
            </w:pPr>
          </w:p>
        </w:tc>
        <w:tc>
          <w:tcPr>
            <w:tcW w:w="1020" w:type="dxa"/>
            <w:noWrap w:val="0"/>
            <w:vAlign w:val="top"/>
          </w:tcPr>
          <w:p w14:paraId="1ED44F2F">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val="0"/>
                <w:color w:val="auto"/>
                <w:kern w:val="2"/>
                <w:sz w:val="22"/>
                <w:szCs w:val="22"/>
                <w:highlight w:val="none"/>
                <w:lang w:val="en-US" w:eastAsia="zh-CN" w:bidi="ar-SA"/>
              </w:rPr>
            </w:pPr>
            <w:r>
              <w:rPr>
                <w:rFonts w:hint="eastAsia" w:ascii="黑体" w:hAnsi="黑体" w:eastAsia="黑体" w:cs="黑体"/>
                <w:b/>
                <w:bCs w:val="0"/>
                <w:color w:val="auto"/>
                <w:kern w:val="2"/>
                <w:sz w:val="22"/>
                <w:szCs w:val="22"/>
                <w:highlight w:val="none"/>
                <w:lang w:val="en-US" w:eastAsia="zh-CN" w:bidi="ar-SA"/>
              </w:rPr>
              <w:t>食品安全事故及食物中毒事件预防及处置方案</w:t>
            </w:r>
          </w:p>
          <w:p w14:paraId="2BD87DAF">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default" w:ascii="黑体" w:hAnsi="黑体" w:eastAsia="黑体" w:cs="黑体"/>
                <w:b/>
                <w:color w:val="auto"/>
                <w:kern w:val="2"/>
                <w:sz w:val="24"/>
                <w:szCs w:val="24"/>
                <w:highlight w:val="none"/>
                <w:lang w:val="en-US" w:eastAsia="zh-CN" w:bidi="ar-SA"/>
              </w:rPr>
            </w:pPr>
            <w:r>
              <w:rPr>
                <w:rFonts w:hint="eastAsia" w:ascii="黑体" w:hAnsi="黑体" w:eastAsia="黑体" w:cs="黑体"/>
                <w:b/>
                <w:bCs w:val="0"/>
                <w:color w:val="auto"/>
                <w:kern w:val="2"/>
                <w:sz w:val="22"/>
                <w:szCs w:val="22"/>
                <w:highlight w:val="none"/>
                <w:lang w:val="en-US" w:eastAsia="zh-CN" w:bidi="ar-SA"/>
              </w:rPr>
              <w:t>10分</w:t>
            </w:r>
          </w:p>
        </w:tc>
        <w:tc>
          <w:tcPr>
            <w:tcW w:w="6975" w:type="dxa"/>
            <w:noWrap w:val="0"/>
            <w:vAlign w:val="center"/>
          </w:tcPr>
          <w:p w14:paraId="5F667FEF">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食品安全事故及食物中毒事件预防及处置方案全面、内容合理得7-10分；</w:t>
            </w:r>
          </w:p>
          <w:p w14:paraId="01488E81">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食品安全事故及食物中毒事件预防及处置方案较全面、内容较合理的得3-7分；</w:t>
            </w:r>
          </w:p>
          <w:p w14:paraId="7506500E">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食品安全事故及食物中毒事件预防及处置方案基本全面、内容基本合理的得1-3分。</w:t>
            </w:r>
          </w:p>
        </w:tc>
      </w:tr>
      <w:tr w14:paraId="3D7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668" w:type="dxa"/>
            <w:vMerge w:val="restart"/>
            <w:noWrap w:val="0"/>
            <w:vAlign w:val="center"/>
          </w:tcPr>
          <w:p w14:paraId="00468AA0">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w:t>
            </w:r>
          </w:p>
        </w:tc>
        <w:tc>
          <w:tcPr>
            <w:tcW w:w="969" w:type="dxa"/>
            <w:vMerge w:val="restart"/>
            <w:noWrap w:val="0"/>
            <w:vAlign w:val="center"/>
          </w:tcPr>
          <w:p w14:paraId="299FEEE7">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履约</w:t>
            </w:r>
          </w:p>
          <w:p w14:paraId="4563B683">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承诺</w:t>
            </w:r>
          </w:p>
          <w:p w14:paraId="1DA861C3">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20分</w:t>
            </w:r>
          </w:p>
        </w:tc>
        <w:tc>
          <w:tcPr>
            <w:tcW w:w="1020" w:type="dxa"/>
            <w:noWrap w:val="0"/>
            <w:vAlign w:val="top"/>
          </w:tcPr>
          <w:p w14:paraId="1691612C">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color w:val="auto"/>
                <w:sz w:val="24"/>
                <w:szCs w:val="24"/>
                <w:highlight w:val="none"/>
                <w:lang w:val="en-US" w:eastAsia="zh-CN"/>
              </w:rPr>
            </w:pPr>
          </w:p>
          <w:p w14:paraId="7BEBD2AC">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承诺 方案</w:t>
            </w:r>
          </w:p>
          <w:p w14:paraId="1B86FA90">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kern w:val="2"/>
                <w:sz w:val="24"/>
                <w:szCs w:val="24"/>
                <w:highlight w:val="none"/>
                <w:lang w:val="en-US" w:eastAsia="zh-CN" w:bidi="ar-SA"/>
              </w:rPr>
            </w:pPr>
            <w:r>
              <w:rPr>
                <w:rFonts w:hint="eastAsia" w:ascii="黑体" w:hAnsi="黑体" w:eastAsia="黑体" w:cs="黑体"/>
                <w:b/>
                <w:color w:val="auto"/>
                <w:sz w:val="24"/>
                <w:szCs w:val="24"/>
                <w:highlight w:val="none"/>
                <w:lang w:val="en-US" w:eastAsia="zh-CN"/>
              </w:rPr>
              <w:t>5分</w:t>
            </w:r>
          </w:p>
        </w:tc>
        <w:tc>
          <w:tcPr>
            <w:tcW w:w="6975" w:type="dxa"/>
            <w:noWrap w:val="0"/>
            <w:vAlign w:val="center"/>
          </w:tcPr>
          <w:p w14:paraId="1E73FAB5">
            <w:pPr>
              <w:keepNext w:val="0"/>
              <w:keepLines w:val="0"/>
              <w:pageBreakBefore w:val="0"/>
              <w:widowControl w:val="0"/>
              <w:numPr>
                <w:ilvl w:val="0"/>
                <w:numId w:val="0"/>
              </w:numPr>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提供食品安全承诺、消防安全承诺、依法用工承诺，根据响应情况进行综合评比；</w:t>
            </w:r>
          </w:p>
          <w:p w14:paraId="44A45E86">
            <w:pPr>
              <w:keepNext w:val="0"/>
              <w:keepLines w:val="0"/>
              <w:pageBreakBefore w:val="0"/>
              <w:widowControl w:val="0"/>
              <w:numPr>
                <w:ilvl w:val="0"/>
                <w:numId w:val="0"/>
              </w:numPr>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内容完整，描述清晰，且能针对性满足项目需求的，计3-5 分；内容笼统，描述简单，可操作性一般的计0-2分；</w:t>
            </w:r>
          </w:p>
        </w:tc>
      </w:tr>
      <w:tr w14:paraId="3397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668" w:type="dxa"/>
            <w:vMerge w:val="continue"/>
            <w:noWrap w:val="0"/>
            <w:vAlign w:val="center"/>
          </w:tcPr>
          <w:p w14:paraId="03C55DCF">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lang w:val="en-US" w:eastAsia="zh-CN"/>
              </w:rPr>
            </w:pPr>
          </w:p>
        </w:tc>
        <w:tc>
          <w:tcPr>
            <w:tcW w:w="969" w:type="dxa"/>
            <w:vMerge w:val="continue"/>
            <w:noWrap w:val="0"/>
            <w:vAlign w:val="center"/>
          </w:tcPr>
          <w:p w14:paraId="716A7F23">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rPr>
            </w:pPr>
          </w:p>
        </w:tc>
        <w:tc>
          <w:tcPr>
            <w:tcW w:w="1020" w:type="dxa"/>
            <w:noWrap w:val="0"/>
            <w:vAlign w:val="top"/>
          </w:tcPr>
          <w:p w14:paraId="0E531382">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p>
          <w:p w14:paraId="4735AF1F">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规范管理方案5分</w:t>
            </w:r>
          </w:p>
        </w:tc>
        <w:tc>
          <w:tcPr>
            <w:tcW w:w="6975" w:type="dxa"/>
            <w:noWrap w:val="0"/>
            <w:vAlign w:val="center"/>
          </w:tcPr>
          <w:p w14:paraId="2A9B598E">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服务作业服装、工具统一，</w:t>
            </w:r>
            <w:r>
              <w:rPr>
                <w:rFonts w:hint="eastAsia" w:ascii="黑体" w:hAnsi="黑体" w:eastAsia="黑体" w:cs="黑体"/>
                <w:color w:val="auto"/>
                <w:sz w:val="24"/>
                <w:szCs w:val="24"/>
                <w:highlight w:val="none"/>
                <w:lang w:val="en-US" w:eastAsia="zh-CN"/>
              </w:rPr>
              <w:t>规范管理，</w:t>
            </w:r>
            <w:r>
              <w:rPr>
                <w:rFonts w:hint="eastAsia" w:ascii="黑体" w:hAnsi="黑体" w:eastAsia="黑体" w:cs="黑体"/>
                <w:color w:val="auto"/>
                <w:sz w:val="24"/>
                <w:szCs w:val="24"/>
                <w:highlight w:val="none"/>
                <w:lang w:eastAsia="zh-CN"/>
              </w:rPr>
              <w:t>根据响应情况进行综合评比；</w:t>
            </w:r>
          </w:p>
          <w:p w14:paraId="79ECF31D">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内容完整，描述清晰，且能针对性满足项目需求的，计3-5分；内容笼统，描述简单，可操作性一般的计0-2分。</w:t>
            </w:r>
          </w:p>
        </w:tc>
      </w:tr>
      <w:tr w14:paraId="0F92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exact"/>
          <w:jc w:val="center"/>
        </w:trPr>
        <w:tc>
          <w:tcPr>
            <w:tcW w:w="668" w:type="dxa"/>
            <w:vMerge w:val="continue"/>
            <w:noWrap w:val="0"/>
            <w:vAlign w:val="center"/>
          </w:tcPr>
          <w:p w14:paraId="6FF28B1F">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color w:val="auto"/>
                <w:sz w:val="24"/>
                <w:szCs w:val="24"/>
                <w:highlight w:val="none"/>
                <w:lang w:val="en-US" w:eastAsia="zh-CN"/>
              </w:rPr>
            </w:pPr>
          </w:p>
        </w:tc>
        <w:tc>
          <w:tcPr>
            <w:tcW w:w="969" w:type="dxa"/>
            <w:vMerge w:val="continue"/>
            <w:noWrap w:val="0"/>
            <w:vAlign w:val="center"/>
          </w:tcPr>
          <w:p w14:paraId="4412DC34">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rPr>
            </w:pPr>
          </w:p>
        </w:tc>
        <w:tc>
          <w:tcPr>
            <w:tcW w:w="1020" w:type="dxa"/>
            <w:noWrap w:val="0"/>
            <w:vAlign w:val="top"/>
          </w:tcPr>
          <w:p w14:paraId="73B04564">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原材料管理、操作规程、食品保存控制方案</w:t>
            </w:r>
          </w:p>
          <w:p w14:paraId="46D9A2A7">
            <w:pPr>
              <w:keepNext w:val="0"/>
              <w:keepLines w:val="0"/>
              <w:pageBreakBefore w:val="0"/>
              <w:widowControl w:val="0"/>
              <w:kinsoku/>
              <w:wordWrap/>
              <w:overflowPunct/>
              <w:topLinePunct w:val="0"/>
              <w:autoSpaceDE/>
              <w:autoSpaceDN/>
              <w:bidi w:val="0"/>
              <w:adjustRightInd/>
              <w:snapToGrid w:val="0"/>
              <w:spacing w:line="20" w:lineRule="atLeast"/>
              <w:jc w:val="both"/>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10分</w:t>
            </w:r>
          </w:p>
        </w:tc>
        <w:tc>
          <w:tcPr>
            <w:tcW w:w="6975" w:type="dxa"/>
            <w:noWrap w:val="0"/>
            <w:vAlign w:val="center"/>
          </w:tcPr>
          <w:p w14:paraId="3DD63219">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原材料管理、操作规程、食品保存控制方案完善、合理、全面，完全满足食堂服务需求的得</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lang w:eastAsia="zh-CN"/>
              </w:rPr>
              <w:t>-1</w:t>
            </w:r>
            <w:r>
              <w:rPr>
                <w:rFonts w:hint="eastAsia" w:ascii="黑体" w:hAnsi="黑体" w:eastAsia="黑体" w:cs="黑体"/>
                <w:color w:val="auto"/>
                <w:sz w:val="24"/>
                <w:szCs w:val="24"/>
                <w:highlight w:val="none"/>
                <w:lang w:val="en-US" w:eastAsia="zh-CN"/>
              </w:rPr>
              <w:t>0</w:t>
            </w:r>
            <w:r>
              <w:rPr>
                <w:rFonts w:hint="eastAsia" w:ascii="黑体" w:hAnsi="黑体" w:eastAsia="黑体" w:cs="黑体"/>
                <w:color w:val="auto"/>
                <w:sz w:val="24"/>
                <w:szCs w:val="24"/>
                <w:highlight w:val="none"/>
                <w:lang w:eastAsia="zh-CN"/>
              </w:rPr>
              <w:t>分；</w:t>
            </w:r>
          </w:p>
          <w:p w14:paraId="72F3749E">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原材料管理、操作规程、食品保存控制方案合理、可行、基本满足食堂服务需求的得</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lang w:eastAsia="zh-CN"/>
              </w:rPr>
              <w:t>分；</w:t>
            </w:r>
          </w:p>
          <w:p w14:paraId="15891E38">
            <w:pPr>
              <w:keepNext w:val="0"/>
              <w:keepLines w:val="0"/>
              <w:pageBreakBefore w:val="0"/>
              <w:widowControl w:val="0"/>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原材料管理、操作规程、食品保存控制方案简单，未能满足食堂服务需求的得1-</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lang w:eastAsia="zh-CN"/>
              </w:rPr>
              <w:t>分。</w:t>
            </w:r>
          </w:p>
        </w:tc>
      </w:tr>
      <w:tr w14:paraId="500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668" w:type="dxa"/>
            <w:noWrap w:val="0"/>
            <w:vAlign w:val="center"/>
          </w:tcPr>
          <w:p w14:paraId="725CB5E7">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5</w:t>
            </w:r>
          </w:p>
        </w:tc>
        <w:tc>
          <w:tcPr>
            <w:tcW w:w="969" w:type="dxa"/>
            <w:noWrap w:val="0"/>
            <w:vAlign w:val="center"/>
          </w:tcPr>
          <w:p w14:paraId="7E1FF7BE">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人员</w:t>
            </w:r>
          </w:p>
          <w:p w14:paraId="349A320B">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配置</w:t>
            </w:r>
          </w:p>
          <w:p w14:paraId="7E233DF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8分</w:t>
            </w:r>
          </w:p>
        </w:tc>
        <w:tc>
          <w:tcPr>
            <w:tcW w:w="1020" w:type="dxa"/>
            <w:noWrap w:val="0"/>
            <w:vAlign w:val="center"/>
          </w:tcPr>
          <w:p w14:paraId="591D862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8分</w:t>
            </w:r>
          </w:p>
        </w:tc>
        <w:tc>
          <w:tcPr>
            <w:tcW w:w="6975" w:type="dxa"/>
            <w:noWrap w:val="0"/>
            <w:vAlign w:val="center"/>
          </w:tcPr>
          <w:p w14:paraId="48EDC60F">
            <w:pPr>
              <w:keepNext w:val="0"/>
              <w:keepLines w:val="0"/>
              <w:pageBreakBefore w:val="0"/>
              <w:widowControl w:val="0"/>
              <w:numPr>
                <w:ilvl w:val="0"/>
                <w:numId w:val="7"/>
              </w:numPr>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针对本项目人员配置科学合理，拟派的主要管理人员及团队的业绩、专业水平、服务水平等情况进行综合评分，根据响应情况计0-</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分。</w:t>
            </w:r>
          </w:p>
          <w:p w14:paraId="28C58333">
            <w:pPr>
              <w:keepNext w:val="0"/>
              <w:keepLines w:val="0"/>
              <w:pageBreakBefore w:val="0"/>
              <w:widowControl w:val="0"/>
              <w:numPr>
                <w:ilvl w:val="0"/>
                <w:numId w:val="7"/>
              </w:numPr>
              <w:kinsoku/>
              <w:wordWrap/>
              <w:overflowPunct/>
              <w:topLinePunct w:val="0"/>
              <w:autoSpaceDE/>
              <w:autoSpaceDN/>
              <w:bidi w:val="0"/>
              <w:adjustRightInd/>
              <w:snapToGrid w:val="0"/>
              <w:spacing w:line="20" w:lineRule="atLeast"/>
              <w:ind w:left="0" w:leftChars="0" w:firstLine="0" w:firstLineChars="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服务人员持健康证上岗，每人得</w:t>
            </w:r>
            <w:r>
              <w:rPr>
                <w:rFonts w:hint="eastAsia" w:ascii="黑体" w:hAnsi="黑体" w:eastAsia="黑体" w:cs="黑体"/>
                <w:color w:val="auto"/>
                <w:sz w:val="24"/>
                <w:szCs w:val="24"/>
                <w:highlight w:val="none"/>
                <w:lang w:val="en-US" w:eastAsia="zh-CN"/>
              </w:rPr>
              <w:t>0.5</w:t>
            </w:r>
            <w:r>
              <w:rPr>
                <w:rFonts w:hint="eastAsia" w:ascii="黑体" w:hAnsi="黑体" w:eastAsia="黑体" w:cs="黑体"/>
                <w:color w:val="auto"/>
                <w:sz w:val="24"/>
                <w:szCs w:val="24"/>
                <w:highlight w:val="none"/>
              </w:rPr>
              <w:t xml:space="preserve"> 分（最高得</w:t>
            </w:r>
            <w:r>
              <w:rPr>
                <w:rFonts w:hint="eastAsia" w:ascii="黑体" w:hAnsi="黑体" w:eastAsia="黑体" w:cs="黑体"/>
                <w:color w:val="auto"/>
                <w:sz w:val="24"/>
                <w:szCs w:val="24"/>
                <w:highlight w:val="none"/>
                <w:lang w:val="en-US" w:eastAsia="zh-CN"/>
              </w:rPr>
              <w:t>5</w:t>
            </w:r>
            <w:r>
              <w:rPr>
                <w:rFonts w:hint="eastAsia" w:ascii="黑体" w:hAnsi="黑体" w:eastAsia="黑体" w:cs="黑体"/>
                <w:color w:val="auto"/>
                <w:sz w:val="24"/>
                <w:szCs w:val="24"/>
                <w:highlight w:val="none"/>
              </w:rPr>
              <w:t>分），无证不得分。</w:t>
            </w:r>
          </w:p>
          <w:p w14:paraId="2AA712BB">
            <w:pPr>
              <w:keepNext w:val="0"/>
              <w:keepLines w:val="0"/>
              <w:pageBreakBefore w:val="0"/>
              <w:widowControl w:val="0"/>
              <w:numPr>
                <w:ilvl w:val="0"/>
                <w:numId w:val="0"/>
              </w:numPr>
              <w:kinsoku/>
              <w:wordWrap/>
              <w:overflowPunct/>
              <w:topLinePunct w:val="0"/>
              <w:autoSpaceDE/>
              <w:autoSpaceDN/>
              <w:bidi w:val="0"/>
              <w:adjustRightInd/>
              <w:snapToGrid w:val="0"/>
              <w:spacing w:line="20" w:lineRule="atLeast"/>
              <w:ind w:leftChars="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提供相关证明资料 </w:t>
            </w:r>
          </w:p>
        </w:tc>
      </w:tr>
      <w:tr w14:paraId="4B49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68" w:type="dxa"/>
            <w:noWrap w:val="0"/>
            <w:vAlign w:val="center"/>
          </w:tcPr>
          <w:p w14:paraId="6482376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6</w:t>
            </w:r>
          </w:p>
        </w:tc>
        <w:tc>
          <w:tcPr>
            <w:tcW w:w="969" w:type="dxa"/>
            <w:noWrap w:val="0"/>
            <w:vAlign w:val="center"/>
          </w:tcPr>
          <w:p w14:paraId="79FA47A6">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业绩</w:t>
            </w:r>
          </w:p>
          <w:p w14:paraId="3381BFBE">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default"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6分</w:t>
            </w:r>
          </w:p>
        </w:tc>
        <w:tc>
          <w:tcPr>
            <w:tcW w:w="1020" w:type="dxa"/>
            <w:noWrap w:val="0"/>
            <w:vAlign w:val="center"/>
          </w:tcPr>
          <w:p w14:paraId="3BEFB749">
            <w:pPr>
              <w:keepNext w:val="0"/>
              <w:keepLines w:val="0"/>
              <w:pageBreakBefore w:val="0"/>
              <w:widowControl w:val="0"/>
              <w:kinsoku/>
              <w:wordWrap/>
              <w:overflowPunct/>
              <w:topLinePunct w:val="0"/>
              <w:autoSpaceDE/>
              <w:autoSpaceDN/>
              <w:bidi w:val="0"/>
              <w:adjustRightInd/>
              <w:snapToGrid w:val="0"/>
              <w:spacing w:line="20" w:lineRule="atLeast"/>
              <w:jc w:val="center"/>
              <w:textAlignment w:val="auto"/>
              <w:rPr>
                <w:rFonts w:hint="eastAsia" w:ascii="黑体" w:hAnsi="黑体" w:eastAsia="黑体" w:cs="黑体"/>
                <w:b/>
                <w:color w:val="auto"/>
                <w:sz w:val="24"/>
                <w:szCs w:val="24"/>
                <w:highlight w:val="none"/>
                <w:lang w:val="en-US" w:eastAsia="zh-CN"/>
              </w:rPr>
            </w:pPr>
            <w:r>
              <w:rPr>
                <w:rFonts w:hint="eastAsia" w:ascii="黑体" w:hAnsi="黑体" w:eastAsia="黑体" w:cs="黑体"/>
                <w:b/>
                <w:color w:val="auto"/>
                <w:sz w:val="24"/>
                <w:szCs w:val="24"/>
                <w:highlight w:val="none"/>
                <w:lang w:val="en-US" w:eastAsia="zh-CN"/>
              </w:rPr>
              <w:t>6分</w:t>
            </w:r>
          </w:p>
        </w:tc>
        <w:tc>
          <w:tcPr>
            <w:tcW w:w="6975" w:type="dxa"/>
            <w:noWrap w:val="0"/>
            <w:vAlign w:val="center"/>
          </w:tcPr>
          <w:p w14:paraId="0391FC49">
            <w:pPr>
              <w:keepNext w:val="0"/>
              <w:keepLines w:val="0"/>
              <w:pageBreakBefore w:val="0"/>
              <w:widowControl w:val="0"/>
              <w:numPr>
                <w:ilvl w:val="0"/>
                <w:numId w:val="0"/>
              </w:numPr>
              <w:kinsoku/>
              <w:wordWrap/>
              <w:overflowPunct/>
              <w:topLinePunct w:val="0"/>
              <w:autoSpaceDE/>
              <w:autoSpaceDN/>
              <w:bidi w:val="0"/>
              <w:adjustRightInd/>
              <w:snapToGrid w:val="0"/>
              <w:spacing w:line="20" w:lineRule="atLeas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2021 年0</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月至今类似业绩，提供业绩合同或中标通知书复印件并加盖供应商单位公章，每提供1 项得3 分，满分</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 xml:space="preserve"> 分。提供合同或中标通知书的清晰复印件附于投标文件并加盖供应商的公章，否则不得分。</w:t>
            </w:r>
          </w:p>
        </w:tc>
      </w:tr>
    </w:tbl>
    <w:p w14:paraId="3127EADA">
      <w:pPr>
        <w:autoSpaceDE w:val="0"/>
        <w:autoSpaceDN w:val="0"/>
        <w:snapToGrid w:val="0"/>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lang w:val="zh-CN"/>
        </w:rPr>
        <w:t>23.</w:t>
      </w:r>
      <w:r>
        <w:rPr>
          <w:rFonts w:hint="eastAsia" w:ascii="黑体" w:hAnsi="黑体" w:eastAsia="黑体" w:cs="黑体"/>
          <w:color w:val="auto"/>
          <w:sz w:val="24"/>
          <w:highlight w:val="none"/>
        </w:rPr>
        <w:t>3</w:t>
      </w:r>
      <w:r>
        <w:rPr>
          <w:rFonts w:hint="eastAsia" w:ascii="黑体" w:hAnsi="黑体" w:eastAsia="黑体" w:cs="黑体"/>
          <w:color w:val="auto"/>
          <w:sz w:val="24"/>
          <w:highlight w:val="none"/>
          <w:lang w:val="zh-CN"/>
        </w:rPr>
        <w:t xml:space="preserve"> 本项目落实政府采购政策</w:t>
      </w:r>
    </w:p>
    <w:p w14:paraId="0F4B19ED">
      <w:pPr>
        <w:autoSpaceDE w:val="0"/>
        <w:autoSpaceDN w:val="0"/>
        <w:snapToGrid w:val="0"/>
        <w:spacing w:line="440" w:lineRule="exact"/>
        <w:ind w:firstLine="482" w:firstLineChars="200"/>
        <w:rPr>
          <w:rFonts w:hint="eastAsia" w:ascii="黑体" w:hAnsi="黑体" w:eastAsia="黑体" w:cs="黑体"/>
          <w:b/>
          <w:color w:val="auto"/>
          <w:sz w:val="24"/>
          <w:highlight w:val="none"/>
          <w:lang w:val="zh-CN"/>
        </w:rPr>
      </w:pPr>
      <w:r>
        <w:rPr>
          <w:rFonts w:hint="eastAsia" w:ascii="黑体" w:hAnsi="黑体" w:eastAsia="黑体" w:cs="黑体"/>
          <w:b/>
          <w:color w:val="auto"/>
          <w:sz w:val="24"/>
          <w:highlight w:val="none"/>
          <w:lang w:val="zh-CN"/>
        </w:rPr>
        <w:t>23.</w:t>
      </w:r>
      <w:r>
        <w:rPr>
          <w:rFonts w:hint="eastAsia" w:ascii="黑体" w:hAnsi="黑体" w:eastAsia="黑体" w:cs="黑体"/>
          <w:b/>
          <w:color w:val="auto"/>
          <w:sz w:val="24"/>
          <w:highlight w:val="none"/>
        </w:rPr>
        <w:t>3</w:t>
      </w:r>
      <w:r>
        <w:rPr>
          <w:rFonts w:hint="eastAsia" w:ascii="黑体" w:hAnsi="黑体" w:eastAsia="黑体" w:cs="黑体"/>
          <w:b/>
          <w:color w:val="auto"/>
          <w:sz w:val="24"/>
          <w:highlight w:val="none"/>
          <w:lang w:val="zh-CN"/>
        </w:rPr>
        <w:t>.1 投标企业政府采购政策</w:t>
      </w:r>
    </w:p>
    <w:p w14:paraId="1E0213D5">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（1）中小企业落实政府采购政策</w:t>
      </w:r>
    </w:p>
    <w:p w14:paraId="69008145">
      <w:pPr>
        <w:autoSpaceDE w:val="0"/>
        <w:autoSpaceDN w:val="0"/>
        <w:snapToGrid w:val="0"/>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①中小企业应符合工信部联企业[2011]300号文件规定，采购活动执行《政府采购促进中小企业发展管理办法》（财库〔2020〕46号）的规定。提供本企业制造的货物、承担的工程或者服务，或者提供其他中小企业制造的货物。（本项所称货物不包括使用大型企业注册商标的货物）。</w:t>
      </w:r>
    </w:p>
    <w:p w14:paraId="081DB0D3">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zh-CN"/>
        </w:rPr>
        <w:t>监狱和戒毒企业</w:t>
      </w:r>
      <w:r>
        <w:rPr>
          <w:rFonts w:hint="eastAsia" w:ascii="黑体" w:hAnsi="黑体" w:eastAsia="黑体" w:cs="黑体"/>
          <w:color w:val="auto"/>
          <w:sz w:val="24"/>
          <w:highlight w:val="none"/>
        </w:rPr>
        <w:t>落实政府采购政策</w:t>
      </w:r>
    </w:p>
    <w:p w14:paraId="02A6FD65">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lang w:val="zh-CN"/>
        </w:rPr>
        <w:t>监狱和戒毒企业应符合《财政部</w:t>
      </w:r>
      <w:r>
        <w:rPr>
          <w:rFonts w:hint="eastAsia" w:ascii="黑体" w:hAnsi="黑体" w:eastAsia="黑体" w:cs="黑体"/>
          <w:color w:val="auto"/>
          <w:sz w:val="24"/>
          <w:highlight w:val="none"/>
        </w:rPr>
        <w:t>、司法部关于政府采购支持监狱企业发展有关问题的通知》--财库[2014]68号</w:t>
      </w:r>
      <w:r>
        <w:rPr>
          <w:rFonts w:hint="eastAsia" w:ascii="黑体" w:hAnsi="黑体" w:eastAsia="黑体" w:cs="黑体"/>
          <w:color w:val="auto"/>
          <w:sz w:val="24"/>
          <w:highlight w:val="none"/>
          <w:lang w:val="zh-CN"/>
        </w:rPr>
        <w:t>，并提供由省级以上监狱管理局、戒毒管理局(含新疆生产建设兵团)出具的属于监狱企业的证明</w:t>
      </w:r>
      <w:r>
        <w:rPr>
          <w:rFonts w:hint="eastAsia" w:ascii="黑体" w:hAnsi="黑体" w:eastAsia="黑体" w:cs="黑体"/>
          <w:color w:val="auto"/>
          <w:sz w:val="24"/>
          <w:highlight w:val="none"/>
        </w:rPr>
        <w:t>。</w:t>
      </w:r>
    </w:p>
    <w:p w14:paraId="30070EA7">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（3）残疾人福利性单位落实政府采购政策</w:t>
      </w:r>
    </w:p>
    <w:p w14:paraId="1AA71671">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172FED68">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②投标人须按照财库〔2018〕141号规定，提供《残疾人福利性单位声明函》，并对声明的真实性负责。以此为依据享受政府采购政策。</w:t>
      </w:r>
    </w:p>
    <w:p w14:paraId="32AEFCEF">
      <w:pPr>
        <w:autoSpaceDE w:val="0"/>
        <w:autoSpaceDN w:val="0"/>
        <w:snapToGrid w:val="0"/>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③中标、成交投标人为残疾人福利性单位的，采购人或者其委托的采购代理机构应当随中标、成交结果同时公告其《残疾人福利性单位声明函》，接受社会监督。</w:t>
      </w:r>
    </w:p>
    <w:p w14:paraId="0B212688">
      <w:pPr>
        <w:autoSpaceDE w:val="0"/>
        <w:autoSpaceDN w:val="0"/>
        <w:snapToGrid w:val="0"/>
        <w:spacing w:line="440" w:lineRule="exact"/>
        <w:ind w:firstLine="480" w:firstLineChars="200"/>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（4）</w:t>
      </w:r>
      <w:r>
        <w:rPr>
          <w:rFonts w:hint="eastAsia" w:ascii="黑体" w:hAnsi="黑体" w:eastAsia="黑体" w:cs="黑体"/>
          <w:color w:val="auto"/>
          <w:sz w:val="24"/>
          <w:highlight w:val="none"/>
          <w:lang w:eastAsia="zh-CN"/>
        </w:rPr>
        <w:t>投标人</w:t>
      </w:r>
      <w:r>
        <w:rPr>
          <w:rFonts w:hint="eastAsia" w:ascii="黑体" w:hAnsi="黑体" w:eastAsia="黑体" w:cs="黑体"/>
          <w:bCs/>
          <w:color w:val="auto"/>
          <w:sz w:val="24"/>
          <w:highlight w:val="none"/>
        </w:rPr>
        <w:t>应如实提供以上证明文件，如存在虚假应标，将取消其投标资格。</w:t>
      </w:r>
    </w:p>
    <w:p w14:paraId="59CE4F2C">
      <w:pPr>
        <w:autoSpaceDE w:val="0"/>
        <w:autoSpaceDN w:val="0"/>
        <w:snapToGrid w:val="0"/>
        <w:spacing w:line="440" w:lineRule="exact"/>
        <w:ind w:firstLine="472" w:firstLineChars="196"/>
        <w:rPr>
          <w:rFonts w:hint="eastAsia" w:ascii="黑体" w:hAnsi="黑体" w:eastAsia="黑体" w:cs="黑体"/>
          <w:b/>
          <w:color w:val="auto"/>
          <w:sz w:val="24"/>
          <w:highlight w:val="none"/>
          <w:lang w:val="zh-CN"/>
        </w:rPr>
      </w:pPr>
      <w:r>
        <w:rPr>
          <w:rFonts w:hint="eastAsia" w:ascii="黑体" w:hAnsi="黑体" w:eastAsia="黑体" w:cs="黑体"/>
          <w:b/>
          <w:color w:val="auto"/>
          <w:sz w:val="24"/>
          <w:highlight w:val="none"/>
          <w:lang w:val="zh-CN"/>
        </w:rPr>
        <w:t>23.</w:t>
      </w:r>
      <w:r>
        <w:rPr>
          <w:rFonts w:hint="eastAsia" w:ascii="黑体" w:hAnsi="黑体" w:eastAsia="黑体" w:cs="黑体"/>
          <w:b/>
          <w:color w:val="auto"/>
          <w:sz w:val="24"/>
          <w:highlight w:val="none"/>
        </w:rPr>
        <w:t>3</w:t>
      </w:r>
      <w:r>
        <w:rPr>
          <w:rFonts w:hint="eastAsia" w:ascii="黑体" w:hAnsi="黑体" w:eastAsia="黑体" w:cs="黑体"/>
          <w:b/>
          <w:color w:val="auto"/>
          <w:sz w:val="24"/>
          <w:highlight w:val="none"/>
          <w:lang w:val="zh-CN"/>
        </w:rPr>
        <w:t>.2 投标产品政府采购政策</w:t>
      </w:r>
    </w:p>
    <w:p w14:paraId="6AFE253C">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（1）节能产品</w:t>
      </w:r>
      <w:r>
        <w:rPr>
          <w:rFonts w:hint="eastAsia" w:ascii="黑体" w:hAnsi="黑体" w:eastAsia="黑体" w:cs="黑体"/>
          <w:color w:val="auto"/>
          <w:sz w:val="24"/>
          <w:highlight w:val="none"/>
          <w:lang w:val="zh-CN"/>
        </w:rPr>
        <w:t>根据《国务院办公厅关于建立政府强制采购节能产品制度的通知》</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国办发[2007] 51号</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的规定</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以中国政府采购网</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http://www.ccgp.gov.cn/</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公布的最新一期节能产品政府采购清单为准。</w:t>
      </w:r>
    </w:p>
    <w:p w14:paraId="1C734615">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（2）环境标志产品</w:t>
      </w:r>
      <w:r>
        <w:rPr>
          <w:rFonts w:hint="eastAsia" w:ascii="黑体" w:hAnsi="黑体" w:eastAsia="黑体" w:cs="黑体"/>
          <w:color w:val="auto"/>
          <w:sz w:val="24"/>
          <w:highlight w:val="none"/>
          <w:lang w:val="zh-CN"/>
        </w:rPr>
        <w:t>根据《环境标志产品政府采购实施的意见》</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财库</w:t>
      </w:r>
      <w:r>
        <w:rPr>
          <w:rFonts w:hint="eastAsia" w:ascii="黑体" w:hAnsi="黑体" w:eastAsia="黑体" w:cs="黑体"/>
          <w:color w:val="auto"/>
          <w:sz w:val="24"/>
          <w:highlight w:val="none"/>
        </w:rPr>
        <w:t>[2006]90</w:t>
      </w:r>
      <w:r>
        <w:rPr>
          <w:rFonts w:hint="eastAsia" w:ascii="黑体" w:hAnsi="黑体" w:eastAsia="黑体" w:cs="黑体"/>
          <w:color w:val="auto"/>
          <w:sz w:val="24"/>
          <w:highlight w:val="none"/>
          <w:lang w:val="zh-CN"/>
        </w:rPr>
        <w:t>号</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的规定</w:t>
      </w:r>
      <w:r>
        <w:rPr>
          <w:rFonts w:hint="eastAsia" w:ascii="黑体" w:hAnsi="黑体" w:eastAsia="黑体" w:cs="黑体"/>
          <w:color w:val="auto"/>
          <w:sz w:val="24"/>
          <w:highlight w:val="none"/>
        </w:rPr>
        <w:t>，</w:t>
      </w:r>
      <w:r>
        <w:rPr>
          <w:rFonts w:hint="eastAsia" w:ascii="黑体" w:hAnsi="黑体" w:eastAsia="黑体" w:cs="黑体"/>
          <w:color w:val="auto"/>
          <w:sz w:val="24"/>
          <w:highlight w:val="none"/>
          <w:lang w:val="zh-CN"/>
        </w:rPr>
        <w:t>以中国政府采购网</w:t>
      </w:r>
      <w:r>
        <w:rPr>
          <w:rFonts w:hint="eastAsia" w:ascii="黑体" w:hAnsi="黑体" w:eastAsia="黑体" w:cs="黑体"/>
          <w:color w:val="auto"/>
          <w:sz w:val="24"/>
          <w:highlight w:val="none"/>
        </w:rPr>
        <w:t>（http://www.ccgp.gov.cn/）</w:t>
      </w:r>
      <w:r>
        <w:rPr>
          <w:rFonts w:hint="eastAsia" w:ascii="黑体" w:hAnsi="黑体" w:eastAsia="黑体" w:cs="黑体"/>
          <w:color w:val="auto"/>
          <w:sz w:val="24"/>
          <w:highlight w:val="none"/>
          <w:lang w:val="zh-CN"/>
        </w:rPr>
        <w:t>公布的最新一期环境标志产品政府采购清单为准。</w:t>
      </w:r>
    </w:p>
    <w:p w14:paraId="78D0F9E1">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（3）</w:t>
      </w:r>
      <w:r>
        <w:rPr>
          <w:rFonts w:hint="eastAsia" w:ascii="黑体" w:hAnsi="黑体" w:eastAsia="黑体" w:cs="黑体"/>
          <w:color w:val="auto"/>
          <w:sz w:val="24"/>
          <w:highlight w:val="none"/>
          <w:lang w:val="zh-CN"/>
        </w:rPr>
        <w:t>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CE6A55A">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（4）</w:t>
      </w:r>
      <w:r>
        <w:rPr>
          <w:rFonts w:hint="eastAsia" w:ascii="黑体" w:hAnsi="黑体" w:eastAsia="黑体" w:cs="黑体"/>
          <w:color w:val="auto"/>
          <w:sz w:val="24"/>
          <w:highlight w:val="none"/>
          <w:lang w:val="zh-CN"/>
        </w:rPr>
        <w:t>若节能、环保、环境标志清单内的产品仅是构成投标产品的部件、组件或零件的，则该投标产品不享受鼓励优惠政策。</w:t>
      </w:r>
    </w:p>
    <w:p w14:paraId="74D3C96C">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（5）</w:t>
      </w:r>
      <w:r>
        <w:rPr>
          <w:rFonts w:hint="eastAsia" w:ascii="黑体" w:hAnsi="黑体" w:eastAsia="黑体" w:cs="黑体"/>
          <w:color w:val="auto"/>
          <w:sz w:val="24"/>
          <w:highlight w:val="none"/>
          <w:lang w:val="zh-CN"/>
        </w:rPr>
        <w:t>同一标段的节能、环保、环境标志产品部分优惠只对属于清单内的非强制类产品进行优惠，强制类产品不给予优惠。</w:t>
      </w:r>
    </w:p>
    <w:p w14:paraId="6B3FABDE">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zh-CN"/>
        </w:rPr>
        <w:t>节能、环保、环境标志产品不重复优惠；同时列入国家级清单和省级清单的产品不重复优惠。</w:t>
      </w:r>
    </w:p>
    <w:p w14:paraId="6C1A114B">
      <w:pPr>
        <w:autoSpaceDE w:val="0"/>
        <w:autoSpaceDN w:val="0"/>
        <w:snapToGrid w:val="0"/>
        <w:spacing w:line="440" w:lineRule="exact"/>
        <w:ind w:firstLine="470" w:firstLineChars="196"/>
        <w:rPr>
          <w:rFonts w:hint="eastAsia" w:ascii="黑体" w:hAnsi="黑体" w:eastAsia="黑体" w:cs="黑体"/>
          <w:color w:val="auto"/>
          <w:sz w:val="24"/>
          <w:highlight w:val="none"/>
          <w:lang w:val="zh-CN"/>
        </w:rPr>
      </w:pPr>
      <w:r>
        <w:rPr>
          <w:rFonts w:hint="eastAsia" w:ascii="黑体" w:hAnsi="黑体" w:eastAsia="黑体" w:cs="黑体"/>
          <w:color w:val="auto"/>
          <w:sz w:val="24"/>
          <w:highlight w:val="none"/>
        </w:rPr>
        <w:t>（7）</w:t>
      </w:r>
      <w:r>
        <w:rPr>
          <w:rFonts w:hint="eastAsia" w:ascii="黑体" w:hAnsi="黑体" w:eastAsia="黑体" w:cs="黑体"/>
          <w:color w:val="auto"/>
          <w:sz w:val="24"/>
          <w:highlight w:val="none"/>
          <w:lang w:val="zh-CN"/>
        </w:rPr>
        <w:t>获得上述认证的产品在投标时应提供有效证明材料。以上所有证明文件复印件须加盖投标人公章并注明“与原件一致”，否则不予优惠。</w:t>
      </w:r>
    </w:p>
    <w:p w14:paraId="117CED60">
      <w:pPr>
        <w:spacing w:line="440" w:lineRule="exact"/>
        <w:ind w:firstLine="472" w:firstLineChars="196"/>
        <w:rPr>
          <w:rFonts w:hint="eastAsia" w:ascii="黑体" w:hAnsi="黑体" w:eastAsia="黑体" w:cs="黑体"/>
          <w:b/>
          <w:color w:val="auto"/>
          <w:sz w:val="24"/>
          <w:highlight w:val="none"/>
          <w:lang w:val="zh-CN"/>
        </w:rPr>
      </w:pPr>
      <w:r>
        <w:rPr>
          <w:rFonts w:hint="eastAsia" w:ascii="黑体" w:hAnsi="黑体" w:eastAsia="黑体" w:cs="黑体"/>
          <w:b/>
          <w:color w:val="auto"/>
          <w:sz w:val="24"/>
          <w:highlight w:val="none"/>
        </w:rPr>
        <w:t>24</w:t>
      </w:r>
      <w:r>
        <w:rPr>
          <w:rFonts w:hint="eastAsia" w:ascii="黑体" w:hAnsi="黑体" w:eastAsia="黑体" w:cs="黑体"/>
          <w:b/>
          <w:color w:val="auto"/>
          <w:sz w:val="24"/>
          <w:highlight w:val="none"/>
          <w:lang w:val="zh-CN"/>
        </w:rPr>
        <w:t xml:space="preserve"> 价格优惠比例</w:t>
      </w:r>
    </w:p>
    <w:p w14:paraId="117897B1">
      <w:pPr>
        <w:pStyle w:val="2"/>
        <w:ind w:firstLine="482" w:firstLineChars="200"/>
        <w:rPr>
          <w:rFonts w:hint="eastAsia" w:ascii="黑体" w:hAnsi="黑体" w:eastAsia="黑体" w:cs="黑体"/>
          <w:b/>
          <w:bCs/>
          <w:highlight w:val="none"/>
          <w:lang w:val="en-US" w:eastAsia="zh-CN"/>
        </w:rPr>
      </w:pPr>
      <w:r>
        <w:rPr>
          <w:rFonts w:hint="eastAsia" w:ascii="黑体" w:hAnsi="黑体" w:eastAsia="黑体" w:cs="黑体"/>
          <w:b/>
          <w:bCs/>
          <w:color w:val="auto"/>
          <w:sz w:val="24"/>
          <w:highlight w:val="none"/>
          <w:lang w:val="en-US" w:eastAsia="zh-CN"/>
        </w:rPr>
        <w:t>注：本项目为专门面向小微企业，故不予进行价格折扣。</w:t>
      </w:r>
    </w:p>
    <w:p w14:paraId="750B88DE">
      <w:pPr>
        <w:spacing w:line="440" w:lineRule="exact"/>
        <w:ind w:firstLine="480"/>
        <w:rPr>
          <w:rFonts w:hint="eastAsia" w:ascii="黑体" w:hAnsi="黑体" w:eastAsia="黑体" w:cs="黑体"/>
          <w:b/>
          <w:color w:val="auto"/>
          <w:kern w:val="1"/>
          <w:sz w:val="24"/>
          <w:highlight w:val="none"/>
        </w:rPr>
      </w:pPr>
      <w:r>
        <w:rPr>
          <w:rFonts w:hint="eastAsia" w:ascii="黑体" w:hAnsi="黑体" w:eastAsia="黑体" w:cs="黑体"/>
          <w:color w:val="auto"/>
          <w:kern w:val="1"/>
          <w:sz w:val="24"/>
          <w:highlight w:val="none"/>
        </w:rPr>
        <w:t>23.6 评标委员会对进入详细评审的投标人进行综合评分，根据得分由高到低，推荐出一个以上三个以下中标候选单位。如果综合评分出现两个投标人得分相同的情况，按下列顺序排列：</w:t>
      </w:r>
    </w:p>
    <w:p w14:paraId="3E54BC0C">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(1) 投标价格低的；</w:t>
      </w:r>
    </w:p>
    <w:p w14:paraId="5DDB42AB">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(2) 服务承诺优的。</w:t>
      </w:r>
    </w:p>
    <w:p w14:paraId="5E834D54">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kern w:val="1"/>
          <w:sz w:val="24"/>
          <w:highlight w:val="none"/>
        </w:rPr>
        <w:t>24、评标委员会根据</w:t>
      </w:r>
      <w:r>
        <w:rPr>
          <w:rFonts w:hint="eastAsia" w:ascii="黑体" w:hAnsi="黑体" w:eastAsia="黑体" w:cs="黑体"/>
          <w:color w:val="auto"/>
          <w:sz w:val="24"/>
          <w:highlight w:val="none"/>
        </w:rPr>
        <w:t>原始评标记录和评标结果编写</w:t>
      </w:r>
      <w:r>
        <w:rPr>
          <w:rFonts w:hint="eastAsia" w:ascii="黑体" w:hAnsi="黑体" w:eastAsia="黑体" w:cs="黑体"/>
          <w:color w:val="auto"/>
          <w:kern w:val="1"/>
          <w:sz w:val="24"/>
          <w:highlight w:val="none"/>
        </w:rPr>
        <w:t>评标报告，报采购人。</w:t>
      </w:r>
    </w:p>
    <w:p w14:paraId="164C31B1">
      <w:pPr>
        <w:snapToGrid w:val="0"/>
        <w:spacing w:before="156" w:beforeLines="50" w:after="156" w:afterLines="50"/>
        <w:jc w:val="center"/>
        <w:outlineLvl w:val="1"/>
        <w:rPr>
          <w:rFonts w:hint="eastAsia" w:ascii="黑体" w:hAnsi="黑体" w:eastAsia="黑体" w:cs="黑体"/>
          <w:b/>
          <w:color w:val="auto"/>
          <w:sz w:val="30"/>
          <w:szCs w:val="30"/>
          <w:highlight w:val="none"/>
        </w:rPr>
      </w:pPr>
      <w:bookmarkStart w:id="114" w:name="_Toc244623582"/>
      <w:bookmarkStart w:id="115" w:name="_Toc169838523"/>
      <w:bookmarkStart w:id="116" w:name="_Toc167591321"/>
      <w:bookmarkStart w:id="117" w:name="_Toc175033583"/>
      <w:bookmarkStart w:id="118" w:name="_Toc170980543"/>
      <w:bookmarkStart w:id="119" w:name="_Toc169846767"/>
      <w:bookmarkStart w:id="120" w:name="_Toc167590766"/>
      <w:bookmarkStart w:id="121" w:name="_Toc208337155"/>
      <w:bookmarkStart w:id="122" w:name="_Toc169846864"/>
      <w:bookmarkStart w:id="123" w:name="_Toc245657544"/>
      <w:bookmarkStart w:id="124" w:name="_Toc245658525"/>
      <w:bookmarkStart w:id="125" w:name="_Toc175032428"/>
      <w:bookmarkStart w:id="126" w:name="_Toc245176656"/>
      <w:bookmarkStart w:id="127" w:name="_Toc167849351"/>
      <w:bookmarkStart w:id="128" w:name="_Toc167591135"/>
      <w:bookmarkStart w:id="129" w:name="_Toc173549969"/>
      <w:bookmarkStart w:id="130" w:name="_Toc167591483"/>
      <w:bookmarkStart w:id="131" w:name="_Toc170980445"/>
      <w:bookmarkStart w:id="132" w:name="_Toc167591034"/>
      <w:bookmarkStart w:id="133" w:name="_Toc207897907"/>
      <w:bookmarkStart w:id="134" w:name="_Toc154482470"/>
      <w:r>
        <w:rPr>
          <w:rFonts w:hint="eastAsia" w:ascii="黑体" w:hAnsi="黑体" w:eastAsia="黑体" w:cs="黑体"/>
          <w:b/>
          <w:color w:val="auto"/>
          <w:sz w:val="30"/>
          <w:szCs w:val="30"/>
          <w:highlight w:val="none"/>
        </w:rPr>
        <w:t>六、授予合同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4AF0DD7">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25．中标通知书</w:t>
      </w:r>
    </w:p>
    <w:p w14:paraId="1DB59573">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25.1采购代理机构在收到采购人的中标复函后，将在陕西省政府采购网和陕西省公共资源交易网上发布中标公告，并在规定时间向中标人发出中标通知书。</w:t>
      </w:r>
    </w:p>
    <w:p w14:paraId="1492A791">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25.2 中标通知书是合同的组成部分。</w:t>
      </w:r>
    </w:p>
    <w:p w14:paraId="56F8304F">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26．招标代理</w:t>
      </w:r>
      <w:r>
        <w:rPr>
          <w:rFonts w:hint="eastAsia" w:ascii="黑体" w:hAnsi="黑体" w:eastAsia="黑体" w:cs="黑体"/>
          <w:color w:val="auto"/>
          <w:sz w:val="24"/>
          <w:highlight w:val="none"/>
          <w:lang w:val="en-US" w:eastAsia="zh-CN"/>
        </w:rPr>
        <w:t>服</w:t>
      </w:r>
      <w:r>
        <w:rPr>
          <w:rFonts w:hint="eastAsia" w:ascii="黑体" w:hAnsi="黑体" w:eastAsia="黑体" w:cs="黑体"/>
          <w:color w:val="auto"/>
          <w:sz w:val="24"/>
          <w:highlight w:val="none"/>
        </w:rPr>
        <w:t>务费</w:t>
      </w:r>
    </w:p>
    <w:p w14:paraId="1B1638C3">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26.1招标代理服务费：</w:t>
      </w:r>
      <w:r>
        <w:rPr>
          <w:rFonts w:hint="eastAsia" w:ascii="黑体" w:hAnsi="黑体" w:eastAsia="黑体" w:cs="黑体"/>
          <w:sz w:val="24"/>
          <w:szCs w:val="24"/>
          <w:highlight w:val="none"/>
        </w:rPr>
        <w:t>按照《汉阴县财政局关于印发&lt;汉阴县工程造价咨询等服务类收费项目评审最高限价及简化政府采购程序&gt;的通知》（汉财字〔2018〕99 号）文件规定标准执行。</w:t>
      </w:r>
    </w:p>
    <w:p w14:paraId="1C48187B">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26.2招标代理服务费由</w:t>
      </w:r>
      <w:r>
        <w:rPr>
          <w:rFonts w:hint="eastAsia" w:ascii="黑体" w:hAnsi="黑体" w:eastAsia="黑体" w:cs="黑体"/>
          <w:color w:val="auto"/>
          <w:sz w:val="24"/>
          <w:highlight w:val="none"/>
          <w:lang w:val="en-US" w:eastAsia="zh-CN"/>
        </w:rPr>
        <w:t>中标单位</w:t>
      </w:r>
      <w:r>
        <w:rPr>
          <w:rFonts w:hint="eastAsia" w:ascii="黑体" w:hAnsi="黑体" w:eastAsia="黑体" w:cs="黑体"/>
          <w:color w:val="auto"/>
          <w:sz w:val="24"/>
          <w:highlight w:val="none"/>
        </w:rPr>
        <w:t>一次性支付给</w:t>
      </w:r>
      <w:r>
        <w:rPr>
          <w:rFonts w:hint="eastAsia" w:ascii="黑体" w:hAnsi="黑体" w:eastAsia="黑体" w:cs="黑体"/>
          <w:color w:val="auto"/>
          <w:sz w:val="24"/>
          <w:highlight w:val="none"/>
          <w:u w:val="single"/>
          <w:lang w:eastAsia="zh-CN"/>
        </w:rPr>
        <w:t>陕西博诚方圆项目管理有限公司</w:t>
      </w:r>
      <w:r>
        <w:rPr>
          <w:rFonts w:hint="eastAsia" w:ascii="黑体" w:hAnsi="黑体" w:eastAsia="黑体" w:cs="黑体"/>
          <w:color w:val="auto"/>
          <w:sz w:val="24"/>
          <w:highlight w:val="none"/>
        </w:rPr>
        <w:t>。</w:t>
      </w:r>
    </w:p>
    <w:p w14:paraId="4FCA7312">
      <w:pPr>
        <w:spacing w:line="440" w:lineRule="exact"/>
        <w:ind w:firstLine="482" w:firstLineChars="20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27．签订合同</w:t>
      </w:r>
    </w:p>
    <w:p w14:paraId="6172AD6E">
      <w:pPr>
        <w:spacing w:line="440" w:lineRule="exact"/>
        <w:ind w:firstLine="482" w:firstLineChars="200"/>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27.1中标人在收到中标通知书后</w:t>
      </w:r>
      <w:r>
        <w:rPr>
          <w:rFonts w:hint="eastAsia" w:ascii="黑体" w:hAnsi="黑体" w:eastAsia="黑体" w:cs="黑体"/>
          <w:b/>
          <w:bCs/>
          <w:color w:val="auto"/>
          <w:sz w:val="24"/>
          <w:highlight w:val="none"/>
          <w:lang w:val="en-US" w:eastAsia="zh-CN"/>
        </w:rPr>
        <w:t>25个日历日内</w:t>
      </w:r>
      <w:r>
        <w:rPr>
          <w:rFonts w:hint="eastAsia" w:ascii="黑体" w:hAnsi="黑体" w:eastAsia="黑体" w:cs="黑体"/>
          <w:b/>
          <w:bCs/>
          <w:color w:val="auto"/>
          <w:sz w:val="24"/>
          <w:highlight w:val="none"/>
        </w:rPr>
        <w:t>，与采购人签订合同。</w:t>
      </w:r>
    </w:p>
    <w:p w14:paraId="3E617F5D">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27.2 如果中标人没有按照上述第26.1条或第27.1条规定执行，采购人将有充分理由取消该中标决定，在此情况下，采购人可将合同授予综合得分排序名列下一个的投标人，或重新招标。</w:t>
      </w:r>
    </w:p>
    <w:p w14:paraId="4DBB8570">
      <w:pPr>
        <w:spacing w:line="440" w:lineRule="exact"/>
        <w:ind w:firstLine="482" w:firstLineChars="200"/>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28．其他</w:t>
      </w:r>
    </w:p>
    <w:p w14:paraId="06BB0101">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28.1 拒绝商业贿赂</w:t>
      </w:r>
    </w:p>
    <w:p w14:paraId="5BA11E1F">
      <w:pPr>
        <w:spacing w:line="440" w:lineRule="exact"/>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28.1.1投标人须填写一份《拒绝政府采购领域商业贿赂承诺书》（格式见第五章附件）编制在投标文件中。</w:t>
      </w:r>
    </w:p>
    <w:p w14:paraId="06932FF2">
      <w:pPr>
        <w:spacing w:line="440" w:lineRule="exact"/>
        <w:ind w:firstLine="482"/>
        <w:rPr>
          <w:rFonts w:hint="eastAsia" w:ascii="黑体" w:hAnsi="黑体" w:eastAsia="黑体" w:cs="黑体"/>
          <w:b/>
          <w:color w:val="auto"/>
          <w:kern w:val="1"/>
          <w:sz w:val="24"/>
          <w:highlight w:val="none"/>
        </w:rPr>
      </w:pPr>
      <w:r>
        <w:rPr>
          <w:rFonts w:hint="eastAsia" w:ascii="黑体" w:hAnsi="黑体" w:eastAsia="黑体" w:cs="黑体"/>
          <w:b/>
          <w:color w:val="auto"/>
          <w:kern w:val="1"/>
          <w:sz w:val="24"/>
          <w:highlight w:val="none"/>
        </w:rPr>
        <w:t>29、公开招标拟转为竞争性谈判程序</w:t>
      </w:r>
    </w:p>
    <w:p w14:paraId="2F8E7755">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招标过程中提交投标文件或者经评审实质性响应招标文件要求的投标人只有两家时，采购人、采购代理机构依据《政府采购非招标采购方式管理办法》（财政部令第74号）第二十七条第二款规定并</w:t>
      </w:r>
      <w:r>
        <w:rPr>
          <w:rFonts w:hint="eastAsia" w:ascii="黑体" w:hAnsi="黑体" w:eastAsia="黑体" w:cs="黑体"/>
          <w:color w:val="auto"/>
          <w:sz w:val="24"/>
          <w:highlight w:val="none"/>
        </w:rPr>
        <w:t>经本级财政部门批准后可以与该两家投标人进行竞争性谈判采购，具体程序如下：</w:t>
      </w:r>
    </w:p>
    <w:p w14:paraId="3B590DAE">
      <w:pPr>
        <w:spacing w:line="440" w:lineRule="exact"/>
        <w:ind w:firstLine="482"/>
        <w:rPr>
          <w:rFonts w:hint="eastAsia" w:ascii="黑体" w:hAnsi="黑体" w:eastAsia="黑体" w:cs="黑体"/>
          <w:b/>
          <w:color w:val="auto"/>
          <w:sz w:val="24"/>
          <w:highlight w:val="none"/>
        </w:rPr>
      </w:pPr>
      <w:r>
        <w:rPr>
          <w:rFonts w:hint="eastAsia" w:ascii="黑体" w:hAnsi="黑体" w:eastAsia="黑体" w:cs="黑体"/>
          <w:b/>
          <w:color w:val="auto"/>
          <w:kern w:val="1"/>
          <w:sz w:val="24"/>
          <w:highlight w:val="none"/>
        </w:rPr>
        <w:t>29.1 谈判小组</w:t>
      </w:r>
    </w:p>
    <w:p w14:paraId="3848ABC1">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kern w:val="1"/>
          <w:sz w:val="24"/>
          <w:highlight w:val="none"/>
        </w:rPr>
        <w:t>（1）原公开招标组建的评标委员会现转为谈判小组</w:t>
      </w:r>
      <w:r>
        <w:rPr>
          <w:rFonts w:hint="eastAsia" w:ascii="黑体" w:hAnsi="黑体" w:eastAsia="黑体" w:cs="黑体"/>
          <w:color w:val="auto"/>
          <w:sz w:val="24"/>
          <w:highlight w:val="none"/>
        </w:rPr>
        <w:t>。</w:t>
      </w:r>
    </w:p>
    <w:p w14:paraId="7B7A319C">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（2）谈判小组负责谈判工作，对谈判响应文件进行审查和评估，并向采购人提交书面提交评审报告，推荐成交候选人。</w:t>
      </w:r>
    </w:p>
    <w:p w14:paraId="3B2FC6ED">
      <w:pPr>
        <w:spacing w:line="440" w:lineRule="exact"/>
        <w:ind w:firstLine="482"/>
        <w:rPr>
          <w:rFonts w:hint="eastAsia" w:ascii="黑体" w:hAnsi="黑体" w:eastAsia="黑体" w:cs="黑体"/>
          <w:color w:val="auto"/>
          <w:kern w:val="1"/>
          <w:sz w:val="24"/>
          <w:highlight w:val="none"/>
        </w:rPr>
      </w:pPr>
      <w:r>
        <w:rPr>
          <w:rFonts w:hint="eastAsia" w:ascii="黑体" w:hAnsi="黑体" w:eastAsia="黑体" w:cs="黑体"/>
          <w:b/>
          <w:color w:val="auto"/>
          <w:kern w:val="1"/>
          <w:sz w:val="24"/>
          <w:highlight w:val="none"/>
        </w:rPr>
        <w:t>29.</w:t>
      </w:r>
      <w:r>
        <w:rPr>
          <w:rFonts w:hint="eastAsia" w:ascii="黑体" w:hAnsi="黑体" w:eastAsia="黑体" w:cs="黑体"/>
          <w:b/>
          <w:bCs/>
          <w:color w:val="auto"/>
          <w:kern w:val="1"/>
          <w:sz w:val="24"/>
          <w:highlight w:val="none"/>
        </w:rPr>
        <w:t xml:space="preserve">2 </w:t>
      </w:r>
      <w:r>
        <w:rPr>
          <w:rFonts w:hint="eastAsia" w:ascii="黑体" w:hAnsi="黑体" w:eastAsia="黑体" w:cs="黑体"/>
          <w:b/>
          <w:color w:val="auto"/>
          <w:kern w:val="1"/>
          <w:sz w:val="24"/>
          <w:highlight w:val="none"/>
        </w:rPr>
        <w:t>谈判</w:t>
      </w:r>
      <w:r>
        <w:rPr>
          <w:rFonts w:hint="eastAsia" w:ascii="黑体" w:hAnsi="黑体" w:eastAsia="黑体" w:cs="黑体"/>
          <w:b/>
          <w:bCs/>
          <w:color w:val="auto"/>
          <w:kern w:val="1"/>
          <w:sz w:val="24"/>
          <w:highlight w:val="none"/>
        </w:rPr>
        <w:t>程序</w:t>
      </w:r>
      <w:r>
        <w:rPr>
          <w:rFonts w:hint="eastAsia" w:ascii="黑体" w:hAnsi="黑体" w:eastAsia="黑体" w:cs="黑体"/>
          <w:bCs/>
          <w:color w:val="auto"/>
          <w:kern w:val="1"/>
          <w:sz w:val="24"/>
          <w:highlight w:val="none"/>
        </w:rPr>
        <w:t>：</w:t>
      </w:r>
      <w:r>
        <w:rPr>
          <w:rFonts w:hint="eastAsia" w:ascii="黑体" w:hAnsi="黑体" w:eastAsia="黑体" w:cs="黑体"/>
          <w:color w:val="auto"/>
          <w:kern w:val="1"/>
          <w:sz w:val="24"/>
          <w:highlight w:val="none"/>
        </w:rPr>
        <w:t xml:space="preserve"> </w:t>
      </w:r>
    </w:p>
    <w:p w14:paraId="4F1523E9">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谈判的全过程分为第一次谈判报价（原参加公开招标的</w:t>
      </w:r>
      <w:r>
        <w:rPr>
          <w:rFonts w:hint="eastAsia" w:ascii="黑体" w:hAnsi="黑体" w:eastAsia="黑体" w:cs="黑体"/>
          <w:color w:val="auto"/>
          <w:kern w:val="1"/>
          <w:sz w:val="24"/>
          <w:highlight w:val="none"/>
          <w:lang w:eastAsia="zh-CN"/>
        </w:rPr>
        <w:t>投标人</w:t>
      </w:r>
      <w:r>
        <w:rPr>
          <w:rFonts w:hint="eastAsia" w:ascii="黑体" w:hAnsi="黑体" w:eastAsia="黑体" w:cs="黑体"/>
          <w:color w:val="auto"/>
          <w:kern w:val="1"/>
          <w:sz w:val="24"/>
          <w:highlight w:val="none"/>
        </w:rPr>
        <w:t>的投标报价作为第一次谈判报价）、资质审查、谈判过程、第二次谈判报价、最终评审等阶段，最终报价采取集中报价形式。</w:t>
      </w:r>
    </w:p>
    <w:p w14:paraId="472BE2FB">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通过资质审查合格的各投标人，只有在谈判响应文件（原参加公开招标的</w:t>
      </w:r>
      <w:r>
        <w:rPr>
          <w:rFonts w:hint="eastAsia" w:ascii="黑体" w:hAnsi="黑体" w:eastAsia="黑体" w:cs="黑体"/>
          <w:color w:val="auto"/>
          <w:kern w:val="1"/>
          <w:sz w:val="24"/>
          <w:highlight w:val="none"/>
          <w:lang w:eastAsia="zh-CN"/>
        </w:rPr>
        <w:t>投标人</w:t>
      </w:r>
      <w:r>
        <w:rPr>
          <w:rFonts w:hint="eastAsia" w:ascii="黑体" w:hAnsi="黑体" w:eastAsia="黑体" w:cs="黑体"/>
          <w:color w:val="auto"/>
          <w:kern w:val="1"/>
          <w:sz w:val="24"/>
          <w:highlight w:val="none"/>
        </w:rPr>
        <w:t>的投标文件作为谈判响应文件）及谈判承诺符合谈判文件要求和满足技术、商务需要的才有最终报价和评审的机会。谈判小组按其最终承诺和报价内容，推荐成交候选单位排序。</w:t>
      </w:r>
    </w:p>
    <w:p w14:paraId="4E18830B">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（1）第一次报价：原参加公开招标的</w:t>
      </w:r>
      <w:r>
        <w:rPr>
          <w:rFonts w:hint="eastAsia" w:ascii="黑体" w:hAnsi="黑体" w:eastAsia="黑体" w:cs="黑体"/>
          <w:color w:val="auto"/>
          <w:kern w:val="1"/>
          <w:sz w:val="24"/>
          <w:highlight w:val="none"/>
          <w:lang w:eastAsia="zh-CN"/>
        </w:rPr>
        <w:t>投标人</w:t>
      </w:r>
      <w:r>
        <w:rPr>
          <w:rFonts w:hint="eastAsia" w:ascii="黑体" w:hAnsi="黑体" w:eastAsia="黑体" w:cs="黑体"/>
          <w:color w:val="auto"/>
          <w:kern w:val="1"/>
          <w:sz w:val="24"/>
          <w:highlight w:val="none"/>
        </w:rPr>
        <w:t>的投标报价作为第一次谈判报价。</w:t>
      </w:r>
    </w:p>
    <w:p w14:paraId="1D5D0609">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（2）符合性评审：主要对各投标人资格以及谈判响应文件进行商务和技术符合性的审定。</w:t>
      </w:r>
    </w:p>
    <w:p w14:paraId="57E48BCF">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（3）</w:t>
      </w:r>
      <w:r>
        <w:rPr>
          <w:rFonts w:hint="eastAsia" w:ascii="黑体" w:hAnsi="黑体" w:eastAsia="黑体" w:cs="黑体"/>
          <w:bCs/>
          <w:color w:val="auto"/>
          <w:kern w:val="1"/>
          <w:sz w:val="24"/>
          <w:highlight w:val="none"/>
        </w:rPr>
        <w:t>谈判过程</w:t>
      </w:r>
      <w:r>
        <w:rPr>
          <w:rFonts w:hint="eastAsia" w:ascii="黑体" w:hAnsi="黑体" w:eastAsia="黑体" w:cs="黑体"/>
          <w:color w:val="auto"/>
          <w:kern w:val="1"/>
          <w:sz w:val="24"/>
          <w:highlight w:val="none"/>
        </w:rPr>
        <w:t>：谈判小组应在符合性评审的基础上对各投标人的谈判响应文件认真阅读，并对采购内容等有关要求进行谈判。</w:t>
      </w:r>
    </w:p>
    <w:p w14:paraId="6C4FAA34">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① 谈判方案（原投标方案）</w:t>
      </w:r>
    </w:p>
    <w:p w14:paraId="5C81B541">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② 售后服务措施</w:t>
      </w:r>
    </w:p>
    <w:p w14:paraId="6F9C8FCC">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③ 综合评定，推荐候选成交单位。</w:t>
      </w:r>
    </w:p>
    <w:p w14:paraId="5BB7F253">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④ 谈判澄清：采购代理机构有权就谈判响应文件中有疑义之处或前后表述不一致的问题，向投标人提出询问或澄清。投标人必须在谈判文件规定的时间内派技术和商务人员进行澄清，有关澄清的内容应以书面形式（包括电传、传真）提交，并由投标人法定代表人或被授权人签名确认。</w:t>
      </w:r>
    </w:p>
    <w:p w14:paraId="0F191F0D">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（4）第二次谈判报价</w:t>
      </w:r>
    </w:p>
    <w:p w14:paraId="5817554D">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通过资质审查合格，投标人的谈判响应文件及谈判承诺符合谈判文件要求和满足技术、商务需要的，在规定的时间内报出第二次谈判报价。</w:t>
      </w:r>
    </w:p>
    <w:p w14:paraId="6F24D6AE">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（5）最终评审</w:t>
      </w:r>
    </w:p>
    <w:p w14:paraId="094676C1">
      <w:pPr>
        <w:spacing w:line="440" w:lineRule="exact"/>
        <w:ind w:firstLine="480"/>
        <w:rPr>
          <w:rFonts w:hint="eastAsia" w:ascii="黑体" w:hAnsi="黑体" w:eastAsia="黑体" w:cs="黑体"/>
          <w:color w:val="auto"/>
          <w:kern w:val="1"/>
          <w:sz w:val="24"/>
          <w:highlight w:val="none"/>
        </w:rPr>
      </w:pPr>
      <w:r>
        <w:rPr>
          <w:rFonts w:hint="eastAsia" w:ascii="黑体" w:hAnsi="黑体" w:eastAsia="黑体" w:cs="黑体"/>
          <w:color w:val="auto"/>
          <w:kern w:val="1"/>
          <w:sz w:val="24"/>
          <w:highlight w:val="none"/>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06639803">
      <w:pPr>
        <w:spacing w:line="440" w:lineRule="exact"/>
        <w:ind w:firstLine="480" w:firstLineChars="200"/>
        <w:rPr>
          <w:rFonts w:hint="eastAsia" w:ascii="黑体" w:hAnsi="黑体" w:eastAsia="黑体" w:cs="黑体"/>
          <w:b/>
          <w:color w:val="auto"/>
          <w:sz w:val="30"/>
          <w:szCs w:val="30"/>
          <w:highlight w:val="none"/>
        </w:rPr>
      </w:pPr>
      <w:r>
        <w:rPr>
          <w:rFonts w:hint="eastAsia" w:ascii="黑体" w:hAnsi="黑体" w:eastAsia="黑体" w:cs="黑体"/>
          <w:color w:val="auto"/>
          <w:kern w:val="1"/>
          <w:sz w:val="24"/>
          <w:highlight w:val="none"/>
        </w:rPr>
        <w:t>29.3 谈判小组根据</w:t>
      </w:r>
      <w:r>
        <w:rPr>
          <w:rFonts w:hint="eastAsia" w:ascii="黑体" w:hAnsi="黑体" w:eastAsia="黑体" w:cs="黑体"/>
          <w:color w:val="auto"/>
          <w:sz w:val="24"/>
          <w:highlight w:val="none"/>
        </w:rPr>
        <w:t>原始谈判记录和谈判结果编写</w:t>
      </w:r>
      <w:r>
        <w:rPr>
          <w:rFonts w:hint="eastAsia" w:ascii="黑体" w:hAnsi="黑体" w:eastAsia="黑体" w:cs="黑体"/>
          <w:color w:val="auto"/>
          <w:kern w:val="1"/>
          <w:sz w:val="24"/>
          <w:highlight w:val="none"/>
        </w:rPr>
        <w:t>谈判</w:t>
      </w:r>
      <w:r>
        <w:rPr>
          <w:rFonts w:hint="eastAsia" w:ascii="黑体" w:hAnsi="黑体" w:eastAsia="黑体" w:cs="黑体"/>
          <w:color w:val="auto"/>
          <w:sz w:val="24"/>
          <w:highlight w:val="none"/>
        </w:rPr>
        <w:t>结果</w:t>
      </w:r>
      <w:r>
        <w:rPr>
          <w:rFonts w:hint="eastAsia" w:ascii="黑体" w:hAnsi="黑体" w:eastAsia="黑体" w:cs="黑体"/>
          <w:color w:val="auto"/>
          <w:kern w:val="1"/>
          <w:sz w:val="24"/>
          <w:highlight w:val="none"/>
        </w:rPr>
        <w:t>报告，报采购人。</w:t>
      </w:r>
    </w:p>
    <w:p w14:paraId="736F5295">
      <w:pPr>
        <w:spacing w:before="156" w:beforeLines="50" w:after="156" w:afterLines="50" w:line="440" w:lineRule="exact"/>
        <w:jc w:val="center"/>
        <w:rPr>
          <w:rFonts w:hint="eastAsia" w:ascii="黑体" w:hAnsi="黑体" w:eastAsia="黑体" w:cs="黑体"/>
          <w:color w:val="auto"/>
          <w:sz w:val="24"/>
          <w:highlight w:val="none"/>
        </w:rPr>
      </w:pPr>
      <w:r>
        <w:rPr>
          <w:rFonts w:hint="eastAsia" w:ascii="黑体" w:hAnsi="黑体" w:eastAsia="黑体" w:cs="黑体"/>
          <w:b/>
          <w:color w:val="auto"/>
          <w:sz w:val="30"/>
          <w:szCs w:val="30"/>
          <w:highlight w:val="none"/>
        </w:rPr>
        <w:t>七、质疑与投诉</w:t>
      </w:r>
    </w:p>
    <w:p w14:paraId="6BDD1A3D">
      <w:pPr>
        <w:spacing w:line="440" w:lineRule="exact"/>
        <w:ind w:firstLine="472" w:firstLineChars="196"/>
        <w:rPr>
          <w:rFonts w:hint="eastAsia" w:ascii="黑体" w:hAnsi="黑体" w:eastAsia="黑体" w:cs="黑体"/>
          <w:b/>
          <w:color w:val="auto"/>
          <w:sz w:val="24"/>
          <w:highlight w:val="none"/>
        </w:rPr>
      </w:pPr>
      <w:r>
        <w:rPr>
          <w:rFonts w:hint="eastAsia" w:ascii="黑体" w:hAnsi="黑体" w:eastAsia="黑体" w:cs="黑体"/>
          <w:b/>
          <w:color w:val="auto"/>
          <w:sz w:val="24"/>
          <w:highlight w:val="none"/>
        </w:rPr>
        <w:t>30、质疑及投诉</w:t>
      </w:r>
    </w:p>
    <w:p w14:paraId="3759961D">
      <w:pPr>
        <w:spacing w:line="440" w:lineRule="exact"/>
        <w:ind w:firstLine="472" w:firstLineChars="196"/>
        <w:rPr>
          <w:rFonts w:hint="eastAsia" w:ascii="黑体" w:hAnsi="黑体" w:eastAsia="黑体" w:cs="黑体"/>
          <w:b/>
          <w:color w:val="auto"/>
          <w:sz w:val="24"/>
          <w:highlight w:val="none"/>
        </w:rPr>
      </w:pPr>
      <w:r>
        <w:rPr>
          <w:rFonts w:hint="eastAsia" w:ascii="黑体" w:hAnsi="黑体" w:eastAsia="黑体" w:cs="黑体"/>
          <w:b/>
          <w:color w:val="auto"/>
          <w:sz w:val="24"/>
          <w:highlight w:val="none"/>
        </w:rPr>
        <w:t>30.1 质疑</w:t>
      </w:r>
    </w:p>
    <w:p w14:paraId="309FBDF2">
      <w:pPr>
        <w:spacing w:line="440" w:lineRule="exact"/>
        <w:ind w:firstLine="470" w:firstLineChars="196"/>
        <w:rPr>
          <w:rFonts w:hint="eastAsia" w:ascii="黑体" w:hAnsi="黑体" w:eastAsia="黑体" w:cs="黑体"/>
          <w:b/>
          <w:color w:val="auto"/>
          <w:sz w:val="24"/>
          <w:highlight w:val="none"/>
        </w:rPr>
      </w:pPr>
      <w:r>
        <w:rPr>
          <w:rFonts w:hint="eastAsia" w:ascii="黑体" w:hAnsi="黑体" w:eastAsia="黑体" w:cs="黑体"/>
          <w:color w:val="auto"/>
          <w:sz w:val="24"/>
          <w:highlight w:val="none"/>
        </w:rPr>
        <w:t>（1）投标人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69DF6CF9">
      <w:pPr>
        <w:spacing w:line="440" w:lineRule="exact"/>
        <w:ind w:firstLine="470" w:firstLineChars="196"/>
        <w:rPr>
          <w:rFonts w:hint="eastAsia" w:ascii="黑体" w:hAnsi="黑体" w:eastAsia="黑体" w:cs="黑体"/>
          <w:b/>
          <w:color w:val="auto"/>
          <w:sz w:val="24"/>
          <w:highlight w:val="none"/>
        </w:rPr>
      </w:pPr>
      <w:r>
        <w:rPr>
          <w:rFonts w:hint="eastAsia" w:ascii="黑体" w:hAnsi="黑体" w:eastAsia="黑体" w:cs="黑体"/>
          <w:color w:val="auto"/>
          <w:sz w:val="24"/>
          <w:highlight w:val="none"/>
        </w:rPr>
        <w:t>（2）提出质疑的投标人应当是参与本项目采购活动的投标人。</w:t>
      </w:r>
    </w:p>
    <w:p w14:paraId="1CEB304D">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（3）潜在投标人已依法获取其可质疑的采购文件的，可以对该文件提出质疑。对采购文件提出质疑的，应当在获取采购文件（以投标人填写报名登记表的时间为准）起7个工作日内一次性提出。</w:t>
      </w:r>
    </w:p>
    <w:p w14:paraId="7F727C83">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（4）投标人提出质疑应当提交质疑函和必要的证明材料，质疑函应包括下列内容：</w:t>
      </w:r>
    </w:p>
    <w:p w14:paraId="672AE763">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① 投标人的姓名或者名称、地址、邮编、联系人及联系电话；</w:t>
      </w:r>
    </w:p>
    <w:p w14:paraId="0EDE1AEE">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② 质疑项目的名称、编号；</w:t>
      </w:r>
    </w:p>
    <w:p w14:paraId="7A5DCB0B">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③ 具体、明确的质疑事项和与质疑事项相关的请求；</w:t>
      </w:r>
    </w:p>
    <w:p w14:paraId="6F632DED">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④ 事实依据；</w:t>
      </w:r>
    </w:p>
    <w:p w14:paraId="79A73767">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⑤ 必要的法律依据；</w:t>
      </w:r>
    </w:p>
    <w:p w14:paraId="0C223B8D">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⑥ 提出质疑的日期。</w:t>
      </w:r>
    </w:p>
    <w:p w14:paraId="765031C7">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（5）投标人为自然人的，应当由本人签字；投标人为法人或者其他组织的，应当由法定代表人、主要负责人，或者其授权代表签字或者盖章并加盖公章。</w:t>
      </w:r>
    </w:p>
    <w:p w14:paraId="1668A8E9">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6）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160978A">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（7）采购人负责投标人质疑答复。采购人委托采购代理机构采购的，采购代理机构在委托授权范围内作出答复。</w:t>
      </w:r>
    </w:p>
    <w:p w14:paraId="2EF9492F">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（8）接收质疑函的方式和联系方式：</w:t>
      </w:r>
    </w:p>
    <w:p w14:paraId="2F37AB7D">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① 接收质疑函的方式：书面递交质疑函纸质版（当面递交）或PDF格式扫描件（发至电子邮箱）</w:t>
      </w:r>
    </w:p>
    <w:p w14:paraId="4897CCEC">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② 联系方式</w:t>
      </w:r>
    </w:p>
    <w:p w14:paraId="31064F6E">
      <w:pPr>
        <w:spacing w:line="440" w:lineRule="exact"/>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采购代理机构：</w:t>
      </w:r>
      <w:r>
        <w:rPr>
          <w:rFonts w:hint="eastAsia" w:ascii="黑体" w:hAnsi="黑体" w:eastAsia="黑体" w:cs="黑体"/>
          <w:color w:val="auto"/>
          <w:sz w:val="24"/>
          <w:highlight w:val="none"/>
          <w:lang w:eastAsia="zh-CN"/>
        </w:rPr>
        <w:t>陕西博诚方圆项目管理有限公司</w:t>
      </w:r>
    </w:p>
    <w:p w14:paraId="780E3B7C">
      <w:pPr>
        <w:spacing w:line="440" w:lineRule="exact"/>
        <w:ind w:firstLine="480"/>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地    址：</w:t>
      </w:r>
      <w:r>
        <w:rPr>
          <w:rFonts w:hint="eastAsia" w:ascii="黑体" w:hAnsi="黑体" w:eastAsia="黑体" w:cs="黑体"/>
          <w:color w:val="auto"/>
          <w:sz w:val="24"/>
          <w:highlight w:val="none"/>
          <w:lang w:eastAsia="zh-CN"/>
        </w:rPr>
        <w:t>陕西省安康市高新技术产业开发区恒大未来城23号楼一单元1403</w:t>
      </w:r>
    </w:p>
    <w:p w14:paraId="0ED0B595">
      <w:pPr>
        <w:spacing w:line="440" w:lineRule="exact"/>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rPr>
        <w:t>联 系 人：</w:t>
      </w:r>
      <w:r>
        <w:rPr>
          <w:rFonts w:hint="eastAsia" w:ascii="黑体" w:hAnsi="黑体" w:eastAsia="黑体" w:cs="黑体"/>
          <w:color w:val="auto"/>
          <w:sz w:val="24"/>
          <w:highlight w:val="none"/>
          <w:lang w:val="en-US" w:eastAsia="zh-CN"/>
        </w:rPr>
        <w:t>张工</w:t>
      </w:r>
    </w:p>
    <w:p w14:paraId="760375F7">
      <w:pPr>
        <w:spacing w:line="440" w:lineRule="exact"/>
        <w:ind w:firstLine="48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rPr>
        <w:t>联系方式：</w:t>
      </w:r>
      <w:r>
        <w:rPr>
          <w:rFonts w:hint="eastAsia" w:ascii="黑体" w:hAnsi="黑体" w:eastAsia="黑体" w:cs="黑体"/>
          <w:color w:val="auto"/>
          <w:sz w:val="24"/>
          <w:highlight w:val="none"/>
          <w:lang w:val="en-US" w:eastAsia="zh-CN"/>
        </w:rPr>
        <w:t>19916135641</w:t>
      </w:r>
    </w:p>
    <w:p w14:paraId="6AE80645">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邮    箱：</w:t>
      </w:r>
      <w:r>
        <w:rPr>
          <w:rFonts w:hint="eastAsia" w:ascii="黑体" w:hAnsi="黑体" w:eastAsia="黑体" w:cs="黑体"/>
          <w:color w:val="auto"/>
          <w:sz w:val="24"/>
          <w:highlight w:val="none"/>
          <w:lang w:val="en-US" w:eastAsia="zh-CN"/>
        </w:rPr>
        <w:t>3971977756</w:t>
      </w:r>
      <w:r>
        <w:rPr>
          <w:rFonts w:hint="eastAsia" w:ascii="黑体" w:hAnsi="黑体" w:eastAsia="黑体" w:cs="黑体"/>
          <w:color w:val="auto"/>
          <w:sz w:val="24"/>
          <w:highlight w:val="none"/>
        </w:rPr>
        <w:t xml:space="preserve">@qq.com  </w:t>
      </w:r>
    </w:p>
    <w:p w14:paraId="3C37E553">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30.2 投诉</w:t>
      </w:r>
    </w:p>
    <w:p w14:paraId="3843F33D">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（1）质疑投标人对采购人、采购代理机构的答复不满意，或者采购人、采购代理机构未在规定时间内作出答复的，可以在答复期满后15个工作日内向同级财政部门提起投诉。</w:t>
      </w:r>
    </w:p>
    <w:p w14:paraId="43AA9F22">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（2）投诉人投诉时,应当提交投诉书和必要的证明材料，并按照被投诉采购人、采购代理机构（以下简称被投诉人）和与投诉事项有关的投标人数量提供投诉书的副本。投诉书应当包括下列内容：</w:t>
      </w:r>
    </w:p>
    <w:p w14:paraId="6FF8C71D">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① 投诉人和被投诉人的姓名或者名称、通讯地址、邮编、联系人及联系电话；</w:t>
      </w:r>
    </w:p>
    <w:p w14:paraId="178D4357">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② 质疑和质疑答复情况说明及相关证明材料；</w:t>
      </w:r>
    </w:p>
    <w:p w14:paraId="4B84ABBF">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③ 具体、明确的投诉事项和与投诉事项相关的投诉请求；</w:t>
      </w:r>
    </w:p>
    <w:p w14:paraId="419523C6">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④ 事实依据；</w:t>
      </w:r>
    </w:p>
    <w:p w14:paraId="14101672">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⑤ 法律依据；</w:t>
      </w:r>
    </w:p>
    <w:p w14:paraId="09EEE416">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⑥ 提起投诉的日期。</w:t>
      </w:r>
    </w:p>
    <w:p w14:paraId="4B9CF3A6">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（3）投诉人为自然人的，应当由本人签字；投诉人为法人或者其他组织的，应当由法定代表人、主要负责人，或者其授权代表签字或者盖章，并加盖公章。</w:t>
      </w:r>
    </w:p>
    <w:p w14:paraId="3B85DECA">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（4）投诉人提起投诉应当符合下列条件：</w:t>
      </w:r>
    </w:p>
    <w:p w14:paraId="57DAFC65">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① 提起投诉前已依法进行质疑；</w:t>
      </w:r>
    </w:p>
    <w:p w14:paraId="4D46312F">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② 投诉书内容符合《政府采购质疑和投诉办法》（财政部令第94号令）的规定；</w:t>
      </w:r>
    </w:p>
    <w:p w14:paraId="5F3E295C">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③ 在投诉有效期限内提起投诉；</w:t>
      </w:r>
    </w:p>
    <w:p w14:paraId="576DF6D9">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④ 同一投诉事项未经财政部门投诉处理；</w:t>
      </w:r>
    </w:p>
    <w:p w14:paraId="244093F4">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⑤ 财政部规定的其他条件。</w:t>
      </w:r>
    </w:p>
    <w:p w14:paraId="53EB9CA0">
      <w:pPr>
        <w:spacing w:line="440" w:lineRule="exact"/>
        <w:ind w:firstLine="480"/>
        <w:rPr>
          <w:rFonts w:hint="eastAsia" w:ascii="黑体" w:hAnsi="黑体" w:eastAsia="黑体" w:cs="黑体"/>
          <w:color w:val="auto"/>
          <w:sz w:val="24"/>
          <w:highlight w:val="none"/>
        </w:rPr>
      </w:pPr>
      <w:r>
        <w:rPr>
          <w:rFonts w:hint="eastAsia" w:ascii="黑体" w:hAnsi="黑体" w:eastAsia="黑体" w:cs="黑体"/>
          <w:color w:val="auto"/>
          <w:sz w:val="24"/>
          <w:highlight w:val="none"/>
        </w:rPr>
        <w:t>（5）投标人投诉的事项不得超出已质疑事项的范围，但基于质疑答复内容提出的投诉事项除外。</w:t>
      </w:r>
    </w:p>
    <w:p w14:paraId="3A3CA7B6">
      <w:pPr>
        <w:spacing w:before="312" w:beforeLines="100" w:after="156" w:afterLines="50" w:line="440" w:lineRule="exact"/>
        <w:jc w:val="center"/>
        <w:outlineLvl w:val="0"/>
        <w:rPr>
          <w:rFonts w:hint="eastAsia" w:ascii="黑体" w:hAnsi="黑体" w:eastAsia="黑体" w:cs="黑体"/>
          <w:b/>
          <w:color w:val="auto"/>
          <w:sz w:val="28"/>
          <w:szCs w:val="28"/>
          <w:highlight w:val="none"/>
        </w:rPr>
      </w:pPr>
      <w:bookmarkStart w:id="135" w:name="_Toc245657546"/>
      <w:bookmarkStart w:id="136" w:name="_Toc244623584"/>
      <w:bookmarkStart w:id="137" w:name="_Toc207897909"/>
      <w:bookmarkStart w:id="138" w:name="_Toc245176658"/>
      <w:bookmarkStart w:id="139" w:name="_Toc208337157"/>
      <w:bookmarkStart w:id="140" w:name="_Toc245658527"/>
    </w:p>
    <w:p w14:paraId="1F64E568">
      <w:pPr>
        <w:pStyle w:val="2"/>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br w:type="page"/>
      </w:r>
    </w:p>
    <w:bookmarkEnd w:id="22"/>
    <w:bookmarkEnd w:id="23"/>
    <w:bookmarkEnd w:id="135"/>
    <w:bookmarkEnd w:id="136"/>
    <w:bookmarkEnd w:id="137"/>
    <w:bookmarkEnd w:id="138"/>
    <w:bookmarkEnd w:id="139"/>
    <w:bookmarkEnd w:id="140"/>
    <w:p w14:paraId="0B71F14E">
      <w:pPr>
        <w:numPr>
          <w:ilvl w:val="0"/>
          <w:numId w:val="0"/>
        </w:numPr>
        <w:jc w:val="center"/>
        <w:rPr>
          <w:rFonts w:hint="eastAsia" w:ascii="黑体" w:hAnsi="黑体" w:eastAsia="黑体" w:cs="黑体"/>
          <w:sz w:val="36"/>
          <w:szCs w:val="36"/>
          <w:highlight w:val="none"/>
        </w:rPr>
      </w:pPr>
      <w:r>
        <w:rPr>
          <w:rFonts w:hint="eastAsia" w:ascii="黑体" w:hAnsi="黑体" w:eastAsia="黑体" w:cs="黑体"/>
          <w:b/>
          <w:bCs/>
          <w:color w:val="auto"/>
          <w:sz w:val="36"/>
          <w:szCs w:val="36"/>
          <w:highlight w:val="none"/>
          <w:lang w:val="en-US" w:eastAsia="zh-CN"/>
        </w:rPr>
        <w:t>第三章</w:t>
      </w:r>
      <w:r>
        <w:rPr>
          <w:rFonts w:hint="eastAsia" w:ascii="黑体" w:hAnsi="黑体" w:eastAsia="黑体" w:cs="黑体"/>
          <w:b/>
          <w:bCs/>
          <w:color w:val="auto"/>
          <w:sz w:val="36"/>
          <w:szCs w:val="36"/>
          <w:highlight w:val="none"/>
          <w:lang w:val="zh-CN"/>
        </w:rPr>
        <w:t xml:space="preserve"> </w:t>
      </w:r>
      <w:r>
        <w:rPr>
          <w:rFonts w:hint="eastAsia" w:ascii="黑体" w:hAnsi="黑体" w:eastAsia="黑体" w:cs="黑体"/>
          <w:b/>
          <w:bCs/>
          <w:color w:val="auto"/>
          <w:kern w:val="2"/>
          <w:sz w:val="36"/>
          <w:szCs w:val="36"/>
          <w:highlight w:val="none"/>
        </w:rPr>
        <w:t>采购内容及</w:t>
      </w:r>
      <w:r>
        <w:rPr>
          <w:rFonts w:hint="eastAsia" w:ascii="黑体" w:hAnsi="黑体" w:eastAsia="黑体" w:cs="黑体"/>
          <w:b/>
          <w:bCs/>
          <w:color w:val="auto"/>
          <w:kern w:val="2"/>
          <w:sz w:val="36"/>
          <w:szCs w:val="36"/>
          <w:highlight w:val="none"/>
          <w:lang w:eastAsia="zh-CN"/>
        </w:rPr>
        <w:t>技术</w:t>
      </w:r>
      <w:r>
        <w:rPr>
          <w:rFonts w:hint="eastAsia" w:ascii="黑体" w:hAnsi="黑体" w:eastAsia="黑体" w:cs="黑体"/>
          <w:b/>
          <w:bCs/>
          <w:color w:val="auto"/>
          <w:kern w:val="2"/>
          <w:sz w:val="36"/>
          <w:szCs w:val="36"/>
          <w:highlight w:val="none"/>
        </w:rPr>
        <w:t>要求</w:t>
      </w:r>
    </w:p>
    <w:p w14:paraId="0BFBCF7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黑体" w:hAnsi="黑体" w:eastAsia="黑体" w:cs="黑体"/>
          <w:b/>
          <w:bCs/>
          <w:sz w:val="24"/>
          <w:szCs w:val="24"/>
          <w:highlight w:val="none"/>
          <w:lang w:val="en-US" w:eastAsia="zh-CN"/>
        </w:rPr>
      </w:pPr>
    </w:p>
    <w:p w14:paraId="68758EDC">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 xml:space="preserve"> 项目概况</w:t>
      </w:r>
    </w:p>
    <w:p w14:paraId="7A8029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w:t>
      </w:r>
      <w:r>
        <w:rPr>
          <w:rFonts w:hint="eastAsia" w:ascii="黑体" w:hAnsi="黑体" w:eastAsia="黑体" w:cs="黑体"/>
          <w:b/>
          <w:bCs/>
          <w:sz w:val="24"/>
          <w:szCs w:val="24"/>
          <w:highlight w:val="none"/>
          <w:lang w:val="en-US" w:eastAsia="zh-CN"/>
        </w:rPr>
        <w:t>、项目名称</w:t>
      </w:r>
      <w:r>
        <w:rPr>
          <w:rFonts w:hint="eastAsia" w:ascii="黑体" w:hAnsi="黑体" w:eastAsia="黑体" w:cs="黑体"/>
          <w:sz w:val="24"/>
          <w:szCs w:val="24"/>
          <w:highlight w:val="none"/>
          <w:lang w:val="en-US" w:eastAsia="zh-CN"/>
        </w:rPr>
        <w:t>：汉阴县第二高级中学食堂食材配送及食堂劳务采购项目（二次）</w:t>
      </w:r>
    </w:p>
    <w:p w14:paraId="7351E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w:t>
      </w:r>
      <w:r>
        <w:rPr>
          <w:rFonts w:hint="eastAsia" w:ascii="黑体" w:hAnsi="黑体" w:eastAsia="黑体" w:cs="黑体"/>
          <w:b/>
          <w:bCs/>
          <w:sz w:val="24"/>
          <w:szCs w:val="24"/>
          <w:highlight w:val="none"/>
          <w:lang w:val="en-US" w:eastAsia="zh-CN"/>
        </w:rPr>
        <w:t>、包号及名称</w:t>
      </w:r>
      <w:r>
        <w:rPr>
          <w:rFonts w:hint="eastAsia" w:ascii="黑体" w:hAnsi="黑体" w:eastAsia="黑体" w:cs="黑体"/>
          <w:sz w:val="24"/>
          <w:szCs w:val="24"/>
          <w:highlight w:val="none"/>
          <w:lang w:val="en-US" w:eastAsia="zh-CN"/>
        </w:rPr>
        <w:t>：（1包：食堂劳务服务购买）</w:t>
      </w:r>
    </w:p>
    <w:p w14:paraId="49B7E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3、预算金额：</w:t>
      </w:r>
      <w:r>
        <w:rPr>
          <w:rFonts w:hint="eastAsia" w:ascii="黑体" w:hAnsi="黑体" w:eastAsia="黑体" w:cs="黑体"/>
          <w:sz w:val="24"/>
          <w:szCs w:val="24"/>
          <w:highlight w:val="none"/>
          <w:lang w:val="en-US" w:eastAsia="zh-CN"/>
        </w:rPr>
        <w:t>577791.04元；</w:t>
      </w:r>
    </w:p>
    <w:p w14:paraId="56CB08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4、服务地点：</w:t>
      </w:r>
      <w:r>
        <w:rPr>
          <w:rFonts w:hint="eastAsia" w:ascii="黑体" w:hAnsi="黑体" w:eastAsia="黑体" w:cs="黑体"/>
          <w:sz w:val="24"/>
          <w:szCs w:val="24"/>
          <w:highlight w:val="none"/>
          <w:lang w:val="en-US" w:eastAsia="zh-CN"/>
        </w:rPr>
        <w:t>采购人指定地点。</w:t>
      </w:r>
    </w:p>
    <w:p w14:paraId="54520D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w:t>
      </w:r>
      <w:r>
        <w:rPr>
          <w:rFonts w:hint="eastAsia" w:ascii="黑体" w:hAnsi="黑体" w:eastAsia="黑体" w:cs="黑体"/>
          <w:b/>
          <w:bCs/>
          <w:sz w:val="24"/>
          <w:szCs w:val="24"/>
          <w:highlight w:val="none"/>
          <w:lang w:val="en-US" w:eastAsia="zh-CN"/>
        </w:rPr>
        <w:t>、服务期限：</w:t>
      </w:r>
      <w:r>
        <w:rPr>
          <w:rFonts w:hint="eastAsia" w:ascii="黑体" w:hAnsi="黑体" w:eastAsia="黑体" w:cs="黑体"/>
          <w:sz w:val="24"/>
          <w:szCs w:val="24"/>
          <w:highlight w:val="none"/>
          <w:lang w:val="en-US" w:eastAsia="zh-CN"/>
        </w:rPr>
        <w:t>本次服务期为1年，2024年秋季学期开始至2025年春季学期末（具体服务起止日期可随合同签订时间相应顺延）</w:t>
      </w:r>
    </w:p>
    <w:p w14:paraId="330B01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b/>
          <w:bCs/>
          <w:sz w:val="24"/>
          <w:szCs w:val="24"/>
          <w:highlight w:val="none"/>
          <w:lang w:val="en-US" w:eastAsia="zh-CN"/>
        </w:rPr>
        <w:t>6、采购内容：</w:t>
      </w:r>
      <w:r>
        <w:rPr>
          <w:rFonts w:hint="eastAsia" w:ascii="黑体" w:hAnsi="黑体" w:eastAsia="黑体" w:cs="黑体"/>
          <w:sz w:val="24"/>
          <w:szCs w:val="24"/>
          <w:highlight w:val="none"/>
          <w:lang w:val="en-US" w:eastAsia="zh-CN"/>
        </w:rPr>
        <w:t>现需对汉阴县第二高级中学食堂的餐饮服务进行劳务外包。采购人提供加工场所及相应的设施设备和水、电、气等资源。由中标供应商委派专业厨房工作人员及食堂管理人员对食堂的餐饮服务提供服务 （包括食材加工、食堂餐厅、食堂餐厅外围环境卫生保洁及相关工作。）</w:t>
      </w:r>
    </w:p>
    <w:p w14:paraId="56B06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7、人员配备：拟派本项目的人员必须至少满足以下类别和数量（实际配备数量基于下表可能略有浮动，最终以采购人实际需求人数为准）</w:t>
      </w:r>
    </w:p>
    <w:tbl>
      <w:tblPr>
        <w:tblStyle w:val="22"/>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2"/>
        <w:gridCol w:w="1288"/>
        <w:gridCol w:w="1078"/>
        <w:gridCol w:w="3759"/>
      </w:tblGrid>
      <w:tr w14:paraId="4CF4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773F">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24E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4E1">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单位</w:t>
            </w:r>
          </w:p>
        </w:tc>
        <w:tc>
          <w:tcPr>
            <w:tcW w:w="3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04F8">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备注</w:t>
            </w:r>
          </w:p>
        </w:tc>
      </w:tr>
      <w:tr w14:paraId="1A9A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F91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主厨工资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488C">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A64">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3FD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按1年10个月计算，其中含每月300元绩效考核，一年每人：3000元</w:t>
            </w:r>
          </w:p>
        </w:tc>
      </w:tr>
      <w:tr w14:paraId="592E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01F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食堂从业人员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471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9A00">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BC53">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按1年10个月计算，其中含每人每月300元绩效考核，一年每人：3000元</w:t>
            </w:r>
          </w:p>
        </w:tc>
      </w:tr>
      <w:tr w14:paraId="6861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121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从业人员</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工作服、帽子、鞋子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F9B2">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5E4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1B7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1年1人4套（春秋每人2套，冬季每人2套）</w:t>
            </w:r>
          </w:p>
        </w:tc>
      </w:tr>
      <w:tr w14:paraId="3246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048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食堂从业人员</w:t>
            </w:r>
            <w:r>
              <w:rPr>
                <w:rFonts w:hint="eastAsia" w:ascii="黑体" w:hAnsi="黑体" w:eastAsia="黑体" w:cs="黑体"/>
                <w:i w:val="0"/>
                <w:iCs w:val="0"/>
                <w:color w:val="000000"/>
                <w:kern w:val="0"/>
                <w:sz w:val="24"/>
                <w:szCs w:val="24"/>
                <w:u w:val="none"/>
                <w:lang w:val="en-US" w:eastAsia="zh-CN" w:bidi="ar"/>
              </w:rPr>
              <w:br w:type="textWrapping"/>
            </w:r>
            <w:r>
              <w:rPr>
                <w:rFonts w:hint="eastAsia" w:ascii="黑体" w:hAnsi="黑体" w:eastAsia="黑体" w:cs="黑体"/>
                <w:i w:val="0"/>
                <w:iCs w:val="0"/>
                <w:color w:val="000000"/>
                <w:kern w:val="0"/>
                <w:sz w:val="24"/>
                <w:szCs w:val="24"/>
                <w:u w:val="none"/>
                <w:lang w:val="en-US" w:eastAsia="zh-CN" w:bidi="ar"/>
              </w:rPr>
              <w:t>食品操作知识培训费用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4F1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3A59">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人*年</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EBD">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按1年2次计算（每学期1次、两学期）</w:t>
            </w:r>
          </w:p>
        </w:tc>
      </w:tr>
      <w:tr w14:paraId="077F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479">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社会保险（含养老、工伤、失业、意外保险）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5A4F">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5011">
            <w:pPr>
              <w:keepNext w:val="0"/>
              <w:keepLines w:val="0"/>
              <w:widowControl/>
              <w:suppressLineNumbers w:val="0"/>
              <w:jc w:val="center"/>
              <w:textAlignment w:val="center"/>
              <w:rPr>
                <w:rFonts w:hint="default"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人</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6B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黑体" w:hAnsi="黑体" w:eastAsia="黑体" w:cs="黑体"/>
                <w:i w:val="0"/>
                <w:iCs w:val="0"/>
                <w:color w:val="000000"/>
                <w:kern w:val="0"/>
                <w:sz w:val="24"/>
                <w:szCs w:val="24"/>
                <w:u w:val="none"/>
                <w:lang w:val="en-US" w:eastAsia="zh-CN" w:bidi="ar"/>
              </w:rPr>
              <w:t>按1年12个月计算</w:t>
            </w:r>
          </w:p>
        </w:tc>
      </w:tr>
    </w:tbl>
    <w:p w14:paraId="21D6498D">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款项结算：服务费按月结算支付，根据月内实际餐饮服务人员人数以及服务质量的考核检查情况进行付款：</w:t>
      </w:r>
    </w:p>
    <w:p w14:paraId="01FADA66">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1）食堂餐饮服务从业人员人数配备：每100名用餐人数配备1名食堂从业人员，用餐人数《150人按1人配备，用餐人数&gt;150人按2人配备，实际食堂从业人员劳务结算根据实际用餐人数配备的餐饮服务人员数核算服务费。</w:t>
      </w:r>
    </w:p>
    <w:p w14:paraId="1CAA0CEE">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黑体" w:hAnsi="黑体" w:eastAsia="黑体" w:cs="黑体"/>
          <w:sz w:val="24"/>
          <w:szCs w:val="24"/>
          <w:highlight w:val="none"/>
          <w:lang w:val="en-US"/>
        </w:rPr>
      </w:pPr>
      <w:r>
        <w:rPr>
          <w:rFonts w:hint="eastAsia" w:ascii="黑体" w:hAnsi="黑体" w:eastAsia="黑体" w:cs="黑体"/>
          <w:sz w:val="24"/>
          <w:szCs w:val="24"/>
          <w:highlight w:val="none"/>
          <w:lang w:val="en-US" w:eastAsia="zh-CN"/>
        </w:rPr>
        <w:t>（2）学生放假时间用餐服务费用按加班天数计算，加班每日餐饮服务费用核算按：根据实际学生用餐数配备的从业人员数x从业人员的基本人员日工资。</w:t>
      </w:r>
    </w:p>
    <w:p w14:paraId="160C852D">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（3）服务</w:t>
      </w:r>
      <w:r>
        <w:rPr>
          <w:rFonts w:hint="eastAsia" w:ascii="黑体" w:hAnsi="黑体" w:eastAsia="黑体" w:cs="黑体"/>
          <w:sz w:val="24"/>
          <w:szCs w:val="24"/>
          <w:highlight w:val="none"/>
        </w:rPr>
        <w:t>费按</w:t>
      </w:r>
      <w:r>
        <w:rPr>
          <w:rFonts w:hint="eastAsia" w:ascii="黑体" w:hAnsi="黑体" w:eastAsia="黑体" w:cs="黑体"/>
          <w:sz w:val="24"/>
          <w:szCs w:val="24"/>
          <w:highlight w:val="none"/>
          <w:lang w:eastAsia="zh-CN"/>
        </w:rPr>
        <w:t>月</w:t>
      </w:r>
      <w:r>
        <w:rPr>
          <w:rFonts w:hint="eastAsia" w:ascii="黑体" w:hAnsi="黑体" w:eastAsia="黑体" w:cs="黑体"/>
          <w:sz w:val="24"/>
          <w:szCs w:val="24"/>
          <w:highlight w:val="none"/>
        </w:rPr>
        <w:t>计算，</w:t>
      </w:r>
      <w:r>
        <w:rPr>
          <w:rFonts w:hint="eastAsia" w:ascii="黑体" w:hAnsi="黑体" w:eastAsia="黑体" w:cs="黑体"/>
          <w:sz w:val="24"/>
          <w:szCs w:val="24"/>
          <w:highlight w:val="none"/>
          <w:lang w:eastAsia="zh-CN"/>
        </w:rPr>
        <w:t>不满</w:t>
      </w:r>
      <w:r>
        <w:rPr>
          <w:rFonts w:hint="eastAsia" w:ascii="黑体" w:hAnsi="黑体" w:eastAsia="黑体" w:cs="黑体"/>
          <w:sz w:val="24"/>
          <w:szCs w:val="24"/>
          <w:highlight w:val="none"/>
          <w:lang w:val="en-US" w:eastAsia="zh-CN"/>
        </w:rPr>
        <w:t>1</w:t>
      </w:r>
      <w:r>
        <w:rPr>
          <w:rFonts w:hint="eastAsia" w:ascii="黑体" w:hAnsi="黑体" w:eastAsia="黑体" w:cs="黑体"/>
          <w:sz w:val="24"/>
          <w:szCs w:val="24"/>
          <w:highlight w:val="none"/>
        </w:rPr>
        <w:t>个月</w:t>
      </w:r>
      <w:r>
        <w:rPr>
          <w:rFonts w:hint="eastAsia" w:ascii="黑体" w:hAnsi="黑体" w:eastAsia="黑体" w:cs="黑体"/>
          <w:sz w:val="24"/>
          <w:szCs w:val="24"/>
          <w:highlight w:val="none"/>
          <w:lang w:eastAsia="zh-CN"/>
        </w:rPr>
        <w:t>的按照下列第</w:t>
      </w:r>
      <w:r>
        <w:rPr>
          <w:rFonts w:hint="eastAsia" w:ascii="黑体" w:hAnsi="黑体" w:eastAsia="黑体" w:cs="黑体"/>
          <w:sz w:val="24"/>
          <w:szCs w:val="24"/>
          <w:highlight w:val="none"/>
          <w:lang w:val="en-US" w:eastAsia="zh-CN"/>
        </w:rPr>
        <w:t>（4）条</w:t>
      </w:r>
      <w:r>
        <w:rPr>
          <w:rFonts w:hint="eastAsia" w:ascii="黑体" w:hAnsi="黑体" w:eastAsia="黑体" w:cs="黑体"/>
          <w:sz w:val="24"/>
          <w:szCs w:val="24"/>
          <w:highlight w:val="none"/>
        </w:rPr>
        <w:t>给乙方</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费</w:t>
      </w:r>
      <w:r>
        <w:rPr>
          <w:rFonts w:hint="eastAsia" w:ascii="黑体" w:hAnsi="黑体" w:eastAsia="黑体" w:cs="黑体"/>
          <w:sz w:val="24"/>
          <w:szCs w:val="24"/>
          <w:highlight w:val="none"/>
          <w:lang w:eastAsia="zh-CN"/>
        </w:rPr>
        <w:t>。</w:t>
      </w:r>
    </w:p>
    <w:p w14:paraId="5FC6D756">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（4）</w:t>
      </w:r>
      <w:r>
        <w:rPr>
          <w:rFonts w:hint="eastAsia" w:ascii="黑体" w:hAnsi="黑体" w:eastAsia="黑体" w:cs="黑体"/>
          <w:color w:val="000000"/>
          <w:sz w:val="24"/>
          <w:szCs w:val="24"/>
          <w:highlight w:val="none"/>
        </w:rPr>
        <w:t>双休和节假日加班</w:t>
      </w:r>
      <w:r>
        <w:rPr>
          <w:rFonts w:hint="eastAsia" w:ascii="黑体" w:hAnsi="黑体" w:eastAsia="黑体" w:cs="黑体"/>
          <w:color w:val="000000"/>
          <w:sz w:val="24"/>
          <w:szCs w:val="24"/>
          <w:highlight w:val="none"/>
          <w:lang w:eastAsia="zh-CN"/>
        </w:rPr>
        <w:t>费用</w:t>
      </w:r>
      <w:r>
        <w:rPr>
          <w:rFonts w:hint="eastAsia" w:ascii="黑体" w:hAnsi="黑体" w:eastAsia="黑体" w:cs="黑体"/>
          <w:color w:val="000000"/>
          <w:sz w:val="24"/>
          <w:szCs w:val="24"/>
          <w:highlight w:val="none"/>
        </w:rPr>
        <w:t>按</w:t>
      </w:r>
      <w:r>
        <w:rPr>
          <w:rFonts w:hint="eastAsia" w:ascii="黑体" w:hAnsi="黑体" w:eastAsia="黑体" w:cs="黑体"/>
          <w:color w:val="000000"/>
          <w:sz w:val="24"/>
          <w:szCs w:val="24"/>
          <w:highlight w:val="none"/>
          <w:lang w:eastAsia="zh-CN"/>
        </w:rPr>
        <w:t>：月总</w:t>
      </w:r>
      <w:r>
        <w:rPr>
          <w:rFonts w:hint="eastAsia" w:ascii="黑体" w:hAnsi="黑体" w:eastAsia="黑体" w:cs="黑体"/>
          <w:color w:val="000000"/>
          <w:sz w:val="24"/>
          <w:szCs w:val="24"/>
          <w:highlight w:val="none"/>
          <w:lang w:val="en-US" w:eastAsia="zh-CN"/>
        </w:rPr>
        <w:t>服务</w:t>
      </w:r>
      <w:r>
        <w:rPr>
          <w:rFonts w:hint="eastAsia" w:ascii="黑体" w:hAnsi="黑体" w:eastAsia="黑体" w:cs="黑体"/>
          <w:color w:val="000000"/>
          <w:sz w:val="24"/>
          <w:szCs w:val="24"/>
          <w:highlight w:val="none"/>
          <w:lang w:eastAsia="zh-CN"/>
        </w:rPr>
        <w:t>费÷师生总数÷每月天数×加班用餐人数×加班天数进行核算</w:t>
      </w:r>
      <w:r>
        <w:rPr>
          <w:rFonts w:hint="eastAsia" w:ascii="黑体" w:hAnsi="黑体" w:eastAsia="黑体" w:cs="黑体"/>
          <w:color w:val="000000"/>
          <w:sz w:val="24"/>
          <w:szCs w:val="24"/>
          <w:highlight w:val="none"/>
        </w:rPr>
        <w:t>。</w:t>
      </w:r>
    </w:p>
    <w:p w14:paraId="5B7C326E">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甲方根据检查结果与相关扣罚情况，将考核结果告知乙方，乙方开具正式税务发票交</w:t>
      </w:r>
      <w:r>
        <w:rPr>
          <w:rFonts w:hint="eastAsia" w:ascii="黑体" w:hAnsi="黑体" w:eastAsia="黑体" w:cs="黑体"/>
          <w:sz w:val="24"/>
          <w:szCs w:val="24"/>
          <w:highlight w:val="none"/>
          <w:lang w:val="en-US" w:eastAsia="zh-CN"/>
        </w:rPr>
        <w:t>甲方</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甲方</w:t>
      </w:r>
      <w:r>
        <w:rPr>
          <w:rFonts w:hint="eastAsia" w:ascii="黑体" w:hAnsi="黑体" w:eastAsia="黑体" w:cs="黑体"/>
          <w:sz w:val="24"/>
          <w:szCs w:val="24"/>
          <w:highlight w:val="none"/>
        </w:rPr>
        <w:t>在收到</w:t>
      </w:r>
      <w:r>
        <w:rPr>
          <w:rFonts w:hint="eastAsia" w:ascii="黑体" w:hAnsi="黑体" w:eastAsia="黑体" w:cs="黑体"/>
          <w:sz w:val="24"/>
          <w:szCs w:val="24"/>
          <w:highlight w:val="none"/>
          <w:lang w:val="en-US" w:eastAsia="zh-CN"/>
        </w:rPr>
        <w:t>乙方</w:t>
      </w:r>
      <w:r>
        <w:rPr>
          <w:rFonts w:hint="eastAsia" w:ascii="黑体" w:hAnsi="黑体" w:eastAsia="黑体" w:cs="黑体"/>
          <w:sz w:val="24"/>
          <w:szCs w:val="24"/>
          <w:highlight w:val="none"/>
        </w:rPr>
        <w:t>发票</w:t>
      </w:r>
      <w:r>
        <w:rPr>
          <w:rFonts w:hint="eastAsia" w:ascii="黑体" w:hAnsi="黑体" w:eastAsia="黑体" w:cs="黑体"/>
          <w:sz w:val="24"/>
          <w:szCs w:val="24"/>
          <w:highlight w:val="none"/>
          <w:lang w:val="en-US" w:eastAsia="zh-CN"/>
        </w:rPr>
        <w:t>后</w:t>
      </w:r>
      <w:r>
        <w:rPr>
          <w:rFonts w:hint="eastAsia" w:ascii="黑体" w:hAnsi="黑体" w:eastAsia="黑体" w:cs="黑体"/>
          <w:sz w:val="24"/>
          <w:szCs w:val="24"/>
          <w:highlight w:val="none"/>
        </w:rPr>
        <w:t>办理支付手续</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费</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付款方式为次月15日前</w:t>
      </w:r>
      <w:r>
        <w:rPr>
          <w:rFonts w:hint="eastAsia" w:ascii="黑体" w:hAnsi="黑体" w:eastAsia="黑体" w:cs="黑体"/>
          <w:sz w:val="24"/>
          <w:szCs w:val="24"/>
          <w:highlight w:val="none"/>
          <w:lang w:val="en-US" w:eastAsia="zh-CN"/>
        </w:rPr>
        <w:t>通过银行转账给乙方。</w:t>
      </w:r>
    </w:p>
    <w:p w14:paraId="5CD77B03">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（6）投标报价应包含完成本次采购项目的所有费用。费用包含：人工费、利润、社会保险、从业人员工作服、帽子、鞋子、食堂从业人员食品操作知识培训费用和税金等。</w:t>
      </w:r>
    </w:p>
    <w:p w14:paraId="2E9AA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二、服务内容</w:t>
      </w:r>
    </w:p>
    <w:p w14:paraId="673DE6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1、投标人负责食堂的餐厨服务、食品安全及日常管理工作，主要包括以下内容：</w:t>
      </w:r>
    </w:p>
    <w:p w14:paraId="76B64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（1） 负责制作并供应正常工作目的早餐、午餐；</w:t>
      </w:r>
    </w:p>
    <w:p w14:paraId="34C4AE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（2）负责职工食堂操作间、就餐区的食品卫生安全和管理；</w:t>
      </w:r>
    </w:p>
    <w:p w14:paraId="393B30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（3）负责食堂操作间、就餐区各类设施设备的管理；</w:t>
      </w:r>
    </w:p>
    <w:p w14:paraId="11C5D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 负责其它与食堂相关的业务。</w:t>
      </w:r>
    </w:p>
    <w:p w14:paraId="0D3668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2、劳务服务期间，食堂的设施、设备、场地和水、电、气、暖由投标人无偿使用，</w:t>
      </w:r>
    </w:p>
    <w:p w14:paraId="4D7CC4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釆购方免费为服务人员提供早、午餐、晚餐，并为服务团队人员提供住宿场地。</w:t>
      </w:r>
    </w:p>
    <w:p w14:paraId="1D1754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3、按照人员就餐情况测算配备餐饮服务人员数量，可由采购人根据各个食堂的运</w:t>
      </w:r>
    </w:p>
    <w:p w14:paraId="0D5F68F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行情况，调配用工人员的数量及服务场所。最终结算金额按照实际用工数验收合格后结算。</w:t>
      </w:r>
    </w:p>
    <w:p w14:paraId="3581B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乙方组织食堂从业人员进行食材加工，按照甲方食谱供餐。每周实行五天工作制（周五供应早午餐，工作结束时间15:00，每周收假前一天工作自16:00开始工作供应晚餐，工作量计入周五，不另外支付费用）。节假日涉及调休，按调休工作日正常上班，不计为加班。</w:t>
      </w:r>
    </w:p>
    <w:p w14:paraId="0B221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黑体"/>
          <w:b/>
          <w:bCs/>
          <w:color w:val="auto"/>
          <w:sz w:val="24"/>
          <w:highlight w:val="none"/>
          <w:lang w:val="en-US" w:eastAsia="zh-CN"/>
        </w:rPr>
      </w:pPr>
      <w:r>
        <w:rPr>
          <w:rFonts w:hint="eastAsia" w:ascii="黑体" w:hAnsi="黑体" w:eastAsia="黑体" w:cs="黑体"/>
          <w:b/>
          <w:bCs/>
          <w:color w:val="auto"/>
          <w:sz w:val="24"/>
          <w:highlight w:val="none"/>
          <w:lang w:val="en-US" w:eastAsia="zh-CN"/>
        </w:rPr>
        <w:t>三、工作相关要求：</w:t>
      </w:r>
    </w:p>
    <w:p w14:paraId="3B8F4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1、每天从业人员工作时间能确保学校开餐时间正常开餐。</w:t>
      </w:r>
    </w:p>
    <w:p w14:paraId="53963F49">
      <w:pPr>
        <w:numPr>
          <w:ilvl w:val="0"/>
          <w:numId w:val="0"/>
        </w:numPr>
        <w:bidi w:val="0"/>
        <w:spacing w:line="360" w:lineRule="auto"/>
        <w:ind w:firstLine="720" w:firstLineChars="3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2、以上配置所有人员必须具备下列要求：</w:t>
      </w:r>
    </w:p>
    <w:p w14:paraId="458E5A54">
      <w:pPr>
        <w:numPr>
          <w:ilvl w:val="0"/>
          <w:numId w:val="0"/>
        </w:numPr>
        <w:bidi w:val="0"/>
        <w:spacing w:line="360" w:lineRule="auto"/>
        <w:ind w:firstLine="480" w:firstLineChars="2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（1）具有在有效期内的健康证；</w:t>
      </w:r>
    </w:p>
    <w:p w14:paraId="466A8D1A">
      <w:pPr>
        <w:numPr>
          <w:ilvl w:val="0"/>
          <w:numId w:val="0"/>
        </w:numPr>
        <w:bidi w:val="0"/>
        <w:spacing w:line="360" w:lineRule="auto"/>
        <w:ind w:firstLine="480" w:firstLineChars="2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（2）必须遵守有关管理的纪律要求，严格执行保密协议的有关规定；</w:t>
      </w:r>
    </w:p>
    <w:p w14:paraId="1A27C810">
      <w:pPr>
        <w:numPr>
          <w:ilvl w:val="0"/>
          <w:numId w:val="0"/>
        </w:numPr>
        <w:bidi w:val="0"/>
        <w:spacing w:line="360" w:lineRule="auto"/>
        <w:ind w:firstLine="480" w:firstLineChars="2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 xml:space="preserve">（3）服务期限内提供餐饮服务人员身份证明等资料，餐饮服务人员未经采购人方同意不得随意变化，相对固定。 </w:t>
      </w:r>
    </w:p>
    <w:p w14:paraId="5BE9EB41">
      <w:pPr>
        <w:numPr>
          <w:ilvl w:val="0"/>
          <w:numId w:val="0"/>
        </w:numPr>
        <w:bidi w:val="0"/>
        <w:spacing w:line="360" w:lineRule="auto"/>
        <w:ind w:firstLine="720" w:firstLineChars="3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(4)拟投入的餐饮服务人员须符合劳动法规定的用工年龄。任何与人员有关的意外，伤害，劳务纠纷，都需投标人承担。</w:t>
      </w:r>
    </w:p>
    <w:p w14:paraId="1501AAB4">
      <w:pPr>
        <w:numPr>
          <w:ilvl w:val="0"/>
          <w:numId w:val="0"/>
        </w:numPr>
        <w:bidi w:val="0"/>
        <w:spacing w:line="360" w:lineRule="auto"/>
        <w:ind w:firstLine="480" w:firstLineChars="2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（5）所有人员必须按卫生部门规定进行健康体检，取得卫生防疫部门出具的在有效期内的健康证</w:t>
      </w:r>
    </w:p>
    <w:p w14:paraId="14180EAF">
      <w:pPr>
        <w:numPr>
          <w:ilvl w:val="0"/>
          <w:numId w:val="0"/>
        </w:numPr>
        <w:bidi w:val="0"/>
        <w:spacing w:line="360" w:lineRule="auto"/>
        <w:ind w:firstLine="480" w:firstLineChars="200"/>
        <w:rPr>
          <w:rFonts w:hint="eastAsia" w:ascii="黑体" w:hAnsi="黑体" w:eastAsia="黑体" w:cs="黑体"/>
          <w:sz w:val="24"/>
          <w:szCs w:val="32"/>
          <w:highlight w:val="none"/>
          <w:lang w:val="en-US" w:eastAsia="zh-CN"/>
        </w:rPr>
      </w:pPr>
      <w:r>
        <w:rPr>
          <w:rFonts w:hint="eastAsia" w:ascii="黑体" w:hAnsi="黑体" w:eastAsia="黑体" w:cs="黑体"/>
          <w:sz w:val="24"/>
          <w:szCs w:val="32"/>
          <w:highlight w:val="none"/>
          <w:lang w:val="en-US" w:eastAsia="zh-CN"/>
        </w:rPr>
        <w:t>（6）工作期间，工作人员必须统一着装，并佩戴卫生防护用品。</w:t>
      </w:r>
    </w:p>
    <w:p w14:paraId="30A79947">
      <w:pPr>
        <w:numPr>
          <w:ilvl w:val="0"/>
          <w:numId w:val="0"/>
        </w:numPr>
        <w:bidi w:val="0"/>
        <w:spacing w:line="360" w:lineRule="auto"/>
        <w:ind w:firstLine="480" w:firstLineChars="200"/>
        <w:rPr>
          <w:rFonts w:hint="default" w:ascii="黑体" w:hAnsi="黑体" w:eastAsia="黑体" w:cs="黑体"/>
          <w:sz w:val="24"/>
          <w:szCs w:val="32"/>
          <w:highlight w:val="none"/>
          <w:lang w:val="en-US" w:eastAsia="zh-CN"/>
        </w:rPr>
      </w:pPr>
    </w:p>
    <w:p w14:paraId="6B637262">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7F93BBBB">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093F6E85">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5D70C3B8">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0CD9C14C">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2FA03D05">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12BC00AD">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3FA2DCB3">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13A1935B">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055E5536">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6F8F1042">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0D220EC9">
      <w:pPr>
        <w:spacing w:line="360" w:lineRule="auto"/>
        <w:ind w:firstLine="2891" w:firstLineChars="800"/>
        <w:jc w:val="both"/>
        <w:rPr>
          <w:rFonts w:hint="eastAsia" w:ascii="黑体" w:hAnsi="黑体" w:eastAsia="黑体" w:cs="黑体"/>
          <w:b/>
          <w:bCs/>
          <w:color w:val="auto"/>
          <w:sz w:val="36"/>
          <w:szCs w:val="36"/>
          <w:highlight w:val="none"/>
          <w:lang w:val="en-US" w:eastAsia="zh-CN"/>
        </w:rPr>
      </w:pPr>
    </w:p>
    <w:p w14:paraId="6BFFDDAA">
      <w:pPr>
        <w:spacing w:line="360" w:lineRule="auto"/>
        <w:jc w:val="both"/>
        <w:rPr>
          <w:rFonts w:hint="eastAsia" w:ascii="黑体" w:hAnsi="黑体" w:eastAsia="黑体" w:cs="黑体"/>
          <w:b/>
          <w:bCs/>
          <w:color w:val="auto"/>
          <w:sz w:val="36"/>
          <w:szCs w:val="36"/>
          <w:highlight w:val="none"/>
          <w:lang w:val="en-US" w:eastAsia="zh-CN"/>
        </w:rPr>
      </w:pPr>
    </w:p>
    <w:p w14:paraId="62760D6F">
      <w:pPr>
        <w:spacing w:line="360" w:lineRule="auto"/>
        <w:ind w:firstLine="2891" w:firstLineChars="800"/>
        <w:jc w:val="both"/>
        <w:rPr>
          <w:rFonts w:hint="eastAsia" w:ascii="黑体" w:hAnsi="黑体" w:eastAsia="黑体" w:cs="黑体"/>
          <w:b/>
          <w:bCs/>
          <w:color w:val="auto"/>
          <w:sz w:val="36"/>
          <w:szCs w:val="36"/>
          <w:highlight w:val="none"/>
          <w:lang w:val="zh-CN" w:eastAsia="zh-CN"/>
        </w:rPr>
      </w:pPr>
      <w:r>
        <w:rPr>
          <w:rFonts w:hint="eastAsia" w:ascii="黑体" w:hAnsi="黑体" w:eastAsia="黑体" w:cs="黑体"/>
          <w:b/>
          <w:bCs/>
          <w:color w:val="auto"/>
          <w:sz w:val="36"/>
          <w:szCs w:val="36"/>
          <w:highlight w:val="none"/>
          <w:lang w:val="en-US" w:eastAsia="zh-CN"/>
        </w:rPr>
        <w:t>第四章</w:t>
      </w:r>
      <w:r>
        <w:rPr>
          <w:rFonts w:hint="eastAsia" w:ascii="黑体" w:hAnsi="黑体" w:eastAsia="黑体" w:cs="黑体"/>
          <w:b/>
          <w:bCs/>
          <w:color w:val="auto"/>
          <w:sz w:val="36"/>
          <w:szCs w:val="36"/>
          <w:highlight w:val="none"/>
          <w:lang w:val="zh-CN"/>
        </w:rPr>
        <w:t xml:space="preserve"> </w:t>
      </w:r>
      <w:r>
        <w:rPr>
          <w:rFonts w:hint="eastAsia" w:ascii="黑体" w:hAnsi="黑体" w:eastAsia="黑体" w:cs="黑体"/>
          <w:b/>
          <w:bCs/>
          <w:color w:val="auto"/>
          <w:kern w:val="2"/>
          <w:sz w:val="36"/>
          <w:szCs w:val="36"/>
          <w:highlight w:val="none"/>
          <w:lang w:val="en-US" w:eastAsia="zh-CN"/>
        </w:rPr>
        <w:t>主要合同条款</w:t>
      </w:r>
    </w:p>
    <w:p w14:paraId="049F281F">
      <w:pPr>
        <w:spacing w:line="360" w:lineRule="auto"/>
        <w:ind w:firstLine="482" w:firstLineChars="200"/>
        <w:jc w:val="center"/>
        <w:rPr>
          <w:rFonts w:hint="eastAsia" w:ascii="黑体" w:hAnsi="黑体" w:eastAsia="黑体" w:cs="黑体"/>
          <w:b/>
          <w:bCs/>
          <w:color w:val="auto"/>
          <w:sz w:val="24"/>
          <w:szCs w:val="24"/>
          <w:highlight w:val="none"/>
          <w:lang w:val="zh-CN"/>
        </w:rPr>
      </w:pPr>
      <w:r>
        <w:rPr>
          <w:rFonts w:hint="eastAsia" w:ascii="黑体" w:hAnsi="黑体" w:eastAsia="黑体" w:cs="黑体"/>
          <w:b/>
          <w:bCs/>
          <w:color w:val="auto"/>
          <w:sz w:val="24"/>
          <w:szCs w:val="24"/>
          <w:highlight w:val="none"/>
          <w:lang w:val="zh-CN"/>
        </w:rPr>
        <w:t>（</w:t>
      </w:r>
      <w:r>
        <w:rPr>
          <w:rFonts w:hint="eastAsia" w:ascii="黑体" w:hAnsi="黑体" w:eastAsia="黑体" w:cs="黑体"/>
          <w:b/>
          <w:bCs/>
          <w:color w:val="auto"/>
          <w:sz w:val="24"/>
          <w:szCs w:val="24"/>
          <w:highlight w:val="none"/>
          <w:lang w:val="en-US" w:eastAsia="zh-CN"/>
        </w:rPr>
        <w:t>本合同模板仅为合同的参考文本，合同签订双方可根据项目的具体要求进行修改</w:t>
      </w:r>
      <w:r>
        <w:rPr>
          <w:rFonts w:hint="eastAsia" w:ascii="黑体" w:hAnsi="黑体" w:eastAsia="黑体" w:cs="黑体"/>
          <w:b/>
          <w:bCs/>
          <w:color w:val="auto"/>
          <w:sz w:val="24"/>
          <w:szCs w:val="24"/>
          <w:highlight w:val="none"/>
          <w:lang w:val="zh-CN"/>
        </w:rPr>
        <w:t>）</w:t>
      </w:r>
    </w:p>
    <w:p w14:paraId="673983DF">
      <w:pPr>
        <w:spacing w:line="360" w:lineRule="auto"/>
        <w:ind w:firstLine="723" w:firstLineChars="200"/>
        <w:jc w:val="center"/>
        <w:rPr>
          <w:rFonts w:hint="eastAsia" w:ascii="黑体" w:hAnsi="黑体" w:eastAsia="黑体" w:cs="黑体"/>
          <w:b/>
          <w:bCs/>
          <w:color w:val="auto"/>
          <w:sz w:val="36"/>
          <w:szCs w:val="36"/>
          <w:highlight w:val="none"/>
          <w:lang w:val="zh-CN"/>
        </w:rPr>
      </w:pPr>
    </w:p>
    <w:p w14:paraId="2707A51B">
      <w:pPr>
        <w:jc w:val="center"/>
        <w:rPr>
          <w:rFonts w:hint="eastAsia" w:ascii="黑体" w:hAnsi="黑体" w:eastAsia="黑体" w:cs="黑体"/>
          <w:b/>
          <w:sz w:val="72"/>
          <w:szCs w:val="72"/>
          <w:highlight w:val="none"/>
        </w:rPr>
      </w:pPr>
    </w:p>
    <w:p w14:paraId="1D8806DD">
      <w:pPr>
        <w:jc w:val="center"/>
        <w:rPr>
          <w:rFonts w:hint="eastAsia" w:ascii="黑体" w:hAnsi="黑体" w:eastAsia="黑体" w:cs="黑体"/>
          <w:b/>
          <w:sz w:val="52"/>
          <w:szCs w:val="52"/>
          <w:highlight w:val="none"/>
          <w:lang w:val="en-US" w:eastAsia="zh-CN"/>
        </w:rPr>
      </w:pPr>
      <w:r>
        <w:rPr>
          <w:rFonts w:hint="eastAsia" w:ascii="黑体" w:hAnsi="黑体" w:eastAsia="黑体" w:cs="黑体"/>
          <w:b/>
          <w:sz w:val="52"/>
          <w:szCs w:val="52"/>
          <w:highlight w:val="none"/>
        </w:rPr>
        <w:t xml:space="preserve"> 合同</w:t>
      </w:r>
      <w:r>
        <w:rPr>
          <w:rFonts w:hint="eastAsia" w:ascii="黑体" w:hAnsi="黑体" w:eastAsia="黑体" w:cs="黑体"/>
          <w:b/>
          <w:sz w:val="52"/>
          <w:szCs w:val="52"/>
          <w:highlight w:val="none"/>
          <w:lang w:val="en-US" w:eastAsia="zh-CN"/>
        </w:rPr>
        <w:t>协议书</w:t>
      </w:r>
    </w:p>
    <w:p w14:paraId="43F898ED">
      <w:pPr>
        <w:jc w:val="center"/>
        <w:rPr>
          <w:rFonts w:hint="eastAsia" w:ascii="黑体" w:hAnsi="黑体" w:eastAsia="黑体" w:cs="黑体"/>
          <w:sz w:val="30"/>
          <w:szCs w:val="30"/>
          <w:highlight w:val="none"/>
        </w:rPr>
      </w:pPr>
    </w:p>
    <w:p w14:paraId="16876094">
      <w:pPr>
        <w:jc w:val="center"/>
        <w:rPr>
          <w:rFonts w:hint="eastAsia" w:ascii="黑体" w:hAnsi="黑体" w:eastAsia="黑体" w:cs="黑体"/>
          <w:sz w:val="30"/>
          <w:szCs w:val="30"/>
          <w:highlight w:val="none"/>
        </w:rPr>
      </w:pPr>
    </w:p>
    <w:p w14:paraId="61F86BD5">
      <w:pPr>
        <w:jc w:val="center"/>
        <w:rPr>
          <w:rFonts w:hint="eastAsia" w:ascii="黑体" w:hAnsi="黑体" w:eastAsia="黑体" w:cs="黑体"/>
          <w:sz w:val="30"/>
          <w:szCs w:val="30"/>
          <w:highlight w:val="none"/>
        </w:rPr>
      </w:pPr>
    </w:p>
    <w:p w14:paraId="7B9E8DDF">
      <w:pPr>
        <w:jc w:val="center"/>
        <w:rPr>
          <w:rFonts w:hint="eastAsia" w:ascii="黑体" w:hAnsi="黑体" w:eastAsia="黑体" w:cs="黑体"/>
          <w:sz w:val="30"/>
          <w:szCs w:val="30"/>
          <w:highlight w:val="none"/>
        </w:rPr>
      </w:pPr>
    </w:p>
    <w:p w14:paraId="13CA026C">
      <w:pPr>
        <w:jc w:val="center"/>
        <w:rPr>
          <w:rFonts w:hint="eastAsia" w:ascii="黑体" w:hAnsi="黑体" w:eastAsia="黑体" w:cs="黑体"/>
          <w:sz w:val="30"/>
          <w:szCs w:val="30"/>
          <w:highlight w:val="none"/>
        </w:rPr>
      </w:pPr>
    </w:p>
    <w:p w14:paraId="2D21F201">
      <w:pPr>
        <w:jc w:val="center"/>
        <w:rPr>
          <w:rFonts w:hint="eastAsia" w:ascii="黑体" w:hAnsi="黑体" w:eastAsia="黑体" w:cs="黑体"/>
          <w:sz w:val="30"/>
          <w:szCs w:val="30"/>
          <w:highlight w:val="none"/>
        </w:rPr>
      </w:pPr>
    </w:p>
    <w:p w14:paraId="490C19D5">
      <w:pPr>
        <w:jc w:val="center"/>
        <w:rPr>
          <w:rFonts w:hint="eastAsia" w:ascii="黑体" w:hAnsi="黑体" w:eastAsia="黑体" w:cs="黑体"/>
          <w:sz w:val="30"/>
          <w:szCs w:val="30"/>
          <w:highlight w:val="none"/>
        </w:rPr>
      </w:pPr>
    </w:p>
    <w:p w14:paraId="4514870F">
      <w:pPr>
        <w:jc w:val="center"/>
        <w:rPr>
          <w:rFonts w:hint="eastAsia" w:ascii="黑体" w:hAnsi="黑体" w:eastAsia="黑体" w:cs="黑体"/>
          <w:sz w:val="30"/>
          <w:szCs w:val="30"/>
          <w:highlight w:val="none"/>
        </w:rPr>
      </w:pPr>
    </w:p>
    <w:p w14:paraId="284D9ADC">
      <w:pPr>
        <w:jc w:val="center"/>
        <w:rPr>
          <w:rFonts w:hint="eastAsia" w:ascii="黑体" w:hAnsi="黑体" w:eastAsia="黑体" w:cs="黑体"/>
          <w:sz w:val="30"/>
          <w:szCs w:val="30"/>
          <w:highlight w:val="none"/>
        </w:rPr>
      </w:pPr>
    </w:p>
    <w:p w14:paraId="3B9528D7">
      <w:pPr>
        <w:tabs>
          <w:tab w:val="left" w:pos="480"/>
        </w:tabs>
        <w:ind w:firstLine="1920" w:firstLineChars="600"/>
        <w:rPr>
          <w:rFonts w:hint="eastAsia" w:ascii="黑体" w:hAnsi="黑体" w:eastAsia="黑体" w:cs="黑体"/>
          <w:sz w:val="32"/>
          <w:szCs w:val="32"/>
          <w:highlight w:val="none"/>
        </w:rPr>
      </w:pPr>
      <w:r>
        <w:rPr>
          <w:rFonts w:hint="eastAsia" w:ascii="黑体" w:hAnsi="黑体" w:eastAsia="黑体" w:cs="黑体"/>
          <w:sz w:val="32"/>
          <w:szCs w:val="32"/>
          <w:highlight w:val="none"/>
        </w:rPr>
        <w:t>甲  方：</w:t>
      </w:r>
      <w:r>
        <w:rPr>
          <w:rFonts w:hint="eastAsia" w:ascii="黑体" w:hAnsi="黑体" w:eastAsia="黑体" w:cs="黑体"/>
          <w:sz w:val="32"/>
          <w:szCs w:val="32"/>
          <w:highlight w:val="none"/>
          <w:lang w:eastAsia="zh-CN"/>
        </w:rPr>
        <w:t>汉阴县第二高级中学</w:t>
      </w:r>
      <w:r>
        <w:rPr>
          <w:rFonts w:hint="eastAsia" w:ascii="黑体" w:hAnsi="黑体" w:eastAsia="黑体" w:cs="黑体"/>
          <w:sz w:val="32"/>
          <w:szCs w:val="32"/>
          <w:highlight w:val="none"/>
        </w:rPr>
        <w:t xml:space="preserve">     </w:t>
      </w:r>
    </w:p>
    <w:p w14:paraId="65FB1C62">
      <w:pPr>
        <w:tabs>
          <w:tab w:val="left" w:pos="480"/>
        </w:tabs>
        <w:ind w:firstLine="640" w:firstLineChars="200"/>
        <w:rPr>
          <w:rFonts w:hint="eastAsia" w:ascii="黑体" w:hAnsi="黑体" w:eastAsia="黑体" w:cs="黑体"/>
          <w:sz w:val="32"/>
          <w:szCs w:val="32"/>
          <w:highlight w:val="none"/>
        </w:rPr>
      </w:pPr>
    </w:p>
    <w:p w14:paraId="67BDF614">
      <w:pPr>
        <w:tabs>
          <w:tab w:val="left" w:pos="480"/>
        </w:tabs>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乙  方：</w:t>
      </w:r>
    </w:p>
    <w:p w14:paraId="08629F5D">
      <w:pPr>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w:t>
      </w:r>
    </w:p>
    <w:p w14:paraId="7488F470">
      <w:pPr>
        <w:ind w:firstLine="1920" w:firstLineChars="6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时  间：</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年</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 xml:space="preserve"> 月</w:t>
      </w:r>
      <w:r>
        <w:rPr>
          <w:rFonts w:hint="eastAsia" w:ascii="黑体" w:hAnsi="黑体" w:eastAsia="黑体" w:cs="黑体"/>
          <w:sz w:val="32"/>
          <w:szCs w:val="32"/>
          <w:highlight w:val="none"/>
          <w:lang w:val="en-US" w:eastAsia="zh-CN"/>
        </w:rPr>
        <w:t xml:space="preserve">   日</w:t>
      </w:r>
    </w:p>
    <w:p w14:paraId="1A5C9A69">
      <w:pPr>
        <w:rPr>
          <w:rFonts w:hint="eastAsia" w:ascii="黑体" w:hAnsi="黑体" w:eastAsia="黑体" w:cs="黑体"/>
          <w:b/>
          <w:sz w:val="36"/>
          <w:szCs w:val="36"/>
          <w:highlight w:val="none"/>
        </w:rPr>
      </w:pPr>
    </w:p>
    <w:p w14:paraId="374E753A">
      <w:pPr>
        <w:rPr>
          <w:rFonts w:hint="eastAsia" w:ascii="黑体" w:hAnsi="黑体" w:eastAsia="黑体" w:cs="黑体"/>
          <w:b/>
          <w:sz w:val="24"/>
          <w:szCs w:val="24"/>
          <w:highlight w:val="none"/>
        </w:rPr>
      </w:pPr>
      <w:r>
        <w:rPr>
          <w:rFonts w:hint="eastAsia" w:ascii="黑体" w:hAnsi="黑体" w:eastAsia="黑体" w:cs="黑体"/>
          <w:b/>
          <w:sz w:val="24"/>
          <w:szCs w:val="24"/>
          <w:highlight w:val="none"/>
        </w:rPr>
        <w:br w:type="page"/>
      </w:r>
    </w:p>
    <w:p w14:paraId="0ED61D10">
      <w:pPr>
        <w:spacing w:line="360" w:lineRule="auto"/>
        <w:ind w:firstLine="482" w:firstLineChars="200"/>
        <w:rPr>
          <w:rFonts w:hint="eastAsia" w:ascii="黑体" w:hAnsi="黑体" w:eastAsia="黑体" w:cs="黑体"/>
          <w:b/>
          <w:sz w:val="24"/>
          <w:szCs w:val="24"/>
          <w:highlight w:val="none"/>
          <w:lang w:val="en-US" w:eastAsia="zh-CN"/>
        </w:rPr>
      </w:pPr>
      <w:r>
        <w:rPr>
          <w:rFonts w:hint="eastAsia" w:ascii="黑体" w:hAnsi="黑体" w:eastAsia="黑体" w:cs="黑体"/>
          <w:b/>
          <w:sz w:val="24"/>
          <w:szCs w:val="24"/>
          <w:highlight w:val="none"/>
        </w:rPr>
        <w:t>甲方</w:t>
      </w:r>
      <w:r>
        <w:rPr>
          <w:rFonts w:hint="eastAsia" w:ascii="黑体" w:hAnsi="黑体" w:eastAsia="黑体" w:cs="黑体"/>
          <w:b/>
          <w:sz w:val="24"/>
          <w:szCs w:val="24"/>
          <w:highlight w:val="none"/>
          <w:lang w:eastAsia="zh-CN"/>
        </w:rPr>
        <w:t>（</w:t>
      </w:r>
      <w:r>
        <w:rPr>
          <w:rFonts w:hint="eastAsia" w:ascii="黑体" w:hAnsi="黑体" w:eastAsia="黑体" w:cs="黑体"/>
          <w:b/>
          <w:sz w:val="24"/>
          <w:szCs w:val="24"/>
          <w:highlight w:val="none"/>
          <w:lang w:val="en-US" w:eastAsia="zh-CN"/>
        </w:rPr>
        <w:t>采购人</w:t>
      </w:r>
      <w:r>
        <w:rPr>
          <w:rFonts w:hint="eastAsia" w:ascii="黑体" w:hAnsi="黑体" w:eastAsia="黑体" w:cs="黑体"/>
          <w:b/>
          <w:sz w:val="24"/>
          <w:szCs w:val="24"/>
          <w:highlight w:val="none"/>
          <w:lang w:eastAsia="zh-CN"/>
        </w:rPr>
        <w:t>）</w:t>
      </w:r>
      <w:r>
        <w:rPr>
          <w:rFonts w:hint="eastAsia" w:ascii="黑体" w:hAnsi="黑体" w:eastAsia="黑体" w:cs="黑体"/>
          <w:b/>
          <w:sz w:val="24"/>
          <w:szCs w:val="24"/>
          <w:highlight w:val="none"/>
        </w:rPr>
        <w:t>：</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p>
    <w:p w14:paraId="257F4AF7">
      <w:pPr>
        <w:spacing w:line="360" w:lineRule="auto"/>
        <w:ind w:firstLine="482" w:firstLineChars="200"/>
        <w:rPr>
          <w:rFonts w:hint="eastAsia" w:ascii="黑体" w:hAnsi="黑体" w:eastAsia="黑体" w:cs="黑体"/>
          <w:sz w:val="24"/>
          <w:szCs w:val="24"/>
          <w:highlight w:val="none"/>
        </w:rPr>
      </w:pPr>
      <w:r>
        <w:rPr>
          <w:rFonts w:hint="eastAsia" w:ascii="黑体" w:hAnsi="黑体" w:eastAsia="黑体" w:cs="黑体"/>
          <w:b/>
          <w:sz w:val="24"/>
          <w:szCs w:val="24"/>
          <w:highlight w:val="none"/>
        </w:rPr>
        <w:t>乙方</w:t>
      </w:r>
      <w:r>
        <w:rPr>
          <w:rFonts w:hint="eastAsia" w:ascii="黑体" w:hAnsi="黑体" w:eastAsia="黑体" w:cs="黑体"/>
          <w:b/>
          <w:sz w:val="24"/>
          <w:szCs w:val="24"/>
          <w:highlight w:val="none"/>
          <w:lang w:eastAsia="zh-CN"/>
        </w:rPr>
        <w:t>（</w:t>
      </w:r>
      <w:r>
        <w:rPr>
          <w:rFonts w:hint="eastAsia" w:ascii="黑体" w:hAnsi="黑体" w:eastAsia="黑体" w:cs="黑体"/>
          <w:b/>
          <w:sz w:val="24"/>
          <w:szCs w:val="24"/>
          <w:highlight w:val="none"/>
          <w:lang w:val="en-US" w:eastAsia="zh-CN"/>
        </w:rPr>
        <w:t>成交供应商</w:t>
      </w:r>
      <w:r>
        <w:rPr>
          <w:rFonts w:hint="eastAsia" w:ascii="黑体" w:hAnsi="黑体" w:eastAsia="黑体" w:cs="黑体"/>
          <w:b/>
          <w:sz w:val="24"/>
          <w:szCs w:val="24"/>
          <w:highlight w:val="none"/>
          <w:lang w:eastAsia="zh-CN"/>
        </w:rPr>
        <w:t>）</w:t>
      </w:r>
      <w:r>
        <w:rPr>
          <w:rFonts w:hint="eastAsia" w:ascii="黑体" w:hAnsi="黑体" w:eastAsia="黑体" w:cs="黑体"/>
          <w:sz w:val="24"/>
          <w:szCs w:val="24"/>
          <w:highlight w:val="none"/>
        </w:rPr>
        <w:t>：</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rPr>
        <w:t xml:space="preserve">     </w:t>
      </w:r>
    </w:p>
    <w:p w14:paraId="027017AC">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根据《中华人民共和国政府采购法》及实施条例、《中华人民共和国民法典》及其他有关法律、法规，和甲方就项目</w:t>
      </w:r>
      <w:r>
        <w:rPr>
          <w:rFonts w:hint="eastAsia" w:ascii="黑体" w:hAnsi="黑体" w:eastAsia="黑体" w:cs="黑体"/>
          <w:sz w:val="24"/>
          <w:szCs w:val="24"/>
          <w:highlight w:val="none"/>
          <w:u w:val="single"/>
        </w:rPr>
        <w:t>（项目</w:t>
      </w:r>
      <w:r>
        <w:rPr>
          <w:rFonts w:hint="eastAsia" w:ascii="黑体" w:hAnsi="黑体" w:eastAsia="黑体" w:cs="黑体"/>
          <w:sz w:val="24"/>
          <w:szCs w:val="24"/>
          <w:highlight w:val="none"/>
          <w:u w:val="single"/>
          <w:lang w:val="en-US" w:eastAsia="zh-CN"/>
        </w:rPr>
        <w:t>名称、编号、包号</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w:t>
      </w:r>
      <w:r>
        <w:rPr>
          <w:rFonts w:hint="eastAsia" w:ascii="黑体" w:hAnsi="黑体" w:eastAsia="黑体" w:cs="黑体"/>
          <w:sz w:val="24"/>
          <w:szCs w:val="24"/>
          <w:highlight w:val="none"/>
        </w:rPr>
        <w:t>的招标、投标文件，为保证甲方采购项目的顺利实施，遵循平等、自愿、公平和诚信的原则，</w:t>
      </w:r>
    </w:p>
    <w:p w14:paraId="1F4D7A0E">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甲、乙双方同意签订本合同，并共同遵守如下条款：</w:t>
      </w:r>
    </w:p>
    <w:p w14:paraId="1F31CF4C">
      <w:pPr>
        <w:adjustRightInd w:val="0"/>
        <w:snapToGrid w:val="0"/>
        <w:spacing w:line="540" w:lineRule="atLeast"/>
        <w:rPr>
          <w:rFonts w:hint="eastAsia" w:ascii="黑体" w:hAnsi="黑体" w:eastAsia="黑体" w:cs="黑体"/>
          <w:b/>
          <w:sz w:val="24"/>
          <w:szCs w:val="24"/>
          <w:highlight w:val="none"/>
        </w:rPr>
      </w:pPr>
      <w:r>
        <w:rPr>
          <w:rFonts w:hint="eastAsia" w:ascii="黑体" w:hAnsi="黑体" w:eastAsia="黑体" w:cs="黑体"/>
          <w:sz w:val="24"/>
          <w:szCs w:val="24"/>
          <w:highlight w:val="none"/>
        </w:rPr>
        <w:t xml:space="preserve">    </w:t>
      </w:r>
      <w:r>
        <w:rPr>
          <w:rFonts w:hint="eastAsia" w:ascii="黑体" w:hAnsi="黑体" w:eastAsia="黑体" w:cs="黑体"/>
          <w:b/>
          <w:sz w:val="24"/>
          <w:szCs w:val="24"/>
          <w:highlight w:val="none"/>
        </w:rPr>
        <w:t xml:space="preserve">一、合同期限  </w:t>
      </w:r>
    </w:p>
    <w:p w14:paraId="24FD9476">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乙方</w:t>
      </w:r>
      <w:r>
        <w:rPr>
          <w:rFonts w:hint="eastAsia" w:ascii="黑体" w:hAnsi="黑体" w:eastAsia="黑体" w:cs="黑体"/>
          <w:sz w:val="24"/>
          <w:szCs w:val="24"/>
          <w:highlight w:val="none"/>
          <w:lang w:val="en-US" w:eastAsia="zh-CN"/>
        </w:rPr>
        <w:t>为甲方</w:t>
      </w:r>
      <w:r>
        <w:rPr>
          <w:rFonts w:hint="eastAsia" w:ascii="黑体" w:hAnsi="黑体" w:eastAsia="黑体" w:cs="黑体"/>
          <w:sz w:val="24"/>
          <w:szCs w:val="24"/>
          <w:highlight w:val="none"/>
        </w:rPr>
        <w:t>食堂</w:t>
      </w:r>
      <w:r>
        <w:rPr>
          <w:rFonts w:hint="eastAsia" w:ascii="黑体" w:hAnsi="黑体" w:eastAsia="黑体" w:cs="黑体"/>
          <w:sz w:val="24"/>
          <w:szCs w:val="24"/>
          <w:highlight w:val="none"/>
          <w:lang w:val="en-US" w:eastAsia="zh-CN"/>
        </w:rPr>
        <w:t>提供餐饮服务</w:t>
      </w:r>
      <w:r>
        <w:rPr>
          <w:rFonts w:hint="eastAsia" w:ascii="黑体" w:hAnsi="黑体" w:eastAsia="黑体" w:cs="黑体"/>
          <w:sz w:val="24"/>
          <w:szCs w:val="24"/>
          <w:highlight w:val="none"/>
        </w:rPr>
        <w:t>期限为</w:t>
      </w:r>
      <w:r>
        <w:rPr>
          <w:rFonts w:hint="eastAsia" w:ascii="黑体" w:hAnsi="黑体" w:eastAsia="黑体" w:cs="黑体"/>
          <w:sz w:val="24"/>
          <w:szCs w:val="24"/>
          <w:highlight w:val="none"/>
          <w:u w:val="single"/>
        </w:rPr>
        <w:t>壹学年</w:t>
      </w:r>
      <w:r>
        <w:rPr>
          <w:rFonts w:hint="eastAsia" w:ascii="黑体" w:hAnsi="黑体" w:eastAsia="黑体" w:cs="黑体"/>
          <w:sz w:val="24"/>
          <w:szCs w:val="24"/>
          <w:highlight w:val="none"/>
        </w:rPr>
        <w:t>。</w:t>
      </w:r>
      <w:r>
        <w:rPr>
          <w:rFonts w:hint="eastAsia" w:ascii="黑体" w:hAnsi="黑体" w:eastAsia="黑体" w:cs="黑体"/>
          <w:sz w:val="24"/>
          <w:szCs w:val="24"/>
          <w:highlight w:val="none"/>
          <w:u w:val="single"/>
        </w:rPr>
        <w:t>自</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年</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月</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 xml:space="preserve">日至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年</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月</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日</w:t>
      </w:r>
      <w:r>
        <w:rPr>
          <w:rFonts w:hint="eastAsia" w:ascii="黑体" w:hAnsi="黑体" w:eastAsia="黑体" w:cs="黑体"/>
          <w:sz w:val="24"/>
          <w:szCs w:val="24"/>
          <w:highlight w:val="none"/>
        </w:rPr>
        <w:t>内有效，过期自行终止。</w:t>
      </w:r>
    </w:p>
    <w:p w14:paraId="13CE5DF8">
      <w:pPr>
        <w:numPr>
          <w:ilvl w:val="0"/>
          <w:numId w:val="8"/>
        </w:numPr>
        <w:adjustRightInd w:val="0"/>
        <w:snapToGrid w:val="0"/>
        <w:spacing w:line="540" w:lineRule="atLeast"/>
        <w:ind w:left="0" w:leftChars="0" w:firstLine="482" w:firstLineChars="200"/>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t xml:space="preserve">服务范围 </w:t>
      </w:r>
    </w:p>
    <w:p w14:paraId="382825FC">
      <w:pPr>
        <w:numPr>
          <w:ilvl w:val="0"/>
          <w:numId w:val="10"/>
        </w:num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按照甲方餐饮服务需求，乙方为甲方提供学校师生早餐、中餐及晚餐。</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乙方组织</w:t>
      </w:r>
      <w:r>
        <w:rPr>
          <w:rFonts w:hint="eastAsia" w:ascii="黑体" w:hAnsi="黑体" w:eastAsia="黑体" w:cs="黑体"/>
          <w:sz w:val="24"/>
          <w:szCs w:val="24"/>
          <w:highlight w:val="none"/>
          <w:lang w:val="en-US" w:eastAsia="zh-CN"/>
        </w:rPr>
        <w:t>餐饮服务</w:t>
      </w:r>
      <w:r>
        <w:rPr>
          <w:rFonts w:hint="eastAsia" w:ascii="黑体" w:hAnsi="黑体" w:eastAsia="黑体" w:cs="黑体"/>
          <w:sz w:val="24"/>
          <w:szCs w:val="24"/>
          <w:highlight w:val="none"/>
        </w:rPr>
        <w:t>人员进行食材加工，按照甲方食谱供餐。每周实行五天工作制（周五供应早午餐，工作结束时间15:00，每周收假前一天工作自16:00开始工作供应晚餐，工作量计入周五，不另外支付费用）。节假日涉及调休，按调休工作日正常上班，不计为加班</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 xml:space="preserve">。 </w:t>
      </w:r>
    </w:p>
    <w:p w14:paraId="50F1AD16">
      <w:pPr>
        <w:numPr>
          <w:ilvl w:val="0"/>
          <w:numId w:val="10"/>
        </w:num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乙方自行聘请</w:t>
      </w:r>
      <w:r>
        <w:rPr>
          <w:rFonts w:hint="eastAsia" w:ascii="黑体" w:hAnsi="黑体" w:eastAsia="黑体" w:cs="黑体"/>
          <w:sz w:val="24"/>
          <w:szCs w:val="24"/>
          <w:highlight w:val="none"/>
          <w:lang w:val="en-US" w:eastAsia="zh-CN"/>
        </w:rPr>
        <w:t>餐饮服务人员</w:t>
      </w:r>
      <w:r>
        <w:rPr>
          <w:rFonts w:hint="eastAsia" w:ascii="黑体" w:hAnsi="黑体" w:eastAsia="黑体" w:cs="黑体"/>
          <w:sz w:val="24"/>
          <w:szCs w:val="24"/>
          <w:highlight w:val="none"/>
        </w:rPr>
        <w:t>，并与</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人员签订劳动合同，甲方有权加强监督管理。</w:t>
      </w:r>
    </w:p>
    <w:p w14:paraId="1B750948">
      <w:pPr>
        <w:numPr>
          <w:ilvl w:val="0"/>
          <w:numId w:val="8"/>
        </w:numPr>
        <w:adjustRightInd w:val="0"/>
        <w:snapToGrid w:val="0"/>
        <w:spacing w:line="540" w:lineRule="atLeast"/>
        <w:ind w:left="0" w:leftChars="0" w:firstLine="482" w:firstLineChars="200"/>
        <w:rPr>
          <w:rFonts w:hint="eastAsia" w:ascii="黑体" w:hAnsi="黑体" w:eastAsia="黑体" w:cs="黑体"/>
          <w:b/>
          <w:bCs/>
          <w:sz w:val="24"/>
          <w:szCs w:val="24"/>
          <w:highlight w:val="none"/>
        </w:rPr>
      </w:pPr>
      <w:r>
        <w:rPr>
          <w:rFonts w:hint="eastAsia" w:ascii="黑体" w:hAnsi="黑体" w:eastAsia="黑体" w:cs="黑体"/>
          <w:b/>
          <w:bCs/>
          <w:sz w:val="24"/>
          <w:szCs w:val="24"/>
          <w:highlight w:val="none"/>
        </w:rPr>
        <w:t>合同价款</w:t>
      </w:r>
      <w:r>
        <w:rPr>
          <w:rFonts w:hint="eastAsia" w:ascii="黑体" w:hAnsi="黑体" w:eastAsia="黑体" w:cs="黑体"/>
          <w:b/>
          <w:bCs/>
          <w:sz w:val="24"/>
          <w:szCs w:val="24"/>
          <w:highlight w:val="none"/>
          <w:lang w:val="en-US" w:eastAsia="zh-CN"/>
        </w:rPr>
        <w:t>及付款方式</w:t>
      </w:r>
      <w:r>
        <w:rPr>
          <w:rFonts w:hint="eastAsia" w:ascii="黑体" w:hAnsi="黑体" w:eastAsia="黑体" w:cs="黑体"/>
          <w:b/>
          <w:bCs/>
          <w:sz w:val="24"/>
          <w:szCs w:val="24"/>
          <w:highlight w:val="none"/>
        </w:rPr>
        <w:t xml:space="preserve"> </w:t>
      </w:r>
    </w:p>
    <w:p w14:paraId="18FF6308">
      <w:pPr>
        <w:pStyle w:val="105"/>
        <w:keepNext w:val="0"/>
        <w:keepLines w:val="0"/>
        <w:pageBreakBefore w:val="0"/>
        <w:kinsoku/>
        <w:wordWrap/>
        <w:overflowPunct/>
        <w:topLinePunct w:val="0"/>
        <w:autoSpaceDE/>
        <w:autoSpaceDN/>
        <w:bidi w:val="0"/>
        <w:spacing w:before="0" w:beforeAutospacing="0" w:after="0" w:afterAutospacing="0" w:line="480" w:lineRule="exact"/>
        <w:ind w:firstLine="482" w:firstLineChars="200"/>
        <w:jc w:val="both"/>
        <w:textAlignment w:val="auto"/>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1、服务费按月结算支付，根据月内实际餐饮服务人员人数以及服务质量的考核检查情况进行付款：</w:t>
      </w:r>
    </w:p>
    <w:p w14:paraId="1FA2A6EA">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合同价款采取按月支付方式。</w:t>
      </w:r>
      <w:r>
        <w:rPr>
          <w:rFonts w:hint="eastAsia" w:ascii="黑体" w:hAnsi="黑体" w:eastAsia="黑体" w:cs="黑体"/>
          <w:sz w:val="24"/>
          <w:szCs w:val="24"/>
          <w:highlight w:val="none"/>
        </w:rPr>
        <w:t>甲方每月付给乙方</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费用人民币</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lang w:val="en-US" w:eastAsia="zh-CN"/>
        </w:rPr>
        <w:t>大</w:t>
      </w:r>
      <w:r>
        <w:rPr>
          <w:rFonts w:hint="eastAsia" w:ascii="黑体" w:hAnsi="黑体" w:eastAsia="黑体" w:cs="黑体"/>
          <w:sz w:val="24"/>
          <w:szCs w:val="24"/>
          <w:highlight w:val="none"/>
        </w:rPr>
        <w:t xml:space="preserve">写：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其中</w:t>
      </w:r>
      <w:r>
        <w:rPr>
          <w:rFonts w:hint="eastAsia" w:ascii="黑体" w:hAnsi="黑体" w:eastAsia="黑体" w:cs="黑体"/>
          <w:sz w:val="24"/>
          <w:szCs w:val="24"/>
          <w:highlight w:val="none"/>
          <w:lang w:val="en-US" w:eastAsia="zh-CN"/>
        </w:rPr>
        <w:t>含餐饮服务</w:t>
      </w:r>
      <w:r>
        <w:rPr>
          <w:rFonts w:hint="eastAsia" w:ascii="黑体" w:hAnsi="黑体" w:eastAsia="黑体" w:cs="黑体"/>
          <w:sz w:val="24"/>
          <w:szCs w:val="24"/>
          <w:highlight w:val="none"/>
        </w:rPr>
        <w:t>费用</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rPr>
        <w:t>元、</w:t>
      </w:r>
      <w:r>
        <w:rPr>
          <w:rFonts w:hint="eastAsia" w:ascii="黑体" w:hAnsi="黑体" w:eastAsia="黑体" w:cs="黑体"/>
          <w:sz w:val="24"/>
          <w:szCs w:val="24"/>
          <w:highlight w:val="none"/>
          <w:lang w:eastAsia="zh-CN"/>
        </w:rPr>
        <w:t>绩效</w:t>
      </w:r>
      <w:r>
        <w:rPr>
          <w:rFonts w:hint="eastAsia" w:ascii="黑体" w:hAnsi="黑体" w:eastAsia="黑体" w:cs="黑体"/>
          <w:sz w:val="24"/>
          <w:szCs w:val="24"/>
          <w:highlight w:val="none"/>
        </w:rPr>
        <w:t>奖励</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rPr>
        <w:t>元），</w:t>
      </w:r>
      <w:r>
        <w:rPr>
          <w:rFonts w:hint="eastAsia" w:ascii="黑体" w:hAnsi="黑体" w:eastAsia="黑体" w:cs="黑体"/>
          <w:sz w:val="24"/>
          <w:szCs w:val="24"/>
          <w:highlight w:val="none"/>
          <w:lang w:eastAsia="zh-CN"/>
        </w:rPr>
        <w:t>一年共计</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费用人民币</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rPr>
        <w:t xml:space="preserve">元（大写：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eastAsia="zh-CN"/>
        </w:rPr>
        <w:t>）</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其中</w:t>
      </w:r>
      <w:r>
        <w:rPr>
          <w:rFonts w:hint="eastAsia" w:ascii="黑体" w:hAnsi="黑体" w:eastAsia="黑体" w:cs="黑体"/>
          <w:sz w:val="24"/>
          <w:szCs w:val="24"/>
          <w:highlight w:val="none"/>
          <w:lang w:val="en-US" w:eastAsia="zh-CN"/>
        </w:rPr>
        <w:t>餐饮服务</w:t>
      </w:r>
      <w:r>
        <w:rPr>
          <w:rFonts w:hint="eastAsia" w:ascii="黑体" w:hAnsi="黑体" w:eastAsia="黑体" w:cs="黑体"/>
          <w:sz w:val="24"/>
          <w:szCs w:val="24"/>
          <w:highlight w:val="none"/>
        </w:rPr>
        <w:t>费用</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元、</w:t>
      </w:r>
      <w:r>
        <w:rPr>
          <w:rFonts w:hint="eastAsia" w:ascii="黑体" w:hAnsi="黑体" w:eastAsia="黑体" w:cs="黑体"/>
          <w:sz w:val="24"/>
          <w:szCs w:val="24"/>
          <w:highlight w:val="none"/>
          <w:lang w:eastAsia="zh-CN"/>
        </w:rPr>
        <w:t>绩效</w:t>
      </w:r>
      <w:r>
        <w:rPr>
          <w:rFonts w:hint="eastAsia" w:ascii="黑体" w:hAnsi="黑体" w:eastAsia="黑体" w:cs="黑体"/>
          <w:sz w:val="24"/>
          <w:szCs w:val="24"/>
          <w:highlight w:val="none"/>
        </w:rPr>
        <w:t>奖励</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u w:val="single"/>
          <w:lang w:val="en-US" w:eastAsia="zh-CN"/>
        </w:rPr>
        <w:t xml:space="preserve">             </w:t>
      </w:r>
      <w:r>
        <w:rPr>
          <w:rFonts w:hint="eastAsia" w:ascii="黑体" w:hAnsi="黑体" w:eastAsia="黑体" w:cs="黑体"/>
          <w:sz w:val="24"/>
          <w:szCs w:val="24"/>
          <w:highlight w:val="none"/>
        </w:rPr>
        <w:t>元）</w:t>
      </w:r>
      <w:r>
        <w:rPr>
          <w:rFonts w:hint="eastAsia" w:ascii="黑体" w:hAnsi="黑体" w:eastAsia="黑体" w:cs="黑体"/>
          <w:sz w:val="24"/>
          <w:szCs w:val="24"/>
          <w:highlight w:val="none"/>
          <w:lang w:val="en-US" w:eastAsia="zh-CN"/>
        </w:rPr>
        <w:t>。</w:t>
      </w:r>
    </w:p>
    <w:p w14:paraId="017EE582">
      <w:pPr>
        <w:pStyle w:val="105"/>
        <w:keepNext w:val="0"/>
        <w:keepLines w:val="0"/>
        <w:pageBreakBefore w:val="0"/>
        <w:numPr>
          <w:ilvl w:val="0"/>
          <w:numId w:val="0"/>
        </w:numPr>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2、食堂餐饮服务从业人员人数配备：每100名用餐人数配备1名食堂从业人员，用餐人数《150人按1人配备，用餐人数&gt;150人按2人配备，实际食堂从业人员劳务结算根据实际用餐人数配备的餐饮服务人员数核算服务费。</w:t>
      </w:r>
    </w:p>
    <w:p w14:paraId="577DB695">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jc w:val="both"/>
        <w:textAlignment w:val="auto"/>
        <w:rPr>
          <w:rFonts w:hint="eastAsia" w:ascii="黑体" w:hAnsi="黑体" w:eastAsia="黑体" w:cs="黑体"/>
          <w:sz w:val="24"/>
          <w:szCs w:val="24"/>
          <w:highlight w:val="none"/>
          <w:lang w:val="en-US"/>
        </w:rPr>
      </w:pPr>
      <w:r>
        <w:rPr>
          <w:rFonts w:hint="eastAsia" w:ascii="黑体" w:hAnsi="黑体" w:eastAsia="黑体" w:cs="黑体"/>
          <w:sz w:val="24"/>
          <w:szCs w:val="24"/>
          <w:highlight w:val="none"/>
          <w:lang w:val="en-US" w:eastAsia="zh-CN"/>
        </w:rPr>
        <w:t xml:space="preserve"> 3、学生放假时间用餐服务费用按加班天数计算，加班每日餐饮服务费用核算按：根据实际学生用餐数配备的从业人员数x从业人员的基本人员日工资。</w:t>
      </w:r>
    </w:p>
    <w:p w14:paraId="4AB9F1E1">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4、服务</w:t>
      </w:r>
      <w:r>
        <w:rPr>
          <w:rFonts w:hint="eastAsia" w:ascii="黑体" w:hAnsi="黑体" w:eastAsia="黑体" w:cs="黑体"/>
          <w:sz w:val="24"/>
          <w:szCs w:val="24"/>
          <w:highlight w:val="none"/>
        </w:rPr>
        <w:t>费按</w:t>
      </w:r>
      <w:r>
        <w:rPr>
          <w:rFonts w:hint="eastAsia" w:ascii="黑体" w:hAnsi="黑体" w:eastAsia="黑体" w:cs="黑体"/>
          <w:sz w:val="24"/>
          <w:szCs w:val="24"/>
          <w:highlight w:val="none"/>
          <w:lang w:eastAsia="zh-CN"/>
        </w:rPr>
        <w:t>月</w:t>
      </w:r>
      <w:r>
        <w:rPr>
          <w:rFonts w:hint="eastAsia" w:ascii="黑体" w:hAnsi="黑体" w:eastAsia="黑体" w:cs="黑体"/>
          <w:sz w:val="24"/>
          <w:szCs w:val="24"/>
          <w:highlight w:val="none"/>
        </w:rPr>
        <w:t>计算，</w:t>
      </w:r>
      <w:r>
        <w:rPr>
          <w:rFonts w:hint="eastAsia" w:ascii="黑体" w:hAnsi="黑体" w:eastAsia="黑体" w:cs="黑体"/>
          <w:sz w:val="24"/>
          <w:szCs w:val="24"/>
          <w:highlight w:val="none"/>
          <w:lang w:eastAsia="zh-CN"/>
        </w:rPr>
        <w:t>不满</w:t>
      </w:r>
      <w:r>
        <w:rPr>
          <w:rFonts w:hint="eastAsia" w:ascii="黑体" w:hAnsi="黑体" w:eastAsia="黑体" w:cs="黑体"/>
          <w:sz w:val="24"/>
          <w:szCs w:val="24"/>
          <w:highlight w:val="none"/>
          <w:lang w:val="en-US" w:eastAsia="zh-CN"/>
        </w:rPr>
        <w:t>1</w:t>
      </w:r>
      <w:r>
        <w:rPr>
          <w:rFonts w:hint="eastAsia" w:ascii="黑体" w:hAnsi="黑体" w:eastAsia="黑体" w:cs="黑体"/>
          <w:sz w:val="24"/>
          <w:szCs w:val="24"/>
          <w:highlight w:val="none"/>
        </w:rPr>
        <w:t>个月</w:t>
      </w:r>
      <w:r>
        <w:rPr>
          <w:rFonts w:hint="eastAsia" w:ascii="黑体" w:hAnsi="黑体" w:eastAsia="黑体" w:cs="黑体"/>
          <w:sz w:val="24"/>
          <w:szCs w:val="24"/>
          <w:highlight w:val="none"/>
          <w:lang w:eastAsia="zh-CN"/>
        </w:rPr>
        <w:t>的按照下列第</w:t>
      </w:r>
      <w:r>
        <w:rPr>
          <w:rFonts w:hint="eastAsia" w:ascii="黑体" w:hAnsi="黑体" w:eastAsia="黑体" w:cs="黑体"/>
          <w:sz w:val="24"/>
          <w:szCs w:val="24"/>
          <w:highlight w:val="none"/>
          <w:lang w:val="en-US" w:eastAsia="zh-CN"/>
        </w:rPr>
        <w:t>5条</w:t>
      </w:r>
      <w:r>
        <w:rPr>
          <w:rFonts w:hint="eastAsia" w:ascii="黑体" w:hAnsi="黑体" w:eastAsia="黑体" w:cs="黑体"/>
          <w:sz w:val="24"/>
          <w:szCs w:val="24"/>
          <w:highlight w:val="none"/>
        </w:rPr>
        <w:t>给乙方</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费</w:t>
      </w:r>
      <w:r>
        <w:rPr>
          <w:rFonts w:hint="eastAsia" w:ascii="黑体" w:hAnsi="黑体" w:eastAsia="黑体" w:cs="黑体"/>
          <w:sz w:val="24"/>
          <w:szCs w:val="24"/>
          <w:highlight w:val="none"/>
          <w:lang w:eastAsia="zh-CN"/>
        </w:rPr>
        <w:t>。</w:t>
      </w:r>
    </w:p>
    <w:p w14:paraId="7DEED24E">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lang w:val="en-US" w:eastAsia="zh-CN"/>
        </w:rPr>
        <w:t>5、</w:t>
      </w:r>
      <w:r>
        <w:rPr>
          <w:rFonts w:hint="eastAsia" w:ascii="黑体" w:hAnsi="黑体" w:eastAsia="黑体" w:cs="黑体"/>
          <w:color w:val="000000"/>
          <w:sz w:val="24"/>
          <w:szCs w:val="24"/>
          <w:highlight w:val="none"/>
        </w:rPr>
        <w:t>双休和节假日加班</w:t>
      </w:r>
      <w:r>
        <w:rPr>
          <w:rFonts w:hint="eastAsia" w:ascii="黑体" w:hAnsi="黑体" w:eastAsia="黑体" w:cs="黑体"/>
          <w:color w:val="000000"/>
          <w:sz w:val="24"/>
          <w:szCs w:val="24"/>
          <w:highlight w:val="none"/>
          <w:lang w:eastAsia="zh-CN"/>
        </w:rPr>
        <w:t>费用</w:t>
      </w:r>
      <w:r>
        <w:rPr>
          <w:rFonts w:hint="eastAsia" w:ascii="黑体" w:hAnsi="黑体" w:eastAsia="黑体" w:cs="黑体"/>
          <w:color w:val="000000"/>
          <w:sz w:val="24"/>
          <w:szCs w:val="24"/>
          <w:highlight w:val="none"/>
        </w:rPr>
        <w:t>按</w:t>
      </w:r>
      <w:r>
        <w:rPr>
          <w:rFonts w:hint="eastAsia" w:ascii="黑体" w:hAnsi="黑体" w:eastAsia="黑体" w:cs="黑体"/>
          <w:color w:val="000000"/>
          <w:sz w:val="24"/>
          <w:szCs w:val="24"/>
          <w:highlight w:val="none"/>
          <w:lang w:eastAsia="zh-CN"/>
        </w:rPr>
        <w:t>：月总</w:t>
      </w:r>
      <w:r>
        <w:rPr>
          <w:rFonts w:hint="eastAsia" w:ascii="黑体" w:hAnsi="黑体" w:eastAsia="黑体" w:cs="黑体"/>
          <w:color w:val="000000"/>
          <w:sz w:val="24"/>
          <w:szCs w:val="24"/>
          <w:highlight w:val="none"/>
          <w:lang w:val="en-US" w:eastAsia="zh-CN"/>
        </w:rPr>
        <w:t>服务</w:t>
      </w:r>
      <w:r>
        <w:rPr>
          <w:rFonts w:hint="eastAsia" w:ascii="黑体" w:hAnsi="黑体" w:eastAsia="黑体" w:cs="黑体"/>
          <w:color w:val="000000"/>
          <w:sz w:val="24"/>
          <w:szCs w:val="24"/>
          <w:highlight w:val="none"/>
          <w:lang w:eastAsia="zh-CN"/>
        </w:rPr>
        <w:t>费÷师生总数÷每月天数×加班用餐人数×加班天数进行核算</w:t>
      </w:r>
      <w:r>
        <w:rPr>
          <w:rFonts w:hint="eastAsia" w:ascii="黑体" w:hAnsi="黑体" w:eastAsia="黑体" w:cs="黑体"/>
          <w:color w:val="000000"/>
          <w:sz w:val="24"/>
          <w:szCs w:val="24"/>
          <w:highlight w:val="none"/>
        </w:rPr>
        <w:t>。</w:t>
      </w:r>
    </w:p>
    <w:p w14:paraId="3C758B34">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6、</w:t>
      </w:r>
      <w:r>
        <w:rPr>
          <w:rFonts w:hint="eastAsia" w:ascii="黑体" w:hAnsi="黑体" w:eastAsia="黑体" w:cs="黑体"/>
          <w:sz w:val="24"/>
          <w:szCs w:val="24"/>
          <w:highlight w:val="none"/>
        </w:rPr>
        <w:t>甲方根据检查结果与相关扣罚情况，将考核结果告知乙方，乙方开具正式税务发票交</w:t>
      </w:r>
      <w:r>
        <w:rPr>
          <w:rFonts w:hint="eastAsia" w:ascii="黑体" w:hAnsi="黑体" w:eastAsia="黑体" w:cs="黑体"/>
          <w:sz w:val="24"/>
          <w:szCs w:val="24"/>
          <w:highlight w:val="none"/>
          <w:lang w:val="en-US" w:eastAsia="zh-CN"/>
        </w:rPr>
        <w:t>甲方</w:t>
      </w:r>
      <w:r>
        <w:rPr>
          <w:rFonts w:hint="eastAsia" w:ascii="黑体" w:hAnsi="黑体" w:eastAsia="黑体" w:cs="黑体"/>
          <w:sz w:val="24"/>
          <w:szCs w:val="24"/>
          <w:highlight w:val="none"/>
        </w:rPr>
        <w:t>，</w:t>
      </w:r>
      <w:r>
        <w:rPr>
          <w:rFonts w:hint="eastAsia" w:ascii="黑体" w:hAnsi="黑体" w:eastAsia="黑体" w:cs="黑体"/>
          <w:sz w:val="24"/>
          <w:szCs w:val="24"/>
          <w:highlight w:val="none"/>
          <w:lang w:val="en-US" w:eastAsia="zh-CN"/>
        </w:rPr>
        <w:t>甲方</w:t>
      </w:r>
      <w:r>
        <w:rPr>
          <w:rFonts w:hint="eastAsia" w:ascii="黑体" w:hAnsi="黑体" w:eastAsia="黑体" w:cs="黑体"/>
          <w:sz w:val="24"/>
          <w:szCs w:val="24"/>
          <w:highlight w:val="none"/>
        </w:rPr>
        <w:t>在收到</w:t>
      </w:r>
      <w:r>
        <w:rPr>
          <w:rFonts w:hint="eastAsia" w:ascii="黑体" w:hAnsi="黑体" w:eastAsia="黑体" w:cs="黑体"/>
          <w:sz w:val="24"/>
          <w:szCs w:val="24"/>
          <w:highlight w:val="none"/>
          <w:lang w:val="en-US" w:eastAsia="zh-CN"/>
        </w:rPr>
        <w:t>乙方</w:t>
      </w:r>
      <w:r>
        <w:rPr>
          <w:rFonts w:hint="eastAsia" w:ascii="黑体" w:hAnsi="黑体" w:eastAsia="黑体" w:cs="黑体"/>
          <w:sz w:val="24"/>
          <w:szCs w:val="24"/>
          <w:highlight w:val="none"/>
        </w:rPr>
        <w:t>发票</w:t>
      </w:r>
      <w:r>
        <w:rPr>
          <w:rFonts w:hint="eastAsia" w:ascii="黑体" w:hAnsi="黑体" w:eastAsia="黑体" w:cs="黑体"/>
          <w:sz w:val="24"/>
          <w:szCs w:val="24"/>
          <w:highlight w:val="none"/>
          <w:lang w:val="en-US" w:eastAsia="zh-CN"/>
        </w:rPr>
        <w:t>后</w:t>
      </w:r>
      <w:r>
        <w:rPr>
          <w:rFonts w:hint="eastAsia" w:ascii="黑体" w:hAnsi="黑体" w:eastAsia="黑体" w:cs="黑体"/>
          <w:sz w:val="24"/>
          <w:szCs w:val="24"/>
          <w:highlight w:val="none"/>
        </w:rPr>
        <w:t>办理支付手续</w:t>
      </w:r>
      <w:r>
        <w:rPr>
          <w:rFonts w:hint="eastAsia" w:ascii="黑体" w:hAnsi="黑体" w:eastAsia="黑体" w:cs="黑体"/>
          <w:sz w:val="24"/>
          <w:szCs w:val="24"/>
          <w:highlight w:val="none"/>
          <w:lang w:val="en-US" w:eastAsia="zh-CN"/>
        </w:rPr>
        <w:t>服务</w:t>
      </w:r>
      <w:r>
        <w:rPr>
          <w:rFonts w:hint="eastAsia" w:ascii="黑体" w:hAnsi="黑体" w:eastAsia="黑体" w:cs="黑体"/>
          <w:sz w:val="24"/>
          <w:szCs w:val="24"/>
          <w:highlight w:val="none"/>
        </w:rPr>
        <w:t>费</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付款方式为次月15日前通过银行转账给乙方。</w:t>
      </w:r>
    </w:p>
    <w:p w14:paraId="4A45EF5D">
      <w:pPr>
        <w:adjustRightInd w:val="0"/>
        <w:snapToGrid w:val="0"/>
        <w:spacing w:line="540" w:lineRule="atLeast"/>
        <w:ind w:firstLine="361" w:firstLineChars="150"/>
        <w:rPr>
          <w:rFonts w:hint="eastAsia" w:ascii="黑体" w:hAnsi="黑体" w:eastAsia="黑体" w:cs="黑体"/>
          <w:b/>
          <w:sz w:val="24"/>
          <w:szCs w:val="24"/>
          <w:highlight w:val="none"/>
        </w:rPr>
      </w:pPr>
      <w:r>
        <w:rPr>
          <w:rFonts w:hint="eastAsia" w:ascii="黑体" w:hAnsi="黑体" w:eastAsia="黑体" w:cs="黑体"/>
          <w:b/>
          <w:sz w:val="24"/>
          <w:szCs w:val="24"/>
          <w:highlight w:val="none"/>
        </w:rPr>
        <w:t>四、场地使用及有关费用归属</w:t>
      </w:r>
    </w:p>
    <w:p w14:paraId="7DC2B5E3">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1、甲方免费向乙方提供目前属于甲方厨房所有的场地和用具的使用权。进场前甲方负责将现有基础设施及厨房用品配齐并做维修保养，符合使用要求后交付乙方使用。</w:t>
      </w:r>
    </w:p>
    <w:p w14:paraId="426B2256">
      <w:pPr>
        <w:pStyle w:val="105"/>
        <w:keepNext w:val="0"/>
        <w:keepLines w:val="0"/>
        <w:pageBreakBefore w:val="0"/>
        <w:kinsoku/>
        <w:wordWrap/>
        <w:overflowPunct/>
        <w:topLinePunct w:val="0"/>
        <w:autoSpaceDE/>
        <w:autoSpaceDN/>
        <w:bidi w:val="0"/>
        <w:spacing w:before="0" w:beforeAutospacing="0" w:after="0" w:afterAutospacing="0" w:line="480" w:lineRule="exac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所有物品经清点(按移交清单双方签字)后，移交乙方使用，服务期满后，乙方应将所</w:t>
      </w:r>
    </w:p>
    <w:p w14:paraId="2C7DD78B">
      <w:pPr>
        <w:pStyle w:val="105"/>
        <w:keepNext w:val="0"/>
        <w:keepLines w:val="0"/>
        <w:pageBreakBefore w:val="0"/>
        <w:kinsoku/>
        <w:wordWrap/>
        <w:overflowPunct/>
        <w:topLinePunct w:val="0"/>
        <w:autoSpaceDE/>
        <w:autoSpaceDN/>
        <w:bidi w:val="0"/>
        <w:spacing w:before="0" w:beforeAutospacing="0" w:after="0" w:afterAutospacing="0" w:line="480" w:lineRule="exact"/>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有属于甲方的物品交还甲方，如有遗失和损坏，乙方负责赔偿(自然耗损除外)。</w:t>
      </w:r>
    </w:p>
    <w:p w14:paraId="1F7DF563">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2、服务期内，食堂内的用具维修，设施维护由甲方承担。</w:t>
      </w:r>
    </w:p>
    <w:p w14:paraId="52C875B4">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3、服务期内，场地、水、电等由甲方负担。</w:t>
      </w:r>
    </w:p>
    <w:p w14:paraId="2778F4F0">
      <w:pPr>
        <w:pStyle w:val="105"/>
        <w:keepNext w:val="0"/>
        <w:keepLines w:val="0"/>
        <w:pageBreakBefore w:val="0"/>
        <w:kinsoku/>
        <w:wordWrap/>
        <w:overflowPunct/>
        <w:topLinePunct w:val="0"/>
        <w:autoSpaceDE/>
        <w:autoSpaceDN/>
        <w:bidi w:val="0"/>
        <w:spacing w:before="0" w:beforeAutospacing="0" w:after="0" w:afterAutospacing="0" w:line="480" w:lineRule="exact"/>
        <w:ind w:firstLine="480" w:firstLineChars="200"/>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4、如政府相关部门要求申领《卫生经营许可证》等，均由甲方协助乙方办理。</w:t>
      </w:r>
    </w:p>
    <w:p w14:paraId="45D8A57B">
      <w:pPr>
        <w:adjustRightInd w:val="0"/>
        <w:snapToGrid w:val="0"/>
        <w:spacing w:line="540" w:lineRule="atLeast"/>
        <w:ind w:firstLine="361" w:firstLineChars="150"/>
        <w:rPr>
          <w:rFonts w:hint="eastAsia" w:ascii="黑体" w:hAnsi="黑体" w:eastAsia="黑体" w:cs="黑体"/>
          <w:b/>
          <w:sz w:val="24"/>
          <w:szCs w:val="24"/>
          <w:highlight w:val="none"/>
        </w:rPr>
      </w:pPr>
      <w:r>
        <w:rPr>
          <w:rFonts w:hint="eastAsia" w:ascii="黑体" w:hAnsi="黑体" w:eastAsia="黑体" w:cs="黑体"/>
          <w:b/>
          <w:sz w:val="24"/>
          <w:szCs w:val="24"/>
          <w:highlight w:val="none"/>
          <w:lang w:val="en-US" w:eastAsia="zh-CN"/>
        </w:rPr>
        <w:t>五、双方</w:t>
      </w:r>
      <w:r>
        <w:rPr>
          <w:rFonts w:hint="eastAsia" w:ascii="黑体" w:hAnsi="黑体" w:eastAsia="黑体" w:cs="黑体"/>
          <w:b/>
          <w:sz w:val="24"/>
          <w:szCs w:val="24"/>
          <w:highlight w:val="none"/>
        </w:rPr>
        <w:t>的权利和义务</w:t>
      </w:r>
    </w:p>
    <w:p w14:paraId="38EF8EBA">
      <w:pPr>
        <w:adjustRightInd w:val="0"/>
        <w:snapToGrid w:val="0"/>
        <w:spacing w:line="540" w:lineRule="atLeast"/>
        <w:ind w:firstLine="482" w:firstLineChars="200"/>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eastAsia="zh-CN"/>
        </w:rPr>
        <w:t>（</w:t>
      </w:r>
      <w:r>
        <w:rPr>
          <w:rFonts w:hint="eastAsia" w:ascii="黑体" w:hAnsi="黑体" w:eastAsia="黑体" w:cs="黑体"/>
          <w:b/>
          <w:bCs/>
          <w:sz w:val="24"/>
          <w:szCs w:val="24"/>
          <w:highlight w:val="none"/>
          <w:lang w:val="en-US" w:eastAsia="zh-CN"/>
        </w:rPr>
        <w:t>一</w:t>
      </w:r>
      <w:r>
        <w:rPr>
          <w:rFonts w:hint="eastAsia" w:ascii="黑体" w:hAnsi="黑体" w:eastAsia="黑体" w:cs="黑体"/>
          <w:b/>
          <w:bCs/>
          <w:sz w:val="24"/>
          <w:szCs w:val="24"/>
          <w:highlight w:val="none"/>
          <w:lang w:eastAsia="zh-CN"/>
        </w:rPr>
        <w:t>）</w:t>
      </w:r>
      <w:r>
        <w:rPr>
          <w:rFonts w:hint="eastAsia" w:ascii="黑体" w:hAnsi="黑体" w:eastAsia="黑体" w:cs="黑体"/>
          <w:b/>
          <w:bCs/>
          <w:sz w:val="24"/>
          <w:szCs w:val="24"/>
          <w:highlight w:val="none"/>
          <w:lang w:val="en-US" w:eastAsia="zh-CN"/>
        </w:rPr>
        <w:t>甲方的权利义务</w:t>
      </w:r>
    </w:p>
    <w:p w14:paraId="5000CC7B">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b w:val="0"/>
          <w:bCs/>
          <w:sz w:val="24"/>
          <w:szCs w:val="24"/>
          <w:highlight w:val="none"/>
        </w:rPr>
        <w:t>甲方</w:t>
      </w:r>
      <w:r>
        <w:rPr>
          <w:rFonts w:hint="eastAsia" w:ascii="黑体" w:hAnsi="黑体" w:eastAsia="黑体" w:cs="黑体"/>
          <w:sz w:val="24"/>
          <w:szCs w:val="24"/>
          <w:highlight w:val="none"/>
          <w:lang w:eastAsia="zh-CN"/>
        </w:rPr>
        <w:t>有权要求乙方按照学校</w:t>
      </w:r>
      <w:r>
        <w:rPr>
          <w:rFonts w:hint="eastAsia" w:ascii="黑体" w:hAnsi="黑体" w:eastAsia="黑体" w:cs="黑体"/>
          <w:sz w:val="24"/>
          <w:szCs w:val="24"/>
          <w:highlight w:val="none"/>
        </w:rPr>
        <w:t>食堂餐饮规章制度及相关岗位责任</w:t>
      </w:r>
      <w:r>
        <w:rPr>
          <w:rFonts w:hint="eastAsia" w:ascii="黑体" w:hAnsi="黑体" w:eastAsia="黑体" w:cs="黑体"/>
          <w:sz w:val="24"/>
          <w:szCs w:val="24"/>
          <w:highlight w:val="none"/>
          <w:lang w:eastAsia="zh-CN"/>
        </w:rPr>
        <w:t>规范</w:t>
      </w:r>
      <w:r>
        <w:rPr>
          <w:rFonts w:hint="eastAsia" w:ascii="黑体" w:hAnsi="黑体" w:eastAsia="黑体" w:cs="黑体"/>
          <w:sz w:val="24"/>
          <w:szCs w:val="24"/>
          <w:highlight w:val="none"/>
        </w:rPr>
        <w:t>操作规程。</w:t>
      </w:r>
    </w:p>
    <w:p w14:paraId="36795D4D">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2、</w:t>
      </w:r>
      <w:r>
        <w:rPr>
          <w:rFonts w:hint="eastAsia" w:ascii="黑体" w:hAnsi="黑体" w:eastAsia="黑体" w:cs="黑体"/>
          <w:sz w:val="24"/>
          <w:szCs w:val="24"/>
          <w:highlight w:val="none"/>
        </w:rPr>
        <w:t>甲方</w:t>
      </w:r>
      <w:r>
        <w:rPr>
          <w:rFonts w:hint="eastAsia" w:ascii="黑体" w:hAnsi="黑体" w:eastAsia="黑体" w:cs="黑体"/>
          <w:sz w:val="24"/>
          <w:szCs w:val="24"/>
          <w:highlight w:val="none"/>
          <w:lang w:eastAsia="zh-CN"/>
        </w:rPr>
        <w:t>有权</w:t>
      </w:r>
      <w:r>
        <w:rPr>
          <w:rFonts w:hint="eastAsia" w:ascii="黑体" w:hAnsi="黑体" w:eastAsia="黑体" w:cs="黑体"/>
          <w:sz w:val="24"/>
          <w:szCs w:val="24"/>
          <w:highlight w:val="none"/>
        </w:rPr>
        <w:t>督促乙方提高饭菜质量，做到色、香、味俱全。对伙食的质量</w:t>
      </w:r>
      <w:r>
        <w:rPr>
          <w:rFonts w:hint="eastAsia" w:ascii="黑体" w:hAnsi="黑体" w:eastAsia="黑体" w:cs="黑体"/>
          <w:sz w:val="24"/>
          <w:szCs w:val="24"/>
          <w:highlight w:val="none"/>
          <w:lang w:eastAsia="zh-CN"/>
        </w:rPr>
        <w:t>等各项</w:t>
      </w:r>
      <w:r>
        <w:rPr>
          <w:rFonts w:hint="eastAsia" w:ascii="黑体" w:hAnsi="黑体" w:eastAsia="黑体" w:cs="黑体"/>
          <w:sz w:val="24"/>
          <w:szCs w:val="24"/>
          <w:highlight w:val="none"/>
        </w:rPr>
        <w:t>进行检查和监督</w:t>
      </w:r>
      <w:r>
        <w:rPr>
          <w:rFonts w:hint="eastAsia" w:ascii="黑体" w:hAnsi="黑体" w:eastAsia="黑体" w:cs="黑体"/>
          <w:sz w:val="24"/>
          <w:szCs w:val="24"/>
          <w:highlight w:val="none"/>
          <w:lang w:eastAsia="zh-CN"/>
        </w:rPr>
        <w:t>并计入绩效考核</w:t>
      </w:r>
      <w:r>
        <w:rPr>
          <w:rFonts w:hint="eastAsia" w:ascii="黑体" w:hAnsi="黑体" w:eastAsia="黑体" w:cs="黑体"/>
          <w:sz w:val="24"/>
          <w:szCs w:val="24"/>
          <w:highlight w:val="none"/>
        </w:rPr>
        <w:t>。</w:t>
      </w:r>
    </w:p>
    <w:p w14:paraId="71D9723A">
      <w:pPr>
        <w:adjustRightInd w:val="0"/>
        <w:snapToGrid w:val="0"/>
        <w:spacing w:line="540" w:lineRule="atLeast"/>
        <w:ind w:firstLine="480" w:firstLineChars="200"/>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val="en-US" w:eastAsia="zh-CN"/>
        </w:rPr>
        <w:t>3</w:t>
      </w: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eastAsia="zh-CN"/>
        </w:rPr>
        <w:t>甲方有权要求</w:t>
      </w:r>
      <w:r>
        <w:rPr>
          <w:rFonts w:hint="eastAsia" w:ascii="黑体" w:hAnsi="黑体" w:eastAsia="黑体" w:cs="黑体"/>
          <w:b w:val="0"/>
          <w:bCs w:val="0"/>
          <w:sz w:val="24"/>
          <w:szCs w:val="24"/>
          <w:highlight w:val="none"/>
        </w:rPr>
        <w:t>乙方</w:t>
      </w:r>
      <w:r>
        <w:rPr>
          <w:rFonts w:hint="eastAsia" w:ascii="黑体" w:hAnsi="黑体" w:eastAsia="黑体" w:cs="黑体"/>
          <w:b w:val="0"/>
          <w:bCs w:val="0"/>
          <w:sz w:val="24"/>
          <w:szCs w:val="24"/>
          <w:highlight w:val="none"/>
          <w:lang w:eastAsia="zh-CN"/>
        </w:rPr>
        <w:t>提供从业执照</w:t>
      </w:r>
      <w:r>
        <w:rPr>
          <w:rFonts w:hint="eastAsia" w:ascii="黑体" w:hAnsi="黑体" w:eastAsia="黑体" w:cs="黑体"/>
          <w:b w:val="0"/>
          <w:bCs w:val="0"/>
          <w:sz w:val="24"/>
          <w:szCs w:val="24"/>
          <w:highlight w:val="none"/>
        </w:rPr>
        <w:t>，并报甲方备案</w:t>
      </w:r>
      <w:r>
        <w:rPr>
          <w:rFonts w:hint="eastAsia" w:ascii="黑体" w:hAnsi="黑体" w:eastAsia="黑体" w:cs="黑体"/>
          <w:b w:val="0"/>
          <w:bCs w:val="0"/>
          <w:sz w:val="24"/>
          <w:szCs w:val="24"/>
          <w:highlight w:val="none"/>
          <w:lang w:eastAsia="zh-CN"/>
        </w:rPr>
        <w:t>，</w:t>
      </w:r>
      <w:r>
        <w:rPr>
          <w:rFonts w:hint="eastAsia" w:ascii="黑体" w:hAnsi="黑体" w:eastAsia="黑体" w:cs="黑体"/>
          <w:b w:val="0"/>
          <w:bCs w:val="0"/>
          <w:sz w:val="24"/>
          <w:szCs w:val="24"/>
          <w:highlight w:val="none"/>
        </w:rPr>
        <w:t>统一着装，从业人员</w:t>
      </w:r>
      <w:r>
        <w:rPr>
          <w:rFonts w:hint="eastAsia" w:ascii="黑体" w:hAnsi="黑体" w:eastAsia="黑体" w:cs="黑体"/>
          <w:b w:val="0"/>
          <w:bCs w:val="0"/>
          <w:sz w:val="24"/>
          <w:szCs w:val="24"/>
          <w:highlight w:val="none"/>
          <w:lang w:eastAsia="zh-CN"/>
        </w:rPr>
        <w:t>需</w:t>
      </w:r>
      <w:r>
        <w:rPr>
          <w:rFonts w:hint="eastAsia" w:ascii="黑体" w:hAnsi="黑体" w:eastAsia="黑体" w:cs="黑体"/>
          <w:b w:val="0"/>
          <w:bCs w:val="0"/>
          <w:sz w:val="24"/>
          <w:szCs w:val="24"/>
          <w:highlight w:val="none"/>
        </w:rPr>
        <w:t>持健康证上岗</w:t>
      </w:r>
      <w:r>
        <w:rPr>
          <w:rFonts w:hint="eastAsia" w:ascii="黑体" w:hAnsi="黑体" w:eastAsia="黑体" w:cs="黑体"/>
          <w:b w:val="0"/>
          <w:bCs w:val="0"/>
          <w:sz w:val="24"/>
          <w:szCs w:val="24"/>
          <w:highlight w:val="none"/>
          <w:lang w:eastAsia="zh-CN"/>
        </w:rPr>
        <w:t>。</w:t>
      </w:r>
    </w:p>
    <w:p w14:paraId="7FCE8F93">
      <w:pPr>
        <w:adjustRightInd w:val="0"/>
        <w:snapToGrid w:val="0"/>
        <w:spacing w:line="540" w:lineRule="atLeast"/>
        <w:ind w:firstLine="480" w:firstLineChars="200"/>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w:t>
      </w:r>
      <w:r>
        <w:rPr>
          <w:rFonts w:hint="eastAsia" w:ascii="黑体" w:hAnsi="黑体" w:eastAsia="黑体" w:cs="黑体"/>
          <w:b w:val="0"/>
          <w:bCs w:val="0"/>
          <w:sz w:val="24"/>
          <w:szCs w:val="24"/>
          <w:highlight w:val="none"/>
        </w:rPr>
        <w:t>如发现员工患有传染病等不适合该项工作的，</w:t>
      </w:r>
      <w:r>
        <w:rPr>
          <w:rFonts w:hint="eastAsia" w:ascii="黑体" w:hAnsi="黑体" w:eastAsia="黑体" w:cs="黑体"/>
          <w:b w:val="0"/>
          <w:bCs w:val="0"/>
          <w:sz w:val="24"/>
          <w:szCs w:val="24"/>
          <w:highlight w:val="none"/>
          <w:lang w:eastAsia="zh-CN"/>
        </w:rPr>
        <w:t>甲方有权要求</w:t>
      </w:r>
      <w:r>
        <w:rPr>
          <w:rFonts w:hint="eastAsia" w:ascii="黑体" w:hAnsi="黑体" w:eastAsia="黑体" w:cs="黑体"/>
          <w:b w:val="0"/>
          <w:bCs w:val="0"/>
          <w:sz w:val="24"/>
          <w:szCs w:val="24"/>
          <w:highlight w:val="none"/>
          <w:lang w:val="en-US" w:eastAsia="zh-CN"/>
        </w:rPr>
        <w:t>乙方对该员工</w:t>
      </w:r>
      <w:r>
        <w:rPr>
          <w:rFonts w:hint="eastAsia" w:ascii="黑体" w:hAnsi="黑体" w:eastAsia="黑体" w:cs="黑体"/>
          <w:b w:val="0"/>
          <w:bCs w:val="0"/>
          <w:sz w:val="24"/>
          <w:szCs w:val="24"/>
          <w:highlight w:val="none"/>
        </w:rPr>
        <w:t>调离岗位</w:t>
      </w:r>
      <w:r>
        <w:rPr>
          <w:rFonts w:hint="eastAsia" w:ascii="黑体" w:hAnsi="黑体" w:eastAsia="黑体" w:cs="黑体"/>
          <w:b w:val="0"/>
          <w:bCs w:val="0"/>
          <w:sz w:val="24"/>
          <w:szCs w:val="24"/>
          <w:highlight w:val="none"/>
          <w:lang w:eastAsia="zh-CN"/>
        </w:rPr>
        <w:t>或</w:t>
      </w:r>
      <w:r>
        <w:rPr>
          <w:rFonts w:hint="eastAsia" w:ascii="黑体" w:hAnsi="黑体" w:eastAsia="黑体" w:cs="黑体"/>
          <w:b w:val="0"/>
          <w:bCs w:val="0"/>
          <w:sz w:val="24"/>
          <w:szCs w:val="24"/>
          <w:highlight w:val="none"/>
        </w:rPr>
        <w:t>接受甲方提出的处理意见。</w:t>
      </w:r>
    </w:p>
    <w:p w14:paraId="090E0AF8">
      <w:pPr>
        <w:adjustRightInd w:val="0"/>
        <w:snapToGrid w:val="0"/>
        <w:spacing w:line="540" w:lineRule="atLeast"/>
        <w:ind w:firstLine="480" w:firstLineChars="200"/>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val="en-US" w:eastAsia="zh-CN"/>
        </w:rPr>
        <w:t>5</w:t>
      </w: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eastAsia="zh-CN"/>
        </w:rPr>
        <w:t>甲方有权要求</w:t>
      </w:r>
      <w:r>
        <w:rPr>
          <w:rFonts w:hint="eastAsia" w:ascii="黑体" w:hAnsi="黑体" w:eastAsia="黑体" w:cs="黑体"/>
          <w:b w:val="0"/>
          <w:bCs w:val="0"/>
          <w:sz w:val="24"/>
          <w:szCs w:val="24"/>
          <w:highlight w:val="none"/>
        </w:rPr>
        <w:t>乙方</w:t>
      </w:r>
      <w:r>
        <w:rPr>
          <w:rFonts w:hint="eastAsia" w:ascii="黑体" w:hAnsi="黑体" w:eastAsia="黑体" w:cs="黑体"/>
          <w:b w:val="0"/>
          <w:bCs w:val="0"/>
          <w:sz w:val="24"/>
          <w:szCs w:val="24"/>
          <w:highlight w:val="none"/>
          <w:lang w:eastAsia="zh-CN"/>
        </w:rPr>
        <w:t>对</w:t>
      </w:r>
      <w:r>
        <w:rPr>
          <w:rFonts w:hint="eastAsia" w:ascii="黑体" w:hAnsi="黑体" w:eastAsia="黑体" w:cs="黑体"/>
          <w:b w:val="0"/>
          <w:bCs w:val="0"/>
          <w:sz w:val="24"/>
          <w:szCs w:val="24"/>
          <w:highlight w:val="none"/>
        </w:rPr>
        <w:t>不能胜任</w:t>
      </w:r>
      <w:r>
        <w:rPr>
          <w:rFonts w:hint="eastAsia" w:ascii="黑体" w:hAnsi="黑体" w:eastAsia="黑体" w:cs="黑体"/>
          <w:b w:val="0"/>
          <w:bCs w:val="0"/>
          <w:sz w:val="24"/>
          <w:szCs w:val="24"/>
          <w:highlight w:val="none"/>
          <w:lang w:eastAsia="zh-CN"/>
        </w:rPr>
        <w:t>工作</w:t>
      </w:r>
      <w:r>
        <w:rPr>
          <w:rFonts w:hint="eastAsia" w:ascii="黑体" w:hAnsi="黑体" w:eastAsia="黑体" w:cs="黑体"/>
          <w:b w:val="0"/>
          <w:bCs w:val="0"/>
          <w:sz w:val="24"/>
          <w:szCs w:val="24"/>
          <w:highlight w:val="none"/>
        </w:rPr>
        <w:t>的员工，进行调整辞退</w:t>
      </w:r>
      <w:r>
        <w:rPr>
          <w:rFonts w:hint="eastAsia" w:ascii="黑体" w:hAnsi="黑体" w:eastAsia="黑体" w:cs="黑体"/>
          <w:b w:val="0"/>
          <w:bCs w:val="0"/>
          <w:sz w:val="24"/>
          <w:szCs w:val="24"/>
          <w:highlight w:val="none"/>
          <w:lang w:eastAsia="zh-CN"/>
        </w:rPr>
        <w:t>。</w:t>
      </w:r>
    </w:p>
    <w:p w14:paraId="47686C48">
      <w:pPr>
        <w:adjustRightInd w:val="0"/>
        <w:snapToGrid w:val="0"/>
        <w:spacing w:line="540" w:lineRule="atLeast"/>
        <w:ind w:firstLine="480" w:firstLineChars="200"/>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val="en-US" w:eastAsia="zh-CN"/>
        </w:rPr>
        <w:t>6、</w:t>
      </w:r>
      <w:r>
        <w:rPr>
          <w:rFonts w:hint="eastAsia" w:ascii="黑体" w:hAnsi="黑体" w:eastAsia="黑体" w:cs="黑体"/>
          <w:b w:val="0"/>
          <w:bCs w:val="0"/>
          <w:sz w:val="24"/>
          <w:szCs w:val="24"/>
          <w:highlight w:val="none"/>
          <w:lang w:eastAsia="zh-CN"/>
        </w:rPr>
        <w:t>甲方有权向</w:t>
      </w:r>
      <w:r>
        <w:rPr>
          <w:rFonts w:hint="eastAsia" w:ascii="黑体" w:hAnsi="黑体" w:eastAsia="黑体" w:cs="黑体"/>
          <w:b w:val="0"/>
          <w:bCs w:val="0"/>
          <w:sz w:val="24"/>
          <w:szCs w:val="24"/>
          <w:highlight w:val="none"/>
        </w:rPr>
        <w:t>乙方反馈就餐人员的意见，</w:t>
      </w:r>
      <w:r>
        <w:rPr>
          <w:rFonts w:hint="eastAsia" w:ascii="黑体" w:hAnsi="黑体" w:eastAsia="黑体" w:cs="黑体"/>
          <w:b w:val="0"/>
          <w:bCs w:val="0"/>
          <w:sz w:val="24"/>
          <w:szCs w:val="24"/>
          <w:highlight w:val="none"/>
          <w:lang w:eastAsia="zh-CN"/>
        </w:rPr>
        <w:t>并有权</w:t>
      </w:r>
      <w:r>
        <w:rPr>
          <w:rFonts w:hint="eastAsia" w:ascii="黑体" w:hAnsi="黑体" w:eastAsia="黑体" w:cs="黑体"/>
          <w:b w:val="0"/>
          <w:bCs w:val="0"/>
          <w:sz w:val="24"/>
          <w:szCs w:val="24"/>
          <w:highlight w:val="none"/>
        </w:rPr>
        <w:t>要求乙方及时整改</w:t>
      </w:r>
      <w:r>
        <w:rPr>
          <w:rFonts w:hint="eastAsia" w:ascii="黑体" w:hAnsi="黑体" w:eastAsia="黑体" w:cs="黑体"/>
          <w:b w:val="0"/>
          <w:bCs w:val="0"/>
          <w:sz w:val="24"/>
          <w:szCs w:val="24"/>
          <w:highlight w:val="none"/>
          <w:lang w:eastAsia="zh-CN"/>
        </w:rPr>
        <w:t>。</w:t>
      </w:r>
    </w:p>
    <w:p w14:paraId="1B5C7BBE">
      <w:pPr>
        <w:adjustRightInd w:val="0"/>
        <w:snapToGrid w:val="0"/>
        <w:spacing w:line="540" w:lineRule="atLeast"/>
        <w:ind w:firstLine="480" w:firstLineChars="200"/>
        <w:rPr>
          <w:rFonts w:hint="eastAsia" w:ascii="黑体" w:hAnsi="黑体" w:eastAsia="黑体" w:cs="黑体"/>
          <w:color w:val="auto"/>
          <w:sz w:val="24"/>
          <w:szCs w:val="24"/>
          <w:highlight w:val="none"/>
        </w:rPr>
      </w:pPr>
      <w:r>
        <w:rPr>
          <w:rFonts w:hint="eastAsia" w:ascii="黑体" w:hAnsi="黑体" w:eastAsia="黑体" w:cs="黑体"/>
          <w:sz w:val="24"/>
          <w:szCs w:val="24"/>
          <w:highlight w:val="none"/>
          <w:lang w:val="en-US" w:eastAsia="zh-CN"/>
        </w:rPr>
        <w:t>7</w:t>
      </w:r>
      <w:r>
        <w:rPr>
          <w:rFonts w:hint="eastAsia" w:ascii="黑体" w:hAnsi="黑体" w:eastAsia="黑体" w:cs="黑体"/>
          <w:color w:val="auto"/>
          <w:sz w:val="24"/>
          <w:szCs w:val="24"/>
          <w:highlight w:val="none"/>
        </w:rPr>
        <w:t>、甲方提供餐厅、厨具、卫生消毒用品、一次性卫生用品，保证水、电的正常供应。</w:t>
      </w:r>
    </w:p>
    <w:p w14:paraId="458A15A0">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8</w:t>
      </w:r>
      <w:r>
        <w:rPr>
          <w:rFonts w:hint="eastAsia" w:ascii="黑体" w:hAnsi="黑体" w:eastAsia="黑体" w:cs="黑体"/>
          <w:sz w:val="24"/>
          <w:szCs w:val="24"/>
          <w:highlight w:val="none"/>
        </w:rPr>
        <w:t>、甲方承担食堂所需水、电的费用和设备维护费用，负责食堂所需材料和库房的管理。</w:t>
      </w:r>
    </w:p>
    <w:p w14:paraId="04A92182">
      <w:pPr>
        <w:adjustRightInd w:val="0"/>
        <w:snapToGrid w:val="0"/>
        <w:spacing w:line="540" w:lineRule="atLeast"/>
        <w:ind w:firstLine="482" w:firstLineChars="200"/>
        <w:rPr>
          <w:rFonts w:hint="eastAsia" w:ascii="黑体" w:hAnsi="黑体" w:eastAsia="黑体" w:cs="黑体"/>
          <w:b/>
          <w:sz w:val="24"/>
          <w:szCs w:val="24"/>
          <w:highlight w:val="none"/>
        </w:rPr>
      </w:pPr>
      <w:r>
        <w:rPr>
          <w:rFonts w:hint="eastAsia" w:ascii="黑体" w:hAnsi="黑体" w:eastAsia="黑体" w:cs="黑体"/>
          <w:b/>
          <w:sz w:val="24"/>
          <w:szCs w:val="24"/>
          <w:highlight w:val="none"/>
          <w:lang w:eastAsia="zh-CN"/>
        </w:rPr>
        <w:t>（</w:t>
      </w:r>
      <w:r>
        <w:rPr>
          <w:rFonts w:hint="eastAsia" w:ascii="黑体" w:hAnsi="黑体" w:eastAsia="黑体" w:cs="黑体"/>
          <w:b/>
          <w:sz w:val="24"/>
          <w:szCs w:val="24"/>
          <w:highlight w:val="none"/>
          <w:lang w:val="en-US" w:eastAsia="zh-CN"/>
        </w:rPr>
        <w:t>二</w:t>
      </w:r>
      <w:r>
        <w:rPr>
          <w:rFonts w:hint="eastAsia" w:ascii="黑体" w:hAnsi="黑体" w:eastAsia="黑体" w:cs="黑体"/>
          <w:b/>
          <w:sz w:val="24"/>
          <w:szCs w:val="24"/>
          <w:highlight w:val="none"/>
          <w:lang w:eastAsia="zh-CN"/>
        </w:rPr>
        <w:t>）</w:t>
      </w:r>
      <w:r>
        <w:rPr>
          <w:rFonts w:hint="eastAsia" w:ascii="黑体" w:hAnsi="黑体" w:eastAsia="黑体" w:cs="黑体"/>
          <w:b/>
          <w:sz w:val="24"/>
          <w:szCs w:val="24"/>
          <w:highlight w:val="none"/>
        </w:rPr>
        <w:t>乙方的权利和义务</w:t>
      </w:r>
    </w:p>
    <w:p w14:paraId="090B28C4">
      <w:pPr>
        <w:adjustRightInd w:val="0"/>
        <w:snapToGrid w:val="0"/>
        <w:spacing w:line="540" w:lineRule="atLeast"/>
        <w:ind w:firstLine="480" w:firstLineChars="200"/>
        <w:rPr>
          <w:rFonts w:hint="eastAsia" w:ascii="黑体" w:hAnsi="黑体" w:eastAsia="黑体" w:cs="黑体"/>
          <w:b w:val="0"/>
          <w:bCs w:val="0"/>
          <w:sz w:val="24"/>
          <w:szCs w:val="24"/>
          <w:highlight w:val="none"/>
        </w:rPr>
      </w:pPr>
      <w:r>
        <w:rPr>
          <w:rFonts w:hint="eastAsia" w:ascii="黑体" w:hAnsi="黑体" w:eastAsia="黑体" w:cs="黑体"/>
          <w:sz w:val="24"/>
          <w:szCs w:val="24"/>
          <w:highlight w:val="none"/>
        </w:rPr>
        <w:t xml:space="preserve"> </w:t>
      </w:r>
      <w:r>
        <w:rPr>
          <w:rFonts w:hint="eastAsia" w:ascii="黑体" w:hAnsi="黑体" w:eastAsia="黑体" w:cs="黑体"/>
          <w:b w:val="0"/>
          <w:bCs w:val="0"/>
          <w:sz w:val="24"/>
          <w:szCs w:val="24"/>
          <w:highlight w:val="none"/>
        </w:rPr>
        <w:t>1、乙方</w:t>
      </w:r>
      <w:r>
        <w:rPr>
          <w:rFonts w:hint="eastAsia" w:ascii="黑体" w:hAnsi="黑体" w:eastAsia="黑体" w:cs="黑体"/>
          <w:b w:val="0"/>
          <w:bCs w:val="0"/>
          <w:sz w:val="24"/>
          <w:szCs w:val="24"/>
          <w:highlight w:val="none"/>
          <w:lang w:eastAsia="zh-CN"/>
        </w:rPr>
        <w:t>须</w:t>
      </w:r>
      <w:r>
        <w:rPr>
          <w:rFonts w:hint="eastAsia" w:ascii="黑体" w:hAnsi="黑体" w:eastAsia="黑体" w:cs="黑体"/>
          <w:b w:val="0"/>
          <w:bCs w:val="0"/>
          <w:sz w:val="24"/>
          <w:szCs w:val="24"/>
          <w:highlight w:val="none"/>
        </w:rPr>
        <w:t>严格按照</w:t>
      </w:r>
      <w:r>
        <w:rPr>
          <w:rFonts w:hint="eastAsia" w:ascii="黑体" w:hAnsi="黑体" w:eastAsia="黑体" w:cs="黑体"/>
          <w:b w:val="0"/>
          <w:bCs w:val="0"/>
          <w:sz w:val="24"/>
          <w:szCs w:val="24"/>
          <w:highlight w:val="none"/>
          <w:lang w:eastAsia="zh-CN"/>
        </w:rPr>
        <w:t>甲方食堂管理</w:t>
      </w:r>
      <w:r>
        <w:rPr>
          <w:rFonts w:hint="eastAsia" w:ascii="黑体" w:hAnsi="黑体" w:eastAsia="黑体" w:cs="黑体"/>
          <w:b w:val="0"/>
          <w:bCs w:val="0"/>
          <w:sz w:val="24"/>
          <w:szCs w:val="24"/>
          <w:highlight w:val="none"/>
        </w:rPr>
        <w:t>规章制度</w:t>
      </w:r>
      <w:r>
        <w:rPr>
          <w:rFonts w:hint="eastAsia" w:ascii="黑体" w:hAnsi="黑体" w:eastAsia="黑体" w:cs="黑体"/>
          <w:b w:val="0"/>
          <w:bCs w:val="0"/>
          <w:sz w:val="24"/>
          <w:szCs w:val="24"/>
          <w:highlight w:val="none"/>
          <w:lang w:eastAsia="zh-CN"/>
        </w:rPr>
        <w:t>规范食材加工操作要求、食材食品摆放存储要求、卫生保洁要求、餐具用具消毒要求、规范设备设施摆放要求等相关要求</w:t>
      </w: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eastAsia="zh-CN"/>
        </w:rPr>
        <w:t>以食品安全和</w:t>
      </w:r>
      <w:r>
        <w:rPr>
          <w:rFonts w:hint="eastAsia" w:ascii="黑体" w:hAnsi="黑体" w:eastAsia="黑体" w:cs="黑体"/>
          <w:b w:val="0"/>
          <w:bCs w:val="0"/>
          <w:sz w:val="24"/>
          <w:szCs w:val="24"/>
          <w:highlight w:val="none"/>
        </w:rPr>
        <w:t>就餐者满意</w:t>
      </w:r>
      <w:r>
        <w:rPr>
          <w:rFonts w:hint="eastAsia" w:ascii="黑体" w:hAnsi="黑体" w:eastAsia="黑体" w:cs="黑体"/>
          <w:b w:val="0"/>
          <w:bCs w:val="0"/>
          <w:sz w:val="24"/>
          <w:szCs w:val="24"/>
          <w:highlight w:val="none"/>
          <w:lang w:eastAsia="zh-CN"/>
        </w:rPr>
        <w:t>度</w:t>
      </w:r>
      <w:r>
        <w:rPr>
          <w:rFonts w:hint="eastAsia" w:ascii="黑体" w:hAnsi="黑体" w:eastAsia="黑体" w:cs="黑体"/>
          <w:b w:val="0"/>
          <w:bCs w:val="0"/>
          <w:sz w:val="24"/>
          <w:szCs w:val="24"/>
          <w:highlight w:val="none"/>
        </w:rPr>
        <w:t>为服务宗旨。</w:t>
      </w:r>
    </w:p>
    <w:p w14:paraId="75EA58BA">
      <w:pPr>
        <w:adjustRightInd w:val="0"/>
        <w:snapToGrid w:val="0"/>
        <w:spacing w:line="540" w:lineRule="atLeas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2、乙方</w:t>
      </w:r>
      <w:r>
        <w:rPr>
          <w:rFonts w:hint="eastAsia" w:ascii="黑体" w:hAnsi="黑体" w:eastAsia="黑体" w:cs="黑体"/>
          <w:b w:val="0"/>
          <w:bCs w:val="0"/>
          <w:sz w:val="24"/>
          <w:szCs w:val="24"/>
          <w:highlight w:val="none"/>
          <w:lang w:eastAsia="zh-CN"/>
        </w:rPr>
        <w:t>必须</w:t>
      </w:r>
      <w:r>
        <w:rPr>
          <w:rFonts w:hint="eastAsia" w:ascii="黑体" w:hAnsi="黑体" w:eastAsia="黑体" w:cs="黑体"/>
          <w:b w:val="0"/>
          <w:bCs w:val="0"/>
          <w:sz w:val="24"/>
          <w:szCs w:val="24"/>
          <w:highlight w:val="none"/>
        </w:rPr>
        <w:t>严格执行甲方的相关管理制度，服从甲方的统一管理。主动接受甲方的管理、检查、监督。一旦发现乙方有违反规章制度等行为，甲方有权要求乙方</w:t>
      </w:r>
      <w:r>
        <w:rPr>
          <w:rFonts w:hint="eastAsia" w:ascii="黑体" w:hAnsi="黑体" w:eastAsia="黑体" w:cs="黑体"/>
          <w:b w:val="0"/>
          <w:bCs w:val="0"/>
          <w:sz w:val="24"/>
          <w:szCs w:val="24"/>
          <w:highlight w:val="none"/>
          <w:lang w:eastAsia="zh-CN"/>
        </w:rPr>
        <w:t>进行整改</w:t>
      </w: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eastAsia="zh-CN"/>
        </w:rPr>
        <w:t>如若不服从，甲方有权按照绩效管理办法扣除劳务绩效。</w:t>
      </w:r>
    </w:p>
    <w:p w14:paraId="0976C445">
      <w:pPr>
        <w:numPr>
          <w:ilvl w:val="0"/>
          <w:numId w:val="11"/>
        </w:numPr>
        <w:adjustRightInd w:val="0"/>
        <w:snapToGrid w:val="0"/>
        <w:spacing w:line="540" w:lineRule="atLeas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乙方</w:t>
      </w:r>
      <w:r>
        <w:rPr>
          <w:rFonts w:hint="eastAsia" w:ascii="黑体" w:hAnsi="黑体" w:eastAsia="黑体" w:cs="黑体"/>
          <w:b w:val="0"/>
          <w:bCs w:val="0"/>
          <w:sz w:val="24"/>
          <w:szCs w:val="24"/>
          <w:highlight w:val="none"/>
          <w:lang w:eastAsia="zh-CN"/>
        </w:rPr>
        <w:t>必须</w:t>
      </w:r>
      <w:r>
        <w:rPr>
          <w:rFonts w:hint="eastAsia" w:ascii="黑体" w:hAnsi="黑体" w:eastAsia="黑体" w:cs="黑体"/>
          <w:b w:val="0"/>
          <w:bCs w:val="0"/>
          <w:sz w:val="24"/>
          <w:szCs w:val="24"/>
          <w:highlight w:val="none"/>
        </w:rPr>
        <w:t>严格按照甲方每周食谱安排，提供每日伙食</w:t>
      </w:r>
      <w:r>
        <w:rPr>
          <w:rFonts w:hint="eastAsia" w:ascii="黑体" w:hAnsi="黑体" w:eastAsia="黑体" w:cs="黑体"/>
          <w:b w:val="0"/>
          <w:bCs w:val="0"/>
          <w:sz w:val="24"/>
          <w:szCs w:val="24"/>
          <w:highlight w:val="none"/>
          <w:lang w:eastAsia="zh-CN"/>
        </w:rPr>
        <w:t>供应</w:t>
      </w:r>
      <w:r>
        <w:rPr>
          <w:rFonts w:hint="eastAsia" w:ascii="黑体" w:hAnsi="黑体" w:eastAsia="黑体" w:cs="黑体"/>
          <w:b w:val="0"/>
          <w:bCs w:val="0"/>
          <w:sz w:val="24"/>
          <w:szCs w:val="24"/>
          <w:highlight w:val="none"/>
        </w:rPr>
        <w:t>。</w:t>
      </w:r>
    </w:p>
    <w:p w14:paraId="7E236D64">
      <w:pPr>
        <w:numPr>
          <w:ilvl w:val="0"/>
          <w:numId w:val="11"/>
        </w:numPr>
        <w:adjustRightInd w:val="0"/>
        <w:snapToGrid w:val="0"/>
        <w:spacing w:line="540" w:lineRule="atLeast"/>
        <w:ind w:firstLine="480" w:firstLineChars="2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eastAsia="zh-CN"/>
        </w:rPr>
        <w:t>乙方不得将甲方的食材、设备、用具带出校园，如若发现乙方必须接受处理并赔偿。</w:t>
      </w:r>
    </w:p>
    <w:p w14:paraId="596B570B">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5</w:t>
      </w:r>
      <w:r>
        <w:rPr>
          <w:rFonts w:hint="eastAsia" w:ascii="黑体" w:hAnsi="黑体" w:eastAsia="黑体" w:cs="黑体"/>
          <w:sz w:val="24"/>
          <w:szCs w:val="24"/>
          <w:highlight w:val="none"/>
        </w:rPr>
        <w:t>、乙方应保证饭菜的质量，做到色、香、味俱全。同时，应节约甲方的原材料，对乙方无故浪费食材等现象，甲方有权提出要求</w:t>
      </w:r>
      <w:r>
        <w:rPr>
          <w:rFonts w:hint="eastAsia" w:ascii="黑体" w:hAnsi="黑体" w:eastAsia="黑体" w:cs="黑体"/>
          <w:sz w:val="24"/>
          <w:szCs w:val="24"/>
          <w:highlight w:val="none"/>
          <w:lang w:eastAsia="zh-CN"/>
        </w:rPr>
        <w:t>整改并</w:t>
      </w:r>
      <w:r>
        <w:rPr>
          <w:rFonts w:hint="eastAsia" w:ascii="黑体" w:hAnsi="黑体" w:eastAsia="黑体" w:cs="黑体"/>
          <w:sz w:val="24"/>
          <w:szCs w:val="24"/>
          <w:highlight w:val="none"/>
        </w:rPr>
        <w:t>赔偿损失。</w:t>
      </w:r>
    </w:p>
    <w:p w14:paraId="28D16A79">
      <w:pPr>
        <w:adjustRightInd w:val="0"/>
        <w:snapToGrid w:val="0"/>
        <w:spacing w:line="540" w:lineRule="atLeast"/>
        <w:ind w:firstLine="480" w:firstLineChars="200"/>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val="en-US" w:eastAsia="zh-CN"/>
        </w:rPr>
        <w:t>6</w:t>
      </w:r>
      <w:r>
        <w:rPr>
          <w:rFonts w:hint="eastAsia" w:ascii="黑体" w:hAnsi="黑体" w:eastAsia="黑体" w:cs="黑体"/>
          <w:b w:val="0"/>
          <w:bCs w:val="0"/>
          <w:sz w:val="24"/>
          <w:szCs w:val="24"/>
          <w:highlight w:val="none"/>
        </w:rPr>
        <w:t>、乙方</w:t>
      </w:r>
      <w:r>
        <w:rPr>
          <w:rFonts w:hint="eastAsia" w:ascii="黑体" w:hAnsi="黑体" w:eastAsia="黑体" w:cs="黑体"/>
          <w:b w:val="0"/>
          <w:bCs w:val="0"/>
          <w:sz w:val="24"/>
          <w:szCs w:val="24"/>
          <w:highlight w:val="none"/>
          <w:lang w:eastAsia="zh-CN"/>
        </w:rPr>
        <w:t>必须</w:t>
      </w:r>
      <w:r>
        <w:rPr>
          <w:rFonts w:hint="eastAsia" w:ascii="黑体" w:hAnsi="黑体" w:eastAsia="黑体" w:cs="黑体"/>
          <w:b w:val="0"/>
          <w:bCs w:val="0"/>
          <w:sz w:val="24"/>
          <w:szCs w:val="24"/>
          <w:highlight w:val="none"/>
        </w:rPr>
        <w:t>按时按要求做好食品留样，确保饮食安全。</w:t>
      </w:r>
      <w:r>
        <w:rPr>
          <w:rFonts w:hint="eastAsia" w:ascii="黑体" w:hAnsi="黑体" w:eastAsia="黑体" w:cs="黑体"/>
          <w:b w:val="0"/>
          <w:bCs w:val="0"/>
          <w:sz w:val="24"/>
          <w:szCs w:val="24"/>
          <w:highlight w:val="none"/>
          <w:lang w:eastAsia="zh-CN"/>
        </w:rPr>
        <w:t>如若因乙方操作不规范等其他原因造成食品安全事故的，乙方承担全部责任，甲方不予承担。</w:t>
      </w:r>
    </w:p>
    <w:p w14:paraId="7A58838E">
      <w:pPr>
        <w:adjustRightInd w:val="0"/>
        <w:snapToGrid w:val="0"/>
        <w:spacing w:line="540" w:lineRule="atLeast"/>
        <w:ind w:firstLine="6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7</w:t>
      </w:r>
      <w:r>
        <w:rPr>
          <w:rFonts w:hint="eastAsia" w:ascii="黑体" w:hAnsi="黑体" w:eastAsia="黑体" w:cs="黑体"/>
          <w:b w:val="0"/>
          <w:bCs w:val="0"/>
          <w:sz w:val="24"/>
          <w:szCs w:val="24"/>
          <w:highlight w:val="none"/>
        </w:rPr>
        <w:t>、乙方员工由乙方自主招聘，乙方应负责承担其社会保险等，乙方所有员工均与</w:t>
      </w:r>
    </w:p>
    <w:p w14:paraId="4504F495">
      <w:pPr>
        <w:adjustRightInd w:val="0"/>
        <w:snapToGrid w:val="0"/>
        <w:spacing w:line="540" w:lineRule="atLeast"/>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rPr>
        <w:t>甲方无任何隶属关系。乙方应与属下员工签订符合劳动合同法规定的用工合同，按时支付劳务费并承担安全责任，乙方</w:t>
      </w:r>
      <w:r>
        <w:rPr>
          <w:rFonts w:hint="eastAsia" w:ascii="黑体" w:hAnsi="黑体" w:eastAsia="黑体" w:cs="黑体"/>
          <w:b w:val="0"/>
          <w:bCs w:val="0"/>
          <w:sz w:val="24"/>
          <w:szCs w:val="24"/>
          <w:highlight w:val="none"/>
          <w:lang w:val="en-US" w:eastAsia="zh-CN"/>
        </w:rPr>
        <w:t>投入的餐饮服务</w:t>
      </w:r>
      <w:r>
        <w:rPr>
          <w:rFonts w:hint="eastAsia" w:ascii="黑体" w:hAnsi="黑体" w:eastAsia="黑体" w:cs="黑体"/>
          <w:b w:val="0"/>
          <w:bCs w:val="0"/>
          <w:sz w:val="24"/>
          <w:szCs w:val="24"/>
          <w:highlight w:val="none"/>
        </w:rPr>
        <w:t>人员所产生的一切纠纷（包括社会保障缴费）</w:t>
      </w:r>
      <w:r>
        <w:rPr>
          <w:rFonts w:hint="eastAsia" w:ascii="黑体" w:hAnsi="黑体" w:eastAsia="黑体" w:cs="黑体"/>
          <w:b w:val="0"/>
          <w:bCs w:val="0"/>
          <w:sz w:val="24"/>
          <w:szCs w:val="24"/>
          <w:highlight w:val="none"/>
          <w:lang w:eastAsia="zh-CN"/>
        </w:rPr>
        <w:t>和操作过程的安全责任</w:t>
      </w:r>
      <w:r>
        <w:rPr>
          <w:rFonts w:hint="eastAsia" w:ascii="黑体" w:hAnsi="黑体" w:eastAsia="黑体" w:cs="黑体"/>
          <w:b w:val="0"/>
          <w:bCs w:val="0"/>
          <w:sz w:val="24"/>
          <w:szCs w:val="24"/>
          <w:highlight w:val="none"/>
          <w:lang w:val="en-US" w:eastAsia="zh-CN"/>
        </w:rPr>
        <w:t>均</w:t>
      </w:r>
      <w:r>
        <w:rPr>
          <w:rFonts w:hint="eastAsia" w:ascii="黑体" w:hAnsi="黑体" w:eastAsia="黑体" w:cs="黑体"/>
          <w:b w:val="0"/>
          <w:bCs w:val="0"/>
          <w:sz w:val="24"/>
          <w:szCs w:val="24"/>
          <w:highlight w:val="none"/>
        </w:rPr>
        <w:t>与甲方无关</w:t>
      </w:r>
      <w:r>
        <w:rPr>
          <w:rFonts w:hint="eastAsia" w:ascii="黑体" w:hAnsi="黑体" w:eastAsia="黑体" w:cs="黑体"/>
          <w:b w:val="0"/>
          <w:bCs w:val="0"/>
          <w:sz w:val="24"/>
          <w:szCs w:val="24"/>
          <w:highlight w:val="none"/>
          <w:lang w:eastAsia="zh-CN"/>
        </w:rPr>
        <w:t>，由乙方全部承担</w:t>
      </w: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eastAsia="zh-CN"/>
        </w:rPr>
        <w:t>甲方有权制止不</w:t>
      </w:r>
      <w:r>
        <w:rPr>
          <w:rFonts w:hint="eastAsia" w:ascii="黑体" w:hAnsi="黑体" w:eastAsia="黑体" w:cs="黑体"/>
          <w:b w:val="0"/>
          <w:bCs w:val="0"/>
          <w:sz w:val="24"/>
          <w:szCs w:val="24"/>
          <w:highlight w:val="none"/>
          <w:lang w:val="en-US" w:eastAsia="zh-CN"/>
        </w:rPr>
        <w:t>安</w:t>
      </w:r>
      <w:r>
        <w:rPr>
          <w:rFonts w:hint="eastAsia" w:ascii="黑体" w:hAnsi="黑体" w:eastAsia="黑体" w:cs="黑体"/>
          <w:b w:val="0"/>
          <w:bCs w:val="0"/>
          <w:sz w:val="24"/>
          <w:szCs w:val="24"/>
          <w:highlight w:val="none"/>
          <w:lang w:eastAsia="zh-CN"/>
        </w:rPr>
        <w:t>全行为并扣除绩效，对屡教不改的</w:t>
      </w:r>
      <w:r>
        <w:rPr>
          <w:rFonts w:hint="eastAsia" w:ascii="黑体" w:hAnsi="黑体" w:eastAsia="黑体" w:cs="黑体"/>
          <w:b w:val="0"/>
          <w:bCs w:val="0"/>
          <w:sz w:val="24"/>
          <w:szCs w:val="24"/>
          <w:highlight w:val="none"/>
          <w:lang w:val="en-US" w:eastAsia="zh-CN"/>
        </w:rPr>
        <w:t>餐饮服务</w:t>
      </w:r>
      <w:r>
        <w:rPr>
          <w:rFonts w:hint="eastAsia" w:ascii="黑体" w:hAnsi="黑体" w:eastAsia="黑体" w:cs="黑体"/>
          <w:b w:val="0"/>
          <w:bCs w:val="0"/>
          <w:sz w:val="24"/>
          <w:szCs w:val="24"/>
          <w:highlight w:val="none"/>
          <w:lang w:eastAsia="zh-CN"/>
        </w:rPr>
        <w:t>人员，甲方有权要求乙方辞退。</w:t>
      </w:r>
    </w:p>
    <w:p w14:paraId="345369AD">
      <w:pPr>
        <w:adjustRightInd w:val="0"/>
        <w:snapToGrid w:val="0"/>
        <w:spacing w:line="540" w:lineRule="atLeast"/>
        <w:ind w:firstLine="600"/>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lang w:val="en-US" w:eastAsia="zh-CN"/>
        </w:rPr>
        <w:t>8</w:t>
      </w:r>
      <w:r>
        <w:rPr>
          <w:rFonts w:hint="eastAsia" w:ascii="黑体" w:hAnsi="黑体" w:eastAsia="黑体" w:cs="黑体"/>
          <w:b w:val="0"/>
          <w:bCs w:val="0"/>
          <w:sz w:val="24"/>
          <w:szCs w:val="24"/>
          <w:highlight w:val="none"/>
        </w:rPr>
        <w:t>、</w:t>
      </w:r>
      <w:r>
        <w:rPr>
          <w:rFonts w:hint="eastAsia" w:ascii="黑体" w:hAnsi="黑体" w:eastAsia="黑体" w:cs="黑体"/>
          <w:b w:val="0"/>
          <w:bCs w:val="0"/>
          <w:sz w:val="24"/>
          <w:szCs w:val="24"/>
          <w:highlight w:val="none"/>
          <w:lang w:eastAsia="zh-CN"/>
        </w:rPr>
        <w:t>乙方</w:t>
      </w:r>
      <w:r>
        <w:rPr>
          <w:rFonts w:hint="eastAsia" w:ascii="黑体" w:hAnsi="黑体" w:eastAsia="黑体" w:cs="黑体"/>
          <w:b w:val="0"/>
          <w:bCs w:val="0"/>
          <w:sz w:val="24"/>
          <w:szCs w:val="24"/>
          <w:highlight w:val="none"/>
          <w:lang w:val="en-US" w:eastAsia="zh-CN"/>
        </w:rPr>
        <w:t>拟投入的餐饮服务</w:t>
      </w:r>
      <w:r>
        <w:rPr>
          <w:rFonts w:hint="eastAsia" w:ascii="黑体" w:hAnsi="黑体" w:eastAsia="黑体" w:cs="黑体"/>
          <w:b w:val="0"/>
          <w:bCs w:val="0"/>
          <w:sz w:val="24"/>
          <w:szCs w:val="24"/>
          <w:highlight w:val="none"/>
          <w:lang w:eastAsia="zh-CN"/>
        </w:rPr>
        <w:t>人员</w:t>
      </w:r>
      <w:r>
        <w:rPr>
          <w:rFonts w:hint="eastAsia" w:ascii="黑体" w:hAnsi="黑体" w:eastAsia="黑体" w:cs="黑体"/>
          <w:b w:val="0"/>
          <w:bCs w:val="0"/>
          <w:sz w:val="24"/>
          <w:szCs w:val="24"/>
          <w:highlight w:val="none"/>
        </w:rPr>
        <w:t>上下班的安全事故等，</w:t>
      </w:r>
      <w:r>
        <w:rPr>
          <w:rFonts w:hint="eastAsia" w:ascii="黑体" w:hAnsi="黑体" w:eastAsia="黑体" w:cs="黑体"/>
          <w:b w:val="0"/>
          <w:bCs w:val="0"/>
          <w:sz w:val="24"/>
          <w:szCs w:val="24"/>
          <w:highlight w:val="none"/>
          <w:lang w:val="en-US" w:eastAsia="zh-CN"/>
        </w:rPr>
        <w:t>均</w:t>
      </w:r>
      <w:r>
        <w:rPr>
          <w:rFonts w:hint="eastAsia" w:ascii="黑体" w:hAnsi="黑体" w:eastAsia="黑体" w:cs="黑体"/>
          <w:b w:val="0"/>
          <w:bCs w:val="0"/>
          <w:sz w:val="24"/>
          <w:szCs w:val="24"/>
          <w:highlight w:val="none"/>
        </w:rPr>
        <w:t>由乙方承担相应责任</w:t>
      </w:r>
      <w:r>
        <w:rPr>
          <w:rFonts w:hint="eastAsia" w:ascii="黑体" w:hAnsi="黑体" w:eastAsia="黑体" w:cs="黑体"/>
          <w:b w:val="0"/>
          <w:bCs w:val="0"/>
          <w:sz w:val="24"/>
          <w:szCs w:val="24"/>
          <w:highlight w:val="none"/>
          <w:lang w:eastAsia="zh-CN"/>
        </w:rPr>
        <w:t>，</w:t>
      </w:r>
      <w:r>
        <w:rPr>
          <w:rFonts w:hint="eastAsia" w:ascii="黑体" w:hAnsi="黑体" w:eastAsia="黑体" w:cs="黑体"/>
          <w:b w:val="0"/>
          <w:bCs w:val="0"/>
          <w:sz w:val="24"/>
          <w:szCs w:val="24"/>
          <w:highlight w:val="none"/>
        </w:rPr>
        <w:t>甲方</w:t>
      </w:r>
      <w:r>
        <w:rPr>
          <w:rFonts w:hint="eastAsia" w:ascii="黑体" w:hAnsi="黑体" w:eastAsia="黑体" w:cs="黑体"/>
          <w:b w:val="0"/>
          <w:bCs w:val="0"/>
          <w:sz w:val="24"/>
          <w:szCs w:val="24"/>
          <w:highlight w:val="none"/>
          <w:lang w:eastAsia="zh-CN"/>
        </w:rPr>
        <w:t>不</w:t>
      </w:r>
      <w:r>
        <w:rPr>
          <w:rFonts w:hint="eastAsia" w:ascii="黑体" w:hAnsi="黑体" w:eastAsia="黑体" w:cs="黑体"/>
          <w:b w:val="0"/>
          <w:bCs w:val="0"/>
          <w:sz w:val="24"/>
          <w:szCs w:val="24"/>
          <w:highlight w:val="none"/>
        </w:rPr>
        <w:t>承担责任。</w:t>
      </w:r>
    </w:p>
    <w:p w14:paraId="0BD07961">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9</w:t>
      </w:r>
      <w:r>
        <w:rPr>
          <w:rFonts w:hint="eastAsia" w:ascii="黑体" w:hAnsi="黑体" w:eastAsia="黑体" w:cs="黑体"/>
          <w:sz w:val="24"/>
          <w:szCs w:val="24"/>
          <w:highlight w:val="none"/>
        </w:rPr>
        <w:t>、未经甲方同意，乙方不得擅自对房屋、设备设施做任何改动。</w:t>
      </w:r>
    </w:p>
    <w:p w14:paraId="0D276F7D">
      <w:pPr>
        <w:adjustRightInd w:val="0"/>
        <w:snapToGrid w:val="0"/>
        <w:spacing w:line="540" w:lineRule="atLeast"/>
        <w:ind w:left="210" w:leftChars="100" w:firstLine="240" w:firstLineChars="100"/>
        <w:jc w:val="left"/>
        <w:rPr>
          <w:rFonts w:hint="eastAsia" w:ascii="黑体" w:hAnsi="黑体" w:eastAsia="黑体" w:cs="黑体"/>
          <w:b/>
          <w:sz w:val="24"/>
          <w:szCs w:val="24"/>
          <w:highlight w:val="none"/>
        </w:rPr>
      </w:pPr>
      <w:r>
        <w:rPr>
          <w:rFonts w:hint="eastAsia" w:ascii="黑体" w:hAnsi="黑体" w:eastAsia="黑体" w:cs="黑体"/>
          <w:sz w:val="24"/>
          <w:szCs w:val="24"/>
          <w:highlight w:val="none"/>
          <w:lang w:val="en-US" w:eastAsia="zh-CN"/>
        </w:rPr>
        <w:t>10</w:t>
      </w:r>
      <w:r>
        <w:rPr>
          <w:rFonts w:hint="eastAsia" w:ascii="黑体" w:hAnsi="黑体" w:eastAsia="黑体" w:cs="黑体"/>
          <w:sz w:val="24"/>
          <w:szCs w:val="24"/>
          <w:highlight w:val="none"/>
        </w:rPr>
        <w:t>、食堂增添设备设施及餐具，乙方需提前提出申请，由甲方</w:t>
      </w:r>
      <w:r>
        <w:rPr>
          <w:rFonts w:hint="eastAsia" w:ascii="黑体" w:hAnsi="黑体" w:eastAsia="黑体" w:cs="黑体"/>
          <w:sz w:val="24"/>
          <w:szCs w:val="24"/>
          <w:highlight w:val="none"/>
          <w:lang w:eastAsia="zh-CN"/>
        </w:rPr>
        <w:t>采购</w:t>
      </w:r>
      <w:r>
        <w:rPr>
          <w:rFonts w:hint="eastAsia" w:ascii="黑体" w:hAnsi="黑体" w:eastAsia="黑体" w:cs="黑体"/>
          <w:sz w:val="24"/>
          <w:szCs w:val="24"/>
          <w:highlight w:val="none"/>
        </w:rPr>
        <w:t>。</w:t>
      </w:r>
    </w:p>
    <w:p w14:paraId="7A988417">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11</w:t>
      </w:r>
      <w:r>
        <w:rPr>
          <w:rFonts w:hint="eastAsia" w:ascii="黑体" w:hAnsi="黑体" w:eastAsia="黑体" w:cs="黑体"/>
          <w:sz w:val="24"/>
          <w:szCs w:val="24"/>
          <w:highlight w:val="none"/>
        </w:rPr>
        <w:t>、在</w:t>
      </w:r>
      <w:r>
        <w:rPr>
          <w:rFonts w:hint="eastAsia" w:ascii="黑体" w:hAnsi="黑体" w:eastAsia="黑体" w:cs="黑体"/>
          <w:sz w:val="24"/>
          <w:szCs w:val="24"/>
          <w:highlight w:val="none"/>
          <w:lang w:val="en-US" w:eastAsia="zh-CN"/>
        </w:rPr>
        <w:t>提供餐饮服务</w:t>
      </w:r>
      <w:r>
        <w:rPr>
          <w:rFonts w:hint="eastAsia" w:ascii="黑体" w:hAnsi="黑体" w:eastAsia="黑体" w:cs="黑体"/>
          <w:sz w:val="24"/>
          <w:szCs w:val="24"/>
          <w:highlight w:val="none"/>
        </w:rPr>
        <w:t>期间，乙方应合理妥善保管、维护甲方提供的设施设备。</w:t>
      </w:r>
    </w:p>
    <w:p w14:paraId="3BA616CA">
      <w:pPr>
        <w:adjustRightInd w:val="0"/>
        <w:snapToGrid w:val="0"/>
        <w:spacing w:line="540" w:lineRule="atLeast"/>
        <w:ind w:firstLine="480" w:firstLineChars="200"/>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rPr>
        <w:t>12、如因乙方不按食品卫生部门</w:t>
      </w:r>
      <w:r>
        <w:rPr>
          <w:rFonts w:hint="eastAsia" w:ascii="黑体" w:hAnsi="黑体" w:eastAsia="黑体" w:cs="黑体"/>
          <w:b w:val="0"/>
          <w:bCs/>
          <w:sz w:val="24"/>
          <w:szCs w:val="24"/>
          <w:highlight w:val="none"/>
          <w:lang w:eastAsia="zh-CN"/>
        </w:rPr>
        <w:t>或</w:t>
      </w:r>
      <w:r>
        <w:rPr>
          <w:rFonts w:hint="eastAsia" w:ascii="黑体" w:hAnsi="黑体" w:eastAsia="黑体" w:cs="黑体"/>
          <w:b w:val="0"/>
          <w:bCs/>
          <w:sz w:val="24"/>
          <w:szCs w:val="24"/>
          <w:highlight w:val="none"/>
          <w:lang w:val="en-US" w:eastAsia="zh-CN"/>
        </w:rPr>
        <w:t>甲方</w:t>
      </w:r>
      <w:r>
        <w:rPr>
          <w:rFonts w:hint="eastAsia" w:ascii="黑体" w:hAnsi="黑体" w:eastAsia="黑体" w:cs="黑体"/>
          <w:b w:val="0"/>
          <w:bCs/>
          <w:sz w:val="24"/>
          <w:szCs w:val="24"/>
          <w:highlight w:val="none"/>
          <w:lang w:eastAsia="zh-CN"/>
        </w:rPr>
        <w:t>管理</w:t>
      </w:r>
      <w:r>
        <w:rPr>
          <w:rFonts w:hint="eastAsia" w:ascii="黑体" w:hAnsi="黑体" w:eastAsia="黑体" w:cs="黑体"/>
          <w:b w:val="0"/>
          <w:bCs/>
          <w:sz w:val="24"/>
          <w:szCs w:val="24"/>
          <w:highlight w:val="none"/>
        </w:rPr>
        <w:t>要求（持健康证上岗、统一衣帽、口罩、手套、饭菜卫生、饭菜不熟等），所引发生的一切责任及其费用（包括卫生部门的罚款）均由乙方负责承担。</w:t>
      </w:r>
    </w:p>
    <w:p w14:paraId="13F23AE2">
      <w:pPr>
        <w:adjustRightInd w:val="0"/>
        <w:snapToGrid w:val="0"/>
        <w:spacing w:line="540" w:lineRule="atLeast"/>
        <w:ind w:firstLine="482" w:firstLineChars="200"/>
        <w:rPr>
          <w:rFonts w:hint="eastAsia" w:ascii="黑体" w:hAnsi="黑体" w:eastAsia="黑体" w:cs="黑体"/>
          <w:b/>
          <w:sz w:val="24"/>
          <w:szCs w:val="24"/>
          <w:highlight w:val="none"/>
        </w:rPr>
      </w:pPr>
      <w:r>
        <w:rPr>
          <w:rFonts w:hint="eastAsia" w:ascii="黑体" w:hAnsi="黑体" w:eastAsia="黑体" w:cs="黑体"/>
          <w:b/>
          <w:sz w:val="24"/>
          <w:szCs w:val="24"/>
          <w:highlight w:val="none"/>
        </w:rPr>
        <w:t>六、违约责任</w:t>
      </w:r>
    </w:p>
    <w:p w14:paraId="4D466B46">
      <w:pPr>
        <w:adjustRightInd w:val="0"/>
        <w:snapToGrid w:val="0"/>
        <w:spacing w:line="540" w:lineRule="atLeast"/>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1、甲乙双方应共同遵守合同各项约定，切实履行各项义务。</w:t>
      </w:r>
    </w:p>
    <w:p w14:paraId="622754A3">
      <w:pPr>
        <w:adjustRightInd w:val="0"/>
        <w:snapToGrid w:val="0"/>
        <w:spacing w:line="540" w:lineRule="atLeast"/>
        <w:rPr>
          <w:rFonts w:hint="eastAsia" w:ascii="黑体" w:hAnsi="黑体" w:eastAsia="黑体" w:cs="黑体"/>
          <w:b w:val="0"/>
          <w:bCs w:val="0"/>
          <w:sz w:val="24"/>
          <w:szCs w:val="24"/>
          <w:highlight w:val="none"/>
        </w:rPr>
      </w:pPr>
      <w:r>
        <w:rPr>
          <w:rFonts w:hint="eastAsia" w:ascii="黑体" w:hAnsi="黑体" w:eastAsia="黑体" w:cs="黑体"/>
          <w:sz w:val="24"/>
          <w:szCs w:val="24"/>
          <w:highlight w:val="none"/>
        </w:rPr>
        <w:t xml:space="preserve">    2、在合同有效期内,双方不得擅自终止合同。经甲乙双方协商一致同意终止合同，</w:t>
      </w:r>
      <w:r>
        <w:rPr>
          <w:rFonts w:hint="eastAsia" w:ascii="黑体" w:hAnsi="黑体" w:eastAsia="黑体" w:cs="黑体"/>
          <w:b w:val="0"/>
          <w:bCs w:val="0"/>
          <w:sz w:val="24"/>
          <w:szCs w:val="24"/>
          <w:highlight w:val="none"/>
        </w:rPr>
        <w:t>必须提前15天通知对方，否则视为违约。违约方应承担</w:t>
      </w:r>
      <w:r>
        <w:rPr>
          <w:rFonts w:hint="eastAsia" w:ascii="黑体" w:hAnsi="黑体" w:eastAsia="黑体" w:cs="黑体"/>
          <w:b w:val="0"/>
          <w:bCs w:val="0"/>
          <w:sz w:val="24"/>
          <w:szCs w:val="24"/>
          <w:highlight w:val="none"/>
          <w:lang w:eastAsia="zh-CN"/>
        </w:rPr>
        <w:t>承包劳务费总额</w:t>
      </w:r>
      <w:r>
        <w:rPr>
          <w:rFonts w:hint="eastAsia" w:ascii="黑体" w:hAnsi="黑体" w:eastAsia="黑体" w:cs="黑体"/>
          <w:b w:val="0"/>
          <w:bCs w:val="0"/>
          <w:sz w:val="24"/>
          <w:szCs w:val="24"/>
          <w:highlight w:val="none"/>
          <w:u w:val="single"/>
        </w:rPr>
        <w:t xml:space="preserve"> </w:t>
      </w:r>
      <w:r>
        <w:rPr>
          <w:rFonts w:hint="eastAsia" w:ascii="黑体" w:hAnsi="黑体" w:eastAsia="黑体" w:cs="黑体"/>
          <w:b w:val="0"/>
          <w:bCs w:val="0"/>
          <w:sz w:val="24"/>
          <w:szCs w:val="24"/>
          <w:highlight w:val="none"/>
          <w:u w:val="single"/>
          <w:lang w:val="en-US" w:eastAsia="zh-CN"/>
        </w:rPr>
        <w:t>5%</w:t>
      </w:r>
      <w:r>
        <w:rPr>
          <w:rFonts w:hint="eastAsia" w:ascii="黑体" w:hAnsi="黑体" w:eastAsia="黑体" w:cs="黑体"/>
          <w:b w:val="0"/>
          <w:bCs w:val="0"/>
          <w:sz w:val="24"/>
          <w:szCs w:val="24"/>
          <w:highlight w:val="none"/>
          <w:lang w:eastAsia="zh-CN"/>
        </w:rPr>
        <w:t>违约金</w:t>
      </w:r>
      <w:r>
        <w:rPr>
          <w:rFonts w:hint="eastAsia" w:ascii="黑体" w:hAnsi="黑体" w:eastAsia="黑体" w:cs="黑体"/>
          <w:b w:val="0"/>
          <w:bCs w:val="0"/>
          <w:sz w:val="24"/>
          <w:szCs w:val="24"/>
          <w:highlight w:val="none"/>
        </w:rPr>
        <w:t>。</w:t>
      </w:r>
    </w:p>
    <w:p w14:paraId="1655DD19">
      <w:pPr>
        <w:adjustRightInd w:val="0"/>
        <w:snapToGrid w:val="0"/>
        <w:spacing w:line="540" w:lineRule="atLeast"/>
        <w:ind w:firstLine="560"/>
        <w:rPr>
          <w:rFonts w:hint="eastAsia" w:ascii="黑体" w:hAnsi="黑体" w:eastAsia="黑体" w:cs="黑体"/>
          <w:b w:val="0"/>
          <w:bCs w:val="0"/>
          <w:sz w:val="24"/>
          <w:szCs w:val="24"/>
          <w:highlight w:val="none"/>
          <w:lang w:eastAsia="zh-CN"/>
        </w:rPr>
      </w:pPr>
      <w:r>
        <w:rPr>
          <w:rFonts w:hint="eastAsia" w:ascii="黑体" w:hAnsi="黑体" w:eastAsia="黑体" w:cs="黑体"/>
          <w:b w:val="0"/>
          <w:bCs w:val="0"/>
          <w:sz w:val="24"/>
          <w:szCs w:val="24"/>
          <w:highlight w:val="none"/>
        </w:rPr>
        <w:t>3、乙方</w:t>
      </w:r>
      <w:r>
        <w:rPr>
          <w:rFonts w:hint="eastAsia" w:ascii="黑体" w:hAnsi="黑体" w:eastAsia="黑体" w:cs="黑体"/>
          <w:b w:val="0"/>
          <w:bCs w:val="0"/>
          <w:sz w:val="24"/>
          <w:szCs w:val="24"/>
          <w:highlight w:val="none"/>
          <w:lang w:eastAsia="zh-CN"/>
        </w:rPr>
        <w:t>不得</w:t>
      </w:r>
      <w:r>
        <w:rPr>
          <w:rFonts w:hint="eastAsia" w:ascii="黑体" w:hAnsi="黑体" w:eastAsia="黑体" w:cs="黑体"/>
          <w:b w:val="0"/>
          <w:bCs w:val="0"/>
          <w:sz w:val="24"/>
          <w:szCs w:val="24"/>
          <w:highlight w:val="none"/>
        </w:rPr>
        <w:t>擅自或变相转让</w:t>
      </w:r>
      <w:r>
        <w:rPr>
          <w:rFonts w:hint="eastAsia" w:ascii="黑体" w:hAnsi="黑体" w:eastAsia="黑体" w:cs="黑体"/>
          <w:b w:val="0"/>
          <w:bCs w:val="0"/>
          <w:sz w:val="24"/>
          <w:szCs w:val="24"/>
          <w:highlight w:val="none"/>
          <w:lang w:val="en-US" w:eastAsia="zh-CN"/>
        </w:rPr>
        <w:t>此</w:t>
      </w:r>
      <w:r>
        <w:rPr>
          <w:rFonts w:hint="eastAsia" w:ascii="黑体" w:hAnsi="黑体" w:eastAsia="黑体" w:cs="黑体"/>
          <w:b w:val="0"/>
          <w:bCs w:val="0"/>
          <w:sz w:val="24"/>
          <w:szCs w:val="24"/>
          <w:highlight w:val="none"/>
        </w:rPr>
        <w:t>合同</w:t>
      </w:r>
      <w:r>
        <w:rPr>
          <w:rFonts w:hint="eastAsia" w:ascii="黑体" w:hAnsi="黑体" w:eastAsia="黑体" w:cs="黑体"/>
          <w:b w:val="0"/>
          <w:bCs w:val="0"/>
          <w:sz w:val="24"/>
          <w:szCs w:val="24"/>
          <w:highlight w:val="none"/>
          <w:lang w:eastAsia="zh-CN"/>
        </w:rPr>
        <w:t>。</w:t>
      </w:r>
    </w:p>
    <w:p w14:paraId="191B071C">
      <w:pPr>
        <w:adjustRightInd w:val="0"/>
        <w:snapToGrid w:val="0"/>
        <w:spacing w:line="540" w:lineRule="atLeast"/>
        <w:ind w:firstLine="56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4、</w:t>
      </w:r>
      <w:r>
        <w:rPr>
          <w:rFonts w:hint="eastAsia" w:ascii="黑体" w:hAnsi="黑体" w:eastAsia="黑体" w:cs="黑体"/>
          <w:b w:val="0"/>
          <w:bCs w:val="0"/>
          <w:sz w:val="24"/>
          <w:szCs w:val="24"/>
          <w:highlight w:val="none"/>
        </w:rPr>
        <w:t>乙方</w:t>
      </w:r>
      <w:r>
        <w:rPr>
          <w:rFonts w:hint="eastAsia" w:ascii="黑体" w:hAnsi="黑体" w:eastAsia="黑体" w:cs="黑体"/>
          <w:b w:val="0"/>
          <w:bCs w:val="0"/>
          <w:sz w:val="24"/>
          <w:szCs w:val="24"/>
          <w:highlight w:val="none"/>
          <w:lang w:eastAsia="zh-CN"/>
        </w:rPr>
        <w:t>若</w:t>
      </w:r>
      <w:r>
        <w:rPr>
          <w:rFonts w:hint="eastAsia" w:ascii="黑体" w:hAnsi="黑体" w:eastAsia="黑体" w:cs="黑体"/>
          <w:b w:val="0"/>
          <w:bCs w:val="0"/>
          <w:sz w:val="24"/>
          <w:szCs w:val="24"/>
          <w:highlight w:val="none"/>
        </w:rPr>
        <w:t>违反</w:t>
      </w:r>
      <w:r>
        <w:rPr>
          <w:rFonts w:hint="eastAsia" w:ascii="黑体" w:hAnsi="黑体" w:eastAsia="黑体" w:cs="黑体"/>
          <w:b w:val="0"/>
          <w:bCs w:val="0"/>
          <w:sz w:val="24"/>
          <w:szCs w:val="24"/>
          <w:highlight w:val="none"/>
          <w:lang w:eastAsia="zh-CN"/>
        </w:rPr>
        <w:t>甲方</w:t>
      </w:r>
      <w:r>
        <w:rPr>
          <w:rFonts w:hint="eastAsia" w:ascii="黑体" w:hAnsi="黑体" w:eastAsia="黑体" w:cs="黑体"/>
          <w:b w:val="0"/>
          <w:bCs w:val="0"/>
          <w:sz w:val="24"/>
          <w:szCs w:val="24"/>
          <w:highlight w:val="none"/>
        </w:rPr>
        <w:t>规定、饭菜质量差、投诉多，出现卫生安全等事故造成不良影响的，</w:t>
      </w:r>
      <w:r>
        <w:rPr>
          <w:rFonts w:hint="eastAsia" w:ascii="黑体" w:hAnsi="黑体" w:eastAsia="黑体" w:cs="黑体"/>
          <w:b w:val="0"/>
          <w:bCs w:val="0"/>
          <w:sz w:val="24"/>
          <w:szCs w:val="24"/>
          <w:highlight w:val="none"/>
          <w:lang w:eastAsia="zh-CN"/>
        </w:rPr>
        <w:t>乙方承担</w:t>
      </w:r>
      <w:r>
        <w:rPr>
          <w:rFonts w:hint="eastAsia" w:ascii="黑体" w:hAnsi="黑体" w:eastAsia="黑体" w:cs="黑体"/>
          <w:b w:val="0"/>
          <w:bCs w:val="0"/>
          <w:sz w:val="24"/>
          <w:szCs w:val="24"/>
          <w:highlight w:val="none"/>
        </w:rPr>
        <w:t>一切责任</w:t>
      </w:r>
      <w:r>
        <w:rPr>
          <w:rFonts w:hint="eastAsia" w:ascii="黑体" w:hAnsi="黑体" w:eastAsia="黑体" w:cs="黑体"/>
          <w:b w:val="0"/>
          <w:bCs w:val="0"/>
          <w:sz w:val="24"/>
          <w:szCs w:val="24"/>
          <w:highlight w:val="none"/>
          <w:lang w:eastAsia="zh-CN"/>
        </w:rPr>
        <w:t>及其费用，</w:t>
      </w:r>
      <w:r>
        <w:rPr>
          <w:rFonts w:hint="eastAsia" w:ascii="黑体" w:hAnsi="黑体" w:eastAsia="黑体" w:cs="黑体"/>
          <w:b w:val="0"/>
          <w:bCs w:val="0"/>
          <w:sz w:val="24"/>
          <w:szCs w:val="24"/>
          <w:highlight w:val="none"/>
        </w:rPr>
        <w:t>甲方有权单方终止合同，且无任何赔偿与补偿（付清截止当日的</w:t>
      </w:r>
      <w:r>
        <w:rPr>
          <w:rFonts w:hint="eastAsia" w:ascii="黑体" w:hAnsi="黑体" w:eastAsia="黑体" w:cs="黑体"/>
          <w:b w:val="0"/>
          <w:bCs w:val="0"/>
          <w:sz w:val="24"/>
          <w:szCs w:val="24"/>
          <w:highlight w:val="none"/>
          <w:lang w:val="en-US" w:eastAsia="zh-CN"/>
        </w:rPr>
        <w:t>餐饮服务</w:t>
      </w:r>
      <w:r>
        <w:rPr>
          <w:rFonts w:hint="eastAsia" w:ascii="黑体" w:hAnsi="黑体" w:eastAsia="黑体" w:cs="黑体"/>
          <w:b w:val="0"/>
          <w:bCs w:val="0"/>
          <w:sz w:val="24"/>
          <w:szCs w:val="24"/>
          <w:highlight w:val="none"/>
        </w:rPr>
        <w:t>费）。</w:t>
      </w:r>
    </w:p>
    <w:p w14:paraId="1177CB31">
      <w:pPr>
        <w:adjustRightInd w:val="0"/>
        <w:snapToGrid w:val="0"/>
        <w:spacing w:line="540" w:lineRule="atLeast"/>
        <w:ind w:firstLine="560"/>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5、甲方对乙方提出的整改要求，乙方多次不按期执行的，</w:t>
      </w:r>
      <w:r>
        <w:rPr>
          <w:rFonts w:hint="eastAsia" w:ascii="黑体" w:hAnsi="黑体" w:eastAsia="黑体" w:cs="黑体"/>
          <w:b w:val="0"/>
          <w:bCs w:val="0"/>
          <w:sz w:val="24"/>
          <w:szCs w:val="24"/>
          <w:highlight w:val="none"/>
        </w:rPr>
        <w:t>甲方有权单方终止合同，且无任何赔偿与补偿</w:t>
      </w:r>
      <w:r>
        <w:rPr>
          <w:rFonts w:hint="eastAsia" w:ascii="黑体" w:hAnsi="黑体" w:eastAsia="黑体" w:cs="黑体"/>
          <w:b w:val="0"/>
          <w:bCs w:val="0"/>
          <w:sz w:val="24"/>
          <w:szCs w:val="24"/>
          <w:highlight w:val="none"/>
          <w:lang w:eastAsia="zh-CN"/>
        </w:rPr>
        <w:t>。</w:t>
      </w:r>
    </w:p>
    <w:p w14:paraId="6977F99A">
      <w:pPr>
        <w:adjustRightInd w:val="0"/>
        <w:snapToGrid w:val="0"/>
        <w:spacing w:line="540" w:lineRule="atLeast"/>
        <w:rPr>
          <w:rFonts w:hint="eastAsia" w:ascii="黑体" w:hAnsi="黑体" w:eastAsia="黑体" w:cs="黑体"/>
          <w:b/>
          <w:sz w:val="24"/>
          <w:szCs w:val="24"/>
          <w:highlight w:val="none"/>
        </w:rPr>
      </w:pPr>
      <w:r>
        <w:rPr>
          <w:rFonts w:hint="eastAsia" w:ascii="黑体" w:hAnsi="黑体" w:eastAsia="黑体" w:cs="黑体"/>
          <w:sz w:val="24"/>
          <w:szCs w:val="24"/>
          <w:highlight w:val="none"/>
        </w:rPr>
        <w:t xml:space="preserve">    </w:t>
      </w:r>
      <w:r>
        <w:rPr>
          <w:rFonts w:hint="eastAsia" w:ascii="黑体" w:hAnsi="黑体" w:eastAsia="黑体" w:cs="黑体"/>
          <w:b/>
          <w:sz w:val="24"/>
          <w:szCs w:val="24"/>
          <w:highlight w:val="none"/>
        </w:rPr>
        <w:t>七、合同补充与变更</w:t>
      </w:r>
    </w:p>
    <w:p w14:paraId="033165CD">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合同未尽事宜、由甲、乙双方协商，作为合同补充，与原合同具有同等法律效力。</w:t>
      </w:r>
    </w:p>
    <w:p w14:paraId="42005082">
      <w:pPr>
        <w:adjustRightInd w:val="0"/>
        <w:snapToGrid w:val="0"/>
        <w:spacing w:line="540" w:lineRule="atLeast"/>
        <w:rPr>
          <w:rFonts w:hint="eastAsia" w:ascii="黑体" w:hAnsi="黑体" w:eastAsia="黑体" w:cs="黑体"/>
          <w:b/>
          <w:sz w:val="24"/>
          <w:szCs w:val="24"/>
          <w:highlight w:val="none"/>
        </w:rPr>
      </w:pPr>
      <w:r>
        <w:rPr>
          <w:rFonts w:hint="eastAsia" w:ascii="黑体" w:hAnsi="黑体" w:eastAsia="黑体" w:cs="黑体"/>
          <w:sz w:val="24"/>
          <w:szCs w:val="24"/>
          <w:highlight w:val="none"/>
        </w:rPr>
        <w:t xml:space="preserve">   </w:t>
      </w:r>
      <w:r>
        <w:rPr>
          <w:rFonts w:hint="eastAsia" w:ascii="黑体" w:hAnsi="黑体" w:eastAsia="黑体" w:cs="黑体"/>
          <w:b/>
          <w:bCs/>
          <w:sz w:val="24"/>
          <w:szCs w:val="24"/>
          <w:highlight w:val="none"/>
        </w:rPr>
        <w:t xml:space="preserve"> </w:t>
      </w:r>
      <w:r>
        <w:rPr>
          <w:rFonts w:hint="eastAsia" w:ascii="黑体" w:hAnsi="黑体" w:eastAsia="黑体" w:cs="黑体"/>
          <w:b/>
          <w:bCs/>
          <w:sz w:val="24"/>
          <w:szCs w:val="24"/>
          <w:highlight w:val="none"/>
          <w:lang w:val="en-US" w:eastAsia="zh-CN"/>
        </w:rPr>
        <w:t>八</w:t>
      </w:r>
      <w:r>
        <w:rPr>
          <w:rFonts w:hint="eastAsia" w:ascii="黑体" w:hAnsi="黑体" w:eastAsia="黑体" w:cs="黑体"/>
          <w:b/>
          <w:bCs/>
          <w:sz w:val="24"/>
          <w:szCs w:val="24"/>
          <w:highlight w:val="none"/>
        </w:rPr>
        <w:t>、争议的解决</w:t>
      </w:r>
    </w:p>
    <w:p w14:paraId="3489072F">
      <w:pPr>
        <w:adjustRightInd w:val="0"/>
        <w:snapToGrid w:val="0"/>
        <w:spacing w:line="540" w:lineRule="atLeast"/>
        <w:ind w:firstLine="480" w:firstLineChars="200"/>
        <w:rPr>
          <w:rFonts w:hint="eastAsia" w:ascii="黑体" w:hAnsi="黑体" w:eastAsia="黑体" w:cs="黑体"/>
          <w:sz w:val="24"/>
          <w:szCs w:val="24"/>
          <w:highlight w:val="none"/>
        </w:rPr>
      </w:pPr>
      <w:r>
        <w:rPr>
          <w:rFonts w:hint="eastAsia" w:ascii="黑体" w:hAnsi="黑体" w:eastAsia="黑体" w:cs="黑体"/>
          <w:sz w:val="24"/>
          <w:szCs w:val="24"/>
          <w:highlight w:val="none"/>
        </w:rPr>
        <w:t>双方对本合同有关条款的解释或履行发生争议时，应通过友好协商的方式解决，若协商不能解决，可申请劳动仲裁或向人民法院提起诉讼。</w:t>
      </w:r>
    </w:p>
    <w:p w14:paraId="524FB8CF">
      <w:pPr>
        <w:adjustRightInd w:val="0"/>
        <w:snapToGrid w:val="0"/>
        <w:spacing w:line="540" w:lineRule="atLeast"/>
        <w:ind w:firstLine="482" w:firstLineChars="200"/>
        <w:rPr>
          <w:rFonts w:hint="eastAsia" w:ascii="黑体" w:hAnsi="黑体" w:eastAsia="黑体" w:cs="黑体"/>
          <w:sz w:val="24"/>
          <w:szCs w:val="24"/>
          <w:highlight w:val="none"/>
        </w:rPr>
      </w:pPr>
      <w:r>
        <w:rPr>
          <w:rFonts w:hint="eastAsia" w:ascii="黑体" w:hAnsi="黑体" w:eastAsia="黑体" w:cs="黑体"/>
          <w:b/>
          <w:sz w:val="24"/>
          <w:szCs w:val="24"/>
          <w:highlight w:val="none"/>
          <w:lang w:val="en-US" w:eastAsia="zh-CN"/>
        </w:rPr>
        <w:t>九</w:t>
      </w:r>
      <w:r>
        <w:rPr>
          <w:rFonts w:hint="eastAsia" w:ascii="黑体" w:hAnsi="黑体" w:eastAsia="黑体" w:cs="黑体"/>
          <w:b/>
          <w:sz w:val="24"/>
          <w:szCs w:val="24"/>
          <w:highlight w:val="none"/>
        </w:rPr>
        <w:t>、本合同—式三份，甲乙双方各执一份，报教体局备案一份，具有相同的法律效力。</w:t>
      </w:r>
    </w:p>
    <w:tbl>
      <w:tblPr>
        <w:tblStyle w:val="22"/>
        <w:tblpPr w:leftFromText="180" w:rightFromText="180" w:vertAnchor="text" w:horzAnchor="page" w:tblpX="1442" w:tblpY="347"/>
        <w:tblOverlap w:val="never"/>
        <w:tblW w:w="94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6"/>
        <w:gridCol w:w="5003"/>
      </w:tblGrid>
      <w:tr w14:paraId="3CBDF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4496" w:type="dxa"/>
            <w:noWrap w:val="0"/>
            <w:vAlign w:val="top"/>
          </w:tcPr>
          <w:p w14:paraId="02EA97EB">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甲  方(公章)</w:t>
            </w:r>
          </w:p>
        </w:tc>
        <w:tc>
          <w:tcPr>
            <w:tcW w:w="5003" w:type="dxa"/>
            <w:noWrap w:val="0"/>
            <w:vAlign w:val="top"/>
          </w:tcPr>
          <w:p w14:paraId="09E30212">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乙  方（公章）</w:t>
            </w:r>
          </w:p>
        </w:tc>
      </w:tr>
      <w:tr w14:paraId="56340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4496" w:type="dxa"/>
            <w:noWrap w:val="0"/>
            <w:vAlign w:val="center"/>
          </w:tcPr>
          <w:p w14:paraId="214C8441">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采购人全称：</w:t>
            </w:r>
          </w:p>
        </w:tc>
        <w:tc>
          <w:tcPr>
            <w:tcW w:w="5003" w:type="dxa"/>
            <w:noWrap w:val="0"/>
            <w:vAlign w:val="center"/>
          </w:tcPr>
          <w:p w14:paraId="09831960">
            <w:pPr>
              <w:autoSpaceDE w:val="0"/>
              <w:autoSpaceDN w:val="0"/>
              <w:spacing w:line="360" w:lineRule="auto"/>
              <w:jc w:val="left"/>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中标供应商全称：</w:t>
            </w:r>
          </w:p>
        </w:tc>
      </w:tr>
      <w:tr w14:paraId="4D248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433219C2">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 xml:space="preserve">地址：   </w:t>
            </w:r>
          </w:p>
        </w:tc>
        <w:tc>
          <w:tcPr>
            <w:tcW w:w="5003" w:type="dxa"/>
            <w:noWrap w:val="0"/>
            <w:vAlign w:val="center"/>
          </w:tcPr>
          <w:p w14:paraId="08B6633A">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地址：</w:t>
            </w:r>
          </w:p>
        </w:tc>
      </w:tr>
      <w:tr w14:paraId="3C70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40FD8729">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 xml:space="preserve">法定代表人（签字或盖章）： </w:t>
            </w:r>
          </w:p>
        </w:tc>
        <w:tc>
          <w:tcPr>
            <w:tcW w:w="5003" w:type="dxa"/>
            <w:noWrap w:val="0"/>
            <w:vAlign w:val="center"/>
          </w:tcPr>
          <w:p w14:paraId="377D6337">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法定代表人（签字或盖章）：</w:t>
            </w:r>
          </w:p>
        </w:tc>
      </w:tr>
      <w:tr w14:paraId="3870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1BB644DE">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代理人（签字或盖章）：</w:t>
            </w:r>
          </w:p>
        </w:tc>
        <w:tc>
          <w:tcPr>
            <w:tcW w:w="5003" w:type="dxa"/>
            <w:noWrap w:val="0"/>
            <w:vAlign w:val="center"/>
          </w:tcPr>
          <w:p w14:paraId="62FEFE1A">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被授权代表（签字或盖章）：</w:t>
            </w:r>
          </w:p>
        </w:tc>
      </w:tr>
      <w:tr w14:paraId="751E4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6CAD2AAA">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开户银行：</w:t>
            </w:r>
          </w:p>
        </w:tc>
        <w:tc>
          <w:tcPr>
            <w:tcW w:w="5003" w:type="dxa"/>
            <w:noWrap w:val="0"/>
            <w:vAlign w:val="center"/>
          </w:tcPr>
          <w:p w14:paraId="2267D655">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电话：</w:t>
            </w:r>
          </w:p>
        </w:tc>
      </w:tr>
      <w:tr w14:paraId="75FC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20C953B3">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账   号：</w:t>
            </w:r>
          </w:p>
        </w:tc>
        <w:tc>
          <w:tcPr>
            <w:tcW w:w="5003" w:type="dxa"/>
            <w:noWrap w:val="0"/>
            <w:vAlign w:val="center"/>
          </w:tcPr>
          <w:p w14:paraId="311D40AD">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开户银行：</w:t>
            </w:r>
          </w:p>
        </w:tc>
      </w:tr>
      <w:tr w14:paraId="2F77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4496" w:type="dxa"/>
            <w:noWrap w:val="0"/>
            <w:vAlign w:val="center"/>
          </w:tcPr>
          <w:p w14:paraId="217D259A">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联系电话：</w:t>
            </w:r>
          </w:p>
        </w:tc>
        <w:tc>
          <w:tcPr>
            <w:tcW w:w="5003" w:type="dxa"/>
            <w:noWrap w:val="0"/>
            <w:vAlign w:val="center"/>
          </w:tcPr>
          <w:p w14:paraId="4F6A3A6F">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帐号：</w:t>
            </w:r>
          </w:p>
        </w:tc>
      </w:tr>
      <w:tr w14:paraId="7DB4E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4496" w:type="dxa"/>
            <w:noWrap w:val="0"/>
            <w:vAlign w:val="center"/>
          </w:tcPr>
          <w:p w14:paraId="5E4024A1">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日期：    年      月      日</w:t>
            </w:r>
          </w:p>
        </w:tc>
        <w:tc>
          <w:tcPr>
            <w:tcW w:w="5003" w:type="dxa"/>
            <w:noWrap w:val="0"/>
            <w:vAlign w:val="center"/>
          </w:tcPr>
          <w:p w14:paraId="18A69CD6">
            <w:pPr>
              <w:autoSpaceDE w:val="0"/>
              <w:autoSpaceDN w:val="0"/>
              <w:spacing w:line="360" w:lineRule="auto"/>
              <w:rPr>
                <w:rFonts w:hint="eastAsia" w:ascii="黑体" w:hAnsi="黑体" w:eastAsia="黑体" w:cs="黑体"/>
                <w:color w:val="000000"/>
                <w:spacing w:val="-20"/>
                <w:kern w:val="0"/>
                <w:sz w:val="24"/>
                <w:szCs w:val="24"/>
                <w:highlight w:val="none"/>
              </w:rPr>
            </w:pPr>
            <w:r>
              <w:rPr>
                <w:rFonts w:hint="eastAsia" w:ascii="黑体" w:hAnsi="黑体" w:eastAsia="黑体" w:cs="黑体"/>
                <w:color w:val="000000"/>
                <w:spacing w:val="-20"/>
                <w:kern w:val="0"/>
                <w:sz w:val="24"/>
                <w:szCs w:val="24"/>
                <w:highlight w:val="none"/>
              </w:rPr>
              <w:t>日期：   年     月   日</w:t>
            </w:r>
          </w:p>
        </w:tc>
      </w:tr>
    </w:tbl>
    <w:p w14:paraId="4BDE6F0D">
      <w:pPr>
        <w:tabs>
          <w:tab w:val="left" w:pos="675"/>
        </w:tabs>
        <w:rPr>
          <w:rFonts w:hint="eastAsia" w:ascii="黑体" w:hAnsi="黑体" w:eastAsia="黑体" w:cs="黑体"/>
          <w:b/>
          <w:sz w:val="24"/>
          <w:szCs w:val="24"/>
          <w:highlight w:val="none"/>
        </w:rPr>
      </w:pPr>
    </w:p>
    <w:p w14:paraId="7DC8485E">
      <w:pPr>
        <w:spacing w:line="300" w:lineRule="exact"/>
        <w:rPr>
          <w:rFonts w:hint="eastAsia" w:ascii="黑体" w:hAnsi="黑体" w:eastAsia="黑体" w:cs="黑体"/>
          <w:b/>
          <w:bCs/>
          <w:color w:val="auto"/>
          <w:sz w:val="24"/>
          <w:szCs w:val="24"/>
          <w:highlight w:val="none"/>
          <w:lang w:val="zh-CN"/>
        </w:rPr>
      </w:pPr>
      <w:r>
        <w:rPr>
          <w:rFonts w:hint="eastAsia" w:ascii="黑体" w:hAnsi="黑体" w:eastAsia="黑体" w:cs="黑体"/>
          <w:b/>
          <w:color w:val="000000"/>
          <w:sz w:val="24"/>
          <w:szCs w:val="24"/>
          <w:highlight w:val="none"/>
        </w:rPr>
        <w:br w:type="page"/>
      </w:r>
    </w:p>
    <w:p w14:paraId="5BA01994">
      <w:pPr>
        <w:spacing w:line="360" w:lineRule="auto"/>
        <w:ind w:firstLine="2891" w:firstLineChars="800"/>
        <w:jc w:val="both"/>
        <w:rPr>
          <w:rFonts w:hint="eastAsia" w:ascii="黑体" w:hAnsi="黑体" w:eastAsia="黑体" w:cs="黑体"/>
          <w:b/>
          <w:bCs/>
          <w:color w:val="auto"/>
          <w:sz w:val="36"/>
          <w:szCs w:val="36"/>
          <w:highlight w:val="none"/>
          <w:lang w:val="zh-CN"/>
        </w:rPr>
      </w:pPr>
      <w:r>
        <w:rPr>
          <w:rFonts w:hint="eastAsia" w:ascii="黑体" w:hAnsi="黑体" w:eastAsia="黑体" w:cs="黑体"/>
          <w:b/>
          <w:bCs/>
          <w:color w:val="auto"/>
          <w:sz w:val="36"/>
          <w:szCs w:val="36"/>
          <w:highlight w:val="none"/>
          <w:lang w:val="zh-CN"/>
        </w:rPr>
        <w:t>第</w:t>
      </w:r>
      <w:r>
        <w:rPr>
          <w:rFonts w:hint="eastAsia" w:ascii="黑体" w:hAnsi="黑体" w:eastAsia="黑体" w:cs="黑体"/>
          <w:b/>
          <w:bCs/>
          <w:color w:val="auto"/>
          <w:sz w:val="36"/>
          <w:szCs w:val="36"/>
          <w:highlight w:val="none"/>
          <w:lang w:val="en-US" w:eastAsia="zh-CN"/>
        </w:rPr>
        <w:t>五</w:t>
      </w:r>
      <w:r>
        <w:rPr>
          <w:rFonts w:hint="eastAsia" w:ascii="黑体" w:hAnsi="黑体" w:eastAsia="黑体" w:cs="黑体"/>
          <w:b/>
          <w:bCs/>
          <w:color w:val="auto"/>
          <w:sz w:val="36"/>
          <w:szCs w:val="36"/>
          <w:highlight w:val="none"/>
          <w:lang w:val="zh-CN"/>
        </w:rPr>
        <w:t>章</w:t>
      </w:r>
      <w:r>
        <w:rPr>
          <w:rFonts w:hint="eastAsia" w:ascii="黑体" w:hAnsi="黑体" w:eastAsia="黑体" w:cs="黑体"/>
          <w:b/>
          <w:bCs/>
          <w:color w:val="auto"/>
          <w:sz w:val="36"/>
          <w:szCs w:val="36"/>
          <w:highlight w:val="none"/>
        </w:rPr>
        <w:t xml:space="preserve"> </w:t>
      </w:r>
      <w:r>
        <w:rPr>
          <w:rFonts w:hint="eastAsia" w:ascii="黑体" w:hAnsi="黑体" w:eastAsia="黑体" w:cs="黑体"/>
          <w:b/>
          <w:bCs/>
          <w:color w:val="auto"/>
          <w:sz w:val="36"/>
          <w:szCs w:val="36"/>
          <w:highlight w:val="none"/>
          <w:lang w:val="zh-CN"/>
        </w:rPr>
        <w:t>投标文件基本格式</w:t>
      </w:r>
    </w:p>
    <w:p w14:paraId="28870DC1">
      <w:pPr>
        <w:autoSpaceDE w:val="0"/>
        <w:autoSpaceDN w:val="0"/>
        <w:snapToGrid w:val="0"/>
        <w:spacing w:line="360" w:lineRule="auto"/>
        <w:jc w:val="both"/>
        <w:rPr>
          <w:rFonts w:hint="eastAsia" w:ascii="黑体" w:hAnsi="黑体" w:eastAsia="黑体" w:cs="黑体"/>
          <w:b/>
          <w:color w:val="auto"/>
          <w:sz w:val="24"/>
          <w:highlight w:val="none"/>
        </w:rPr>
      </w:pPr>
    </w:p>
    <w:p w14:paraId="234C3A4B">
      <w:pPr>
        <w:autoSpaceDE w:val="0"/>
        <w:autoSpaceDN w:val="0"/>
        <w:snapToGrid w:val="0"/>
        <w:spacing w:line="360" w:lineRule="auto"/>
        <w:jc w:val="both"/>
        <w:rPr>
          <w:rFonts w:hint="eastAsia" w:ascii="黑体" w:hAnsi="黑体" w:eastAsia="黑体" w:cs="黑体"/>
          <w:b/>
          <w:color w:val="auto"/>
          <w:sz w:val="24"/>
          <w:highlight w:val="none"/>
          <w:lang w:val="en-US" w:eastAsia="zh-CN"/>
        </w:rPr>
      </w:pPr>
      <w:r>
        <w:rPr>
          <w:rFonts w:hint="eastAsia" w:ascii="黑体" w:hAnsi="黑体" w:eastAsia="黑体" w:cs="黑体"/>
          <w:b/>
          <w:color w:val="auto"/>
          <w:sz w:val="24"/>
          <w:highlight w:val="none"/>
        </w:rPr>
        <w:t>项目编号：</w:t>
      </w:r>
      <w:r>
        <w:rPr>
          <w:rFonts w:hint="eastAsia" w:ascii="黑体" w:hAnsi="黑体" w:eastAsia="黑体" w:cs="黑体"/>
          <w:color w:val="auto"/>
          <w:sz w:val="28"/>
          <w:szCs w:val="28"/>
          <w:highlight w:val="none"/>
          <w:lang w:eastAsia="zh-CN"/>
        </w:rPr>
        <w:t xml:space="preserve">BCFY-2024(011)  </w:t>
      </w:r>
    </w:p>
    <w:p w14:paraId="7F313F22">
      <w:pPr>
        <w:pStyle w:val="39"/>
        <w:rPr>
          <w:rFonts w:hint="eastAsia" w:ascii="黑体" w:hAnsi="黑体" w:eastAsia="黑体" w:cs="黑体"/>
          <w:color w:val="auto"/>
          <w:highlight w:val="none"/>
        </w:rPr>
      </w:pPr>
    </w:p>
    <w:p w14:paraId="42BEEC27">
      <w:pPr>
        <w:autoSpaceDE w:val="0"/>
        <w:autoSpaceDN w:val="0"/>
        <w:snapToGrid w:val="0"/>
        <w:spacing w:line="360" w:lineRule="auto"/>
        <w:jc w:val="center"/>
        <w:rPr>
          <w:rFonts w:hint="eastAsia" w:ascii="黑体" w:hAnsi="黑体" w:eastAsia="黑体" w:cs="黑体"/>
          <w:highlight w:val="none"/>
        </w:rPr>
      </w:pPr>
      <w:r>
        <w:rPr>
          <w:rFonts w:hint="eastAsia" w:ascii="黑体" w:hAnsi="黑体" w:eastAsia="黑体" w:cs="黑体"/>
          <w:b/>
          <w:color w:val="auto"/>
          <w:sz w:val="44"/>
          <w:szCs w:val="44"/>
          <w:highlight w:val="none"/>
        </w:rPr>
        <w:t xml:space="preserve">                         </w:t>
      </w:r>
    </w:p>
    <w:p w14:paraId="490D7E8F">
      <w:pPr>
        <w:pStyle w:val="8"/>
        <w:rPr>
          <w:rFonts w:hint="eastAsia" w:ascii="黑体" w:hAnsi="黑体" w:eastAsia="黑体" w:cs="黑体"/>
          <w:highlight w:val="none"/>
        </w:rPr>
      </w:pPr>
    </w:p>
    <w:p w14:paraId="078FDAF4">
      <w:pPr>
        <w:spacing w:line="20" w:lineRule="atLeast"/>
        <w:jc w:val="center"/>
        <w:rPr>
          <w:rFonts w:hint="eastAsia" w:ascii="黑体" w:hAnsi="黑体" w:eastAsia="黑体" w:cs="黑体"/>
          <w:b/>
          <w:bCs/>
          <w:color w:val="auto"/>
          <w:sz w:val="36"/>
          <w:szCs w:val="36"/>
          <w:highlight w:val="none"/>
          <w:lang w:eastAsia="zh-CN"/>
        </w:rPr>
      </w:pPr>
      <w:r>
        <w:rPr>
          <w:rFonts w:hint="eastAsia" w:ascii="黑体" w:hAnsi="黑体" w:eastAsia="黑体" w:cs="黑体"/>
          <w:b/>
          <w:bCs/>
          <w:color w:val="auto"/>
          <w:sz w:val="36"/>
          <w:szCs w:val="36"/>
          <w:highlight w:val="none"/>
          <w:lang w:eastAsia="zh-CN"/>
        </w:rPr>
        <w:t>汉阴县第二高级中学食堂食材配送及食堂劳务采购项目（二次）</w:t>
      </w:r>
    </w:p>
    <w:p w14:paraId="14B768D7">
      <w:pPr>
        <w:spacing w:line="20" w:lineRule="atLeast"/>
        <w:jc w:val="center"/>
        <w:rPr>
          <w:rFonts w:hint="eastAsia" w:ascii="黑体" w:hAnsi="黑体" w:eastAsia="黑体" w:cs="黑体"/>
          <w:b w:val="0"/>
          <w:bCs w:val="0"/>
          <w:color w:val="auto"/>
          <w:sz w:val="44"/>
          <w:szCs w:val="44"/>
          <w:highlight w:val="none"/>
          <w:lang w:eastAsia="zh-CN"/>
        </w:rPr>
      </w:pPr>
      <w:r>
        <w:rPr>
          <w:rFonts w:hint="eastAsia" w:ascii="黑体" w:hAnsi="黑体" w:eastAsia="黑体" w:cs="黑体"/>
          <w:b/>
          <w:bCs/>
          <w:color w:val="auto"/>
          <w:sz w:val="40"/>
          <w:szCs w:val="40"/>
          <w:highlight w:val="none"/>
          <w:lang w:eastAsia="zh-CN"/>
        </w:rPr>
        <w:t>（</w:t>
      </w:r>
      <w:r>
        <w:rPr>
          <w:rFonts w:hint="eastAsia" w:ascii="黑体" w:hAnsi="黑体" w:eastAsia="黑体" w:cs="黑体"/>
          <w:b/>
          <w:bCs/>
          <w:color w:val="auto"/>
          <w:sz w:val="40"/>
          <w:szCs w:val="40"/>
          <w:highlight w:val="none"/>
          <w:lang w:val="en-US" w:eastAsia="zh-CN"/>
        </w:rPr>
        <w:t>包名称：</w:t>
      </w:r>
      <w:r>
        <w:rPr>
          <w:rFonts w:hint="eastAsia" w:ascii="黑体" w:hAnsi="黑体" w:eastAsia="黑体" w:cs="黑体"/>
          <w:b/>
          <w:bCs/>
          <w:color w:val="auto"/>
          <w:sz w:val="40"/>
          <w:szCs w:val="40"/>
          <w:highlight w:val="none"/>
          <w:lang w:eastAsia="zh-CN"/>
        </w:rPr>
        <w:t>）</w:t>
      </w:r>
    </w:p>
    <w:p w14:paraId="6BC0DF93">
      <w:pPr>
        <w:pStyle w:val="8"/>
        <w:ind w:left="0" w:leftChars="0" w:firstLine="0" w:firstLineChars="0"/>
        <w:rPr>
          <w:rFonts w:hint="eastAsia" w:ascii="黑体" w:hAnsi="黑体" w:eastAsia="黑体" w:cs="黑体"/>
          <w:color w:val="auto"/>
          <w:highlight w:val="none"/>
        </w:rPr>
      </w:pPr>
    </w:p>
    <w:p w14:paraId="165A4C4F">
      <w:pPr>
        <w:spacing w:line="20" w:lineRule="atLeast"/>
        <w:jc w:val="center"/>
        <w:rPr>
          <w:rFonts w:hint="eastAsia" w:ascii="黑体" w:hAnsi="黑体" w:eastAsia="黑体" w:cs="黑体"/>
          <w:bCs/>
          <w:color w:val="auto"/>
          <w:sz w:val="72"/>
          <w:szCs w:val="72"/>
          <w:highlight w:val="none"/>
        </w:rPr>
      </w:pPr>
      <w:r>
        <w:rPr>
          <w:rFonts w:hint="eastAsia" w:ascii="黑体" w:hAnsi="黑体" w:eastAsia="黑体" w:cs="黑体"/>
          <w:color w:val="auto"/>
          <w:sz w:val="72"/>
          <w:szCs w:val="72"/>
          <w:highlight w:val="none"/>
        </w:rPr>
        <w:t>投 标 文 件</w:t>
      </w:r>
    </w:p>
    <w:p w14:paraId="4C0A259A">
      <w:pPr>
        <w:spacing w:line="20" w:lineRule="atLeast"/>
        <w:jc w:val="center"/>
        <w:rPr>
          <w:rFonts w:hint="eastAsia" w:ascii="黑体" w:hAnsi="黑体" w:eastAsia="黑体" w:cs="黑体"/>
          <w:b/>
          <w:color w:val="auto"/>
          <w:sz w:val="36"/>
          <w:highlight w:val="none"/>
        </w:rPr>
      </w:pPr>
    </w:p>
    <w:p w14:paraId="318C2AF0">
      <w:pPr>
        <w:spacing w:line="20" w:lineRule="atLeast"/>
        <w:jc w:val="center"/>
        <w:rPr>
          <w:rFonts w:hint="eastAsia" w:ascii="黑体" w:hAnsi="黑体" w:eastAsia="黑体" w:cs="黑体"/>
          <w:b/>
          <w:color w:val="auto"/>
          <w:sz w:val="36"/>
          <w:highlight w:val="none"/>
        </w:rPr>
      </w:pPr>
    </w:p>
    <w:p w14:paraId="01A45528">
      <w:pPr>
        <w:spacing w:line="20" w:lineRule="atLeast"/>
        <w:rPr>
          <w:rFonts w:hint="eastAsia" w:ascii="黑体" w:hAnsi="黑体" w:eastAsia="黑体" w:cs="黑体"/>
          <w:b/>
          <w:color w:val="auto"/>
          <w:sz w:val="36"/>
          <w:highlight w:val="none"/>
        </w:rPr>
      </w:pPr>
      <w:r>
        <w:rPr>
          <w:rFonts w:hint="eastAsia" w:ascii="黑体" w:hAnsi="黑体" w:eastAsia="黑体" w:cs="黑体"/>
          <w:b/>
          <w:color w:val="auto"/>
          <w:sz w:val="36"/>
          <w:highlight w:val="none"/>
        </w:rPr>
        <w:t xml:space="preserve">           </w:t>
      </w:r>
    </w:p>
    <w:p w14:paraId="6491C7AF">
      <w:pPr>
        <w:spacing w:line="20" w:lineRule="atLeast"/>
        <w:rPr>
          <w:rFonts w:hint="eastAsia" w:ascii="黑体" w:hAnsi="黑体" w:eastAsia="黑体" w:cs="黑体"/>
          <w:b/>
          <w:color w:val="auto"/>
          <w:sz w:val="36"/>
          <w:highlight w:val="none"/>
        </w:rPr>
      </w:pPr>
    </w:p>
    <w:p w14:paraId="5FAA5045">
      <w:pPr>
        <w:spacing w:line="20" w:lineRule="atLeast"/>
        <w:rPr>
          <w:rFonts w:hint="eastAsia" w:ascii="黑体" w:hAnsi="黑体" w:eastAsia="黑体" w:cs="黑体"/>
          <w:b/>
          <w:color w:val="auto"/>
          <w:sz w:val="36"/>
          <w:highlight w:val="none"/>
        </w:rPr>
      </w:pPr>
    </w:p>
    <w:p w14:paraId="79DEE66C">
      <w:pPr>
        <w:spacing w:line="20" w:lineRule="atLeast"/>
        <w:rPr>
          <w:rFonts w:hint="eastAsia" w:ascii="黑体" w:hAnsi="黑体" w:eastAsia="黑体" w:cs="黑体"/>
          <w:b/>
          <w:color w:val="auto"/>
          <w:sz w:val="36"/>
          <w:highlight w:val="none"/>
        </w:rPr>
      </w:pPr>
    </w:p>
    <w:p w14:paraId="14FCAD21">
      <w:pPr>
        <w:spacing w:line="20" w:lineRule="atLeast"/>
        <w:rPr>
          <w:rFonts w:hint="eastAsia" w:ascii="黑体" w:hAnsi="黑体" w:eastAsia="黑体" w:cs="黑体"/>
          <w:b/>
          <w:color w:val="auto"/>
          <w:sz w:val="36"/>
          <w:highlight w:val="none"/>
        </w:rPr>
      </w:pPr>
    </w:p>
    <w:p w14:paraId="4D3F67D6">
      <w:pPr>
        <w:spacing w:line="20" w:lineRule="atLeast"/>
        <w:rPr>
          <w:rFonts w:hint="eastAsia" w:ascii="黑体" w:hAnsi="黑体" w:eastAsia="黑体" w:cs="黑体"/>
          <w:b/>
          <w:color w:val="auto"/>
          <w:sz w:val="36"/>
          <w:highlight w:val="none"/>
        </w:rPr>
      </w:pPr>
      <w:r>
        <w:rPr>
          <w:rFonts w:hint="eastAsia" w:ascii="黑体" w:hAnsi="黑体" w:eastAsia="黑体" w:cs="黑体"/>
          <w:b/>
          <w:color w:val="auto"/>
          <w:sz w:val="36"/>
          <w:highlight w:val="none"/>
        </w:rPr>
        <w:t xml:space="preserve">   </w:t>
      </w:r>
    </w:p>
    <w:p w14:paraId="383EAC8E">
      <w:pPr>
        <w:adjustRightInd w:val="0"/>
        <w:snapToGrid w:val="0"/>
        <w:spacing w:line="1000" w:lineRule="exact"/>
        <w:ind w:firstLine="1576"/>
        <w:rPr>
          <w:rFonts w:hint="eastAsia" w:ascii="黑体" w:hAnsi="黑体" w:eastAsia="黑体" w:cs="黑体"/>
          <w:color w:val="auto"/>
          <w:sz w:val="32"/>
          <w:szCs w:val="32"/>
          <w:highlight w:val="none"/>
          <w:u w:val="single"/>
        </w:rPr>
      </w:pPr>
      <w:r>
        <w:rPr>
          <w:rFonts w:hint="eastAsia" w:ascii="黑体" w:hAnsi="黑体" w:eastAsia="黑体" w:cs="黑体"/>
          <w:b/>
          <w:bCs/>
          <w:color w:val="auto"/>
          <w:sz w:val="32"/>
          <w:szCs w:val="32"/>
          <w:highlight w:val="none"/>
        </w:rPr>
        <w:t>投 标 人（盖章）</w:t>
      </w:r>
      <w:r>
        <w:rPr>
          <w:rFonts w:hint="eastAsia" w:ascii="黑体" w:hAnsi="黑体" w:eastAsia="黑体" w:cs="黑体"/>
          <w:b/>
          <w:color w:val="auto"/>
          <w:sz w:val="32"/>
          <w:szCs w:val="32"/>
          <w:highlight w:val="none"/>
        </w:rPr>
        <w:t>：</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u w:val="single"/>
          <w:lang w:val="en-US" w:eastAsia="zh-CN"/>
        </w:rPr>
        <w:t xml:space="preserve">       </w:t>
      </w:r>
      <w:r>
        <w:rPr>
          <w:rFonts w:hint="eastAsia" w:ascii="黑体" w:hAnsi="黑体" w:eastAsia="黑体" w:cs="黑体"/>
          <w:color w:val="auto"/>
          <w:sz w:val="32"/>
          <w:szCs w:val="32"/>
          <w:highlight w:val="none"/>
          <w:u w:val="single"/>
        </w:rPr>
        <w:t xml:space="preserve">               </w:t>
      </w:r>
    </w:p>
    <w:p w14:paraId="5CB11818">
      <w:pPr>
        <w:adjustRightInd w:val="0"/>
        <w:snapToGrid w:val="0"/>
        <w:spacing w:line="1000" w:lineRule="exact"/>
        <w:ind w:firstLine="1576"/>
        <w:rPr>
          <w:rFonts w:hint="eastAsia" w:ascii="黑体" w:hAnsi="黑体" w:eastAsia="黑体" w:cs="黑体"/>
          <w:color w:val="auto"/>
          <w:sz w:val="32"/>
          <w:szCs w:val="32"/>
          <w:highlight w:val="none"/>
          <w:u w:val="single"/>
        </w:rPr>
      </w:pPr>
      <w:r>
        <w:rPr>
          <w:rFonts w:hint="eastAsia" w:ascii="黑体" w:hAnsi="黑体" w:eastAsia="黑体" w:cs="黑体"/>
          <w:b/>
          <w:bCs/>
          <w:color w:val="auto"/>
          <w:sz w:val="32"/>
          <w:szCs w:val="32"/>
          <w:highlight w:val="none"/>
        </w:rPr>
        <w:t>法</w:t>
      </w:r>
      <w:r>
        <w:rPr>
          <w:rFonts w:hint="eastAsia" w:ascii="黑体" w:hAnsi="黑体" w:eastAsia="黑体" w:cs="黑体"/>
          <w:b/>
          <w:bCs/>
          <w:color w:val="auto"/>
          <w:sz w:val="32"/>
          <w:szCs w:val="32"/>
          <w:highlight w:val="none"/>
          <w:lang w:val="en-US" w:eastAsia="zh-CN"/>
        </w:rPr>
        <w:t>定代表</w:t>
      </w:r>
      <w:r>
        <w:rPr>
          <w:rFonts w:hint="eastAsia" w:ascii="黑体" w:hAnsi="黑体" w:eastAsia="黑体" w:cs="黑体"/>
          <w:b/>
          <w:bCs/>
          <w:color w:val="auto"/>
          <w:sz w:val="32"/>
          <w:szCs w:val="32"/>
          <w:highlight w:val="none"/>
        </w:rPr>
        <w:t>人或委托人（</w:t>
      </w:r>
      <w:r>
        <w:rPr>
          <w:rFonts w:hint="eastAsia" w:ascii="黑体" w:hAnsi="黑体" w:eastAsia="黑体" w:cs="黑体"/>
          <w:b/>
          <w:bCs/>
          <w:color w:val="auto"/>
          <w:sz w:val="32"/>
          <w:szCs w:val="32"/>
          <w:highlight w:val="none"/>
          <w:lang w:val="en-US" w:eastAsia="zh-CN"/>
        </w:rPr>
        <w:t>签字或盖章</w:t>
      </w:r>
      <w:r>
        <w:rPr>
          <w:rFonts w:hint="eastAsia" w:ascii="黑体" w:hAnsi="黑体" w:eastAsia="黑体" w:cs="黑体"/>
          <w:b/>
          <w:bCs/>
          <w:color w:val="auto"/>
          <w:sz w:val="32"/>
          <w:szCs w:val="32"/>
          <w:highlight w:val="none"/>
        </w:rPr>
        <w:t>）：</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u w:val="single"/>
          <w:lang w:val="en-US" w:eastAsia="zh-CN"/>
        </w:rPr>
        <w:t xml:space="preserve"> </w:t>
      </w:r>
      <w:r>
        <w:rPr>
          <w:rFonts w:hint="eastAsia" w:ascii="黑体" w:hAnsi="黑体" w:eastAsia="黑体" w:cs="黑体"/>
          <w:color w:val="auto"/>
          <w:sz w:val="32"/>
          <w:szCs w:val="32"/>
          <w:highlight w:val="none"/>
          <w:u w:val="single"/>
        </w:rPr>
        <w:t xml:space="preserve">       </w:t>
      </w:r>
    </w:p>
    <w:p w14:paraId="2A55E107">
      <w:pPr>
        <w:adjustRightInd w:val="0"/>
        <w:snapToGrid w:val="0"/>
        <w:spacing w:line="1000" w:lineRule="exact"/>
        <w:ind w:firstLine="1576"/>
        <w:rPr>
          <w:rFonts w:hint="eastAsia" w:ascii="黑体" w:hAnsi="黑体" w:eastAsia="黑体" w:cs="黑体"/>
          <w:color w:val="auto"/>
          <w:sz w:val="32"/>
          <w:szCs w:val="32"/>
          <w:highlight w:val="none"/>
        </w:rPr>
      </w:pPr>
      <w:r>
        <w:rPr>
          <w:rFonts w:hint="eastAsia" w:ascii="黑体" w:hAnsi="黑体" w:eastAsia="黑体" w:cs="黑体"/>
          <w:b/>
          <w:color w:val="auto"/>
          <w:sz w:val="32"/>
          <w:szCs w:val="32"/>
          <w:highlight w:val="none"/>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rPr>
        <w:t xml:space="preserve">                    </w:t>
      </w:r>
      <w:r>
        <w:rPr>
          <w:rFonts w:hint="eastAsia" w:ascii="黑体" w:hAnsi="黑体" w:eastAsia="黑体" w:cs="黑体"/>
          <w:color w:val="auto"/>
          <w:sz w:val="32"/>
          <w:szCs w:val="32"/>
          <w:highlight w:val="none"/>
          <w:u w:val="single"/>
          <w:lang w:val="en-US" w:eastAsia="zh-CN"/>
        </w:rPr>
        <w:t xml:space="preserve">      </w:t>
      </w:r>
      <w:r>
        <w:rPr>
          <w:rFonts w:hint="eastAsia" w:ascii="黑体" w:hAnsi="黑体" w:eastAsia="黑体" w:cs="黑体"/>
          <w:color w:val="auto"/>
          <w:sz w:val="32"/>
          <w:szCs w:val="32"/>
          <w:highlight w:val="none"/>
          <w:u w:val="single"/>
        </w:rPr>
        <w:t xml:space="preserve">           </w:t>
      </w:r>
    </w:p>
    <w:p w14:paraId="15F3CDCB">
      <w:pPr>
        <w:rPr>
          <w:rFonts w:hint="eastAsia" w:ascii="黑体" w:hAnsi="黑体" w:eastAsia="黑体" w:cs="黑体"/>
          <w:b/>
          <w:color w:val="auto"/>
          <w:sz w:val="48"/>
          <w:szCs w:val="48"/>
          <w:highlight w:val="none"/>
        </w:rPr>
      </w:pPr>
    </w:p>
    <w:p w14:paraId="60BB6749">
      <w:pPr>
        <w:ind w:firstLine="4337" w:firstLineChars="900"/>
        <w:jc w:val="both"/>
        <w:rPr>
          <w:rFonts w:hint="eastAsia" w:ascii="黑体" w:hAnsi="黑体" w:eastAsia="黑体" w:cs="黑体"/>
          <w:b/>
          <w:color w:val="auto"/>
          <w:sz w:val="48"/>
          <w:szCs w:val="48"/>
          <w:highlight w:val="none"/>
        </w:rPr>
      </w:pPr>
      <w:r>
        <w:rPr>
          <w:rFonts w:hint="eastAsia" w:ascii="黑体" w:hAnsi="黑体" w:eastAsia="黑体" w:cs="黑体"/>
          <w:b/>
          <w:color w:val="auto"/>
          <w:sz w:val="48"/>
          <w:szCs w:val="48"/>
          <w:highlight w:val="none"/>
        </w:rPr>
        <w:t>目  录</w:t>
      </w:r>
    </w:p>
    <w:p w14:paraId="6F4AD3CC">
      <w:pPr>
        <w:adjustRightInd w:val="0"/>
        <w:spacing w:line="480" w:lineRule="exact"/>
        <w:ind w:firstLine="1606" w:firstLineChars="500"/>
        <w:textAlignment w:val="baseline"/>
        <w:rPr>
          <w:rFonts w:hint="eastAsia" w:ascii="黑体" w:hAnsi="黑体" w:eastAsia="黑体" w:cs="黑体"/>
          <w:b/>
          <w:color w:val="auto"/>
          <w:sz w:val="32"/>
          <w:szCs w:val="32"/>
          <w:highlight w:val="none"/>
        </w:rPr>
      </w:pPr>
    </w:p>
    <w:p w14:paraId="4F773A6B">
      <w:pPr>
        <w:pStyle w:val="15"/>
        <w:rPr>
          <w:rFonts w:hint="eastAsia" w:ascii="黑体" w:hAnsi="黑体" w:eastAsia="黑体" w:cs="黑体"/>
          <w:b/>
          <w:bCs/>
          <w:color w:val="auto"/>
          <w:kern w:val="2"/>
          <w:sz w:val="24"/>
          <w:szCs w:val="24"/>
          <w:highlight w:val="none"/>
        </w:rPr>
      </w:pPr>
      <w:r>
        <w:rPr>
          <w:rFonts w:hint="eastAsia" w:ascii="黑体" w:hAnsi="黑体" w:eastAsia="黑体" w:cs="黑体"/>
          <w:b/>
          <w:bCs/>
          <w:color w:val="auto"/>
          <w:kern w:val="2"/>
          <w:sz w:val="24"/>
          <w:szCs w:val="24"/>
          <w:highlight w:val="none"/>
        </w:rPr>
        <w:t xml:space="preserve">   </w:t>
      </w:r>
    </w:p>
    <w:p w14:paraId="5359B822">
      <w:pPr>
        <w:keepNext w:val="0"/>
        <w:keepLines w:val="0"/>
        <w:pageBreakBefore w:val="0"/>
        <w:widowControl w:val="0"/>
        <w:kinsoku/>
        <w:wordWrap/>
        <w:overflowPunct/>
        <w:topLinePunct w:val="0"/>
        <w:bidi w:val="0"/>
        <w:spacing w:line="600" w:lineRule="auto"/>
        <w:jc w:val="left"/>
        <w:outlineLvl w:val="1"/>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一、投标函</w:t>
      </w:r>
    </w:p>
    <w:p w14:paraId="484C4821">
      <w:pPr>
        <w:keepNext w:val="0"/>
        <w:keepLines w:val="0"/>
        <w:pageBreakBefore w:val="0"/>
        <w:widowControl w:val="0"/>
        <w:kinsoku/>
        <w:wordWrap/>
        <w:overflowPunct/>
        <w:topLinePunct w:val="0"/>
        <w:bidi w:val="0"/>
        <w:spacing w:line="600" w:lineRule="auto"/>
        <w:jc w:val="left"/>
        <w:outlineLvl w:val="1"/>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二、报价一览表</w:t>
      </w:r>
    </w:p>
    <w:p w14:paraId="3F88B1DE">
      <w:pPr>
        <w:keepNext w:val="0"/>
        <w:keepLines w:val="0"/>
        <w:pageBreakBefore w:val="0"/>
        <w:widowControl w:val="0"/>
        <w:kinsoku/>
        <w:wordWrap/>
        <w:overflowPunct/>
        <w:topLinePunct w:val="0"/>
        <w:bidi w:val="0"/>
        <w:spacing w:line="600" w:lineRule="auto"/>
        <w:jc w:val="left"/>
        <w:outlineLvl w:val="1"/>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三、资格证明文件</w:t>
      </w:r>
    </w:p>
    <w:p w14:paraId="4FFD29EE">
      <w:pPr>
        <w:keepNext w:val="0"/>
        <w:keepLines w:val="0"/>
        <w:pageBreakBefore w:val="0"/>
        <w:widowControl w:val="0"/>
        <w:kinsoku/>
        <w:wordWrap/>
        <w:overflowPunct/>
        <w:topLinePunct w:val="0"/>
        <w:bidi w:val="0"/>
        <w:spacing w:line="600" w:lineRule="auto"/>
        <w:jc w:val="left"/>
        <w:outlineLvl w:val="1"/>
        <w:rPr>
          <w:rFonts w:hint="eastAsia" w:ascii="黑体" w:hAnsi="黑体" w:eastAsia="黑体" w:cs="黑体"/>
          <w:b/>
          <w:color w:val="auto"/>
          <w:sz w:val="32"/>
          <w:szCs w:val="32"/>
          <w:highlight w:val="none"/>
          <w:lang w:eastAsia="zh-CN"/>
        </w:rPr>
      </w:pPr>
      <w:r>
        <w:rPr>
          <w:rFonts w:hint="eastAsia" w:ascii="黑体" w:hAnsi="黑体" w:eastAsia="黑体" w:cs="黑体"/>
          <w:b/>
          <w:color w:val="auto"/>
          <w:sz w:val="32"/>
          <w:szCs w:val="32"/>
          <w:highlight w:val="none"/>
          <w:lang w:val="en-US" w:eastAsia="zh-CN"/>
        </w:rPr>
        <w:t>四</w:t>
      </w:r>
      <w:r>
        <w:rPr>
          <w:rFonts w:hint="eastAsia" w:ascii="黑体" w:hAnsi="黑体" w:eastAsia="黑体" w:cs="黑体"/>
          <w:b/>
          <w:color w:val="auto"/>
          <w:sz w:val="32"/>
          <w:szCs w:val="32"/>
          <w:highlight w:val="none"/>
        </w:rPr>
        <w:t>、服务响应</w:t>
      </w:r>
      <w:r>
        <w:rPr>
          <w:rFonts w:hint="eastAsia" w:ascii="黑体" w:hAnsi="黑体" w:eastAsia="黑体" w:cs="黑体"/>
          <w:b/>
          <w:bCs/>
          <w:color w:val="auto"/>
          <w:sz w:val="32"/>
          <w:szCs w:val="32"/>
          <w:highlight w:val="none"/>
          <w:lang w:val="en-US" w:eastAsia="zh-CN"/>
        </w:rPr>
        <w:t>偏离表</w:t>
      </w:r>
    </w:p>
    <w:p w14:paraId="045B9190">
      <w:pPr>
        <w:keepNext w:val="0"/>
        <w:keepLines w:val="0"/>
        <w:pageBreakBefore w:val="0"/>
        <w:widowControl w:val="0"/>
        <w:numPr>
          <w:ilvl w:val="0"/>
          <w:numId w:val="0"/>
        </w:numPr>
        <w:kinsoku/>
        <w:wordWrap/>
        <w:overflowPunct/>
        <w:topLinePunct w:val="0"/>
        <w:bidi w:val="0"/>
        <w:spacing w:line="600" w:lineRule="auto"/>
        <w:jc w:val="left"/>
        <w:outlineLvl w:val="1"/>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五、投标方案</w:t>
      </w:r>
    </w:p>
    <w:p w14:paraId="1A8DD396">
      <w:pPr>
        <w:keepNext w:val="0"/>
        <w:keepLines w:val="0"/>
        <w:pageBreakBefore w:val="0"/>
        <w:widowControl w:val="0"/>
        <w:numPr>
          <w:ilvl w:val="0"/>
          <w:numId w:val="0"/>
        </w:numPr>
        <w:kinsoku/>
        <w:wordWrap/>
        <w:overflowPunct/>
        <w:topLinePunct w:val="0"/>
        <w:bidi w:val="0"/>
        <w:spacing w:line="600" w:lineRule="auto"/>
        <w:jc w:val="left"/>
        <w:outlineLvl w:val="1"/>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六、业绩一览表</w:t>
      </w:r>
    </w:p>
    <w:p w14:paraId="6088C221">
      <w:pPr>
        <w:keepNext w:val="0"/>
        <w:keepLines w:val="0"/>
        <w:pageBreakBefore w:val="0"/>
        <w:widowControl w:val="0"/>
        <w:numPr>
          <w:ilvl w:val="0"/>
          <w:numId w:val="0"/>
        </w:numPr>
        <w:kinsoku/>
        <w:wordWrap/>
        <w:overflowPunct/>
        <w:topLinePunct w:val="0"/>
        <w:bidi w:val="0"/>
        <w:spacing w:line="600" w:lineRule="auto"/>
        <w:jc w:val="left"/>
        <w:outlineLvl w:val="1"/>
        <w:rPr>
          <w:rFonts w:hint="eastAsia" w:ascii="黑体" w:hAnsi="黑体" w:eastAsia="黑体" w:cs="黑体"/>
          <w:b/>
          <w:color w:val="auto"/>
          <w:sz w:val="32"/>
          <w:szCs w:val="32"/>
          <w:highlight w:val="none"/>
        </w:rPr>
      </w:pPr>
      <w:r>
        <w:rPr>
          <w:rFonts w:hint="eastAsia" w:ascii="黑体" w:hAnsi="黑体" w:eastAsia="黑体" w:cs="黑体"/>
          <w:b/>
          <w:bCs/>
          <w:color w:val="auto"/>
          <w:sz w:val="32"/>
          <w:szCs w:val="32"/>
          <w:highlight w:val="none"/>
          <w:lang w:val="en-US" w:eastAsia="zh-CN"/>
        </w:rPr>
        <w:t>七、</w:t>
      </w:r>
      <w:r>
        <w:rPr>
          <w:rFonts w:hint="eastAsia" w:ascii="黑体" w:hAnsi="黑体" w:eastAsia="黑体" w:cs="黑体"/>
          <w:b/>
          <w:bCs/>
          <w:color w:val="auto"/>
          <w:sz w:val="32"/>
          <w:szCs w:val="32"/>
          <w:highlight w:val="none"/>
        </w:rPr>
        <w:t>投标人拒绝政府采购领域商业贿赂承诺书</w:t>
      </w:r>
    </w:p>
    <w:p w14:paraId="3ED1978E">
      <w:pPr>
        <w:keepNext w:val="0"/>
        <w:keepLines w:val="0"/>
        <w:pageBreakBefore w:val="0"/>
        <w:widowControl w:val="0"/>
        <w:kinsoku/>
        <w:wordWrap/>
        <w:overflowPunct/>
        <w:topLinePunct w:val="0"/>
        <w:bidi w:val="0"/>
        <w:spacing w:line="600" w:lineRule="auto"/>
        <w:jc w:val="left"/>
        <w:outlineLvl w:val="1"/>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t>八、供应商认为有必要提供的其他材料</w:t>
      </w:r>
    </w:p>
    <w:p w14:paraId="5C518083">
      <w:pPr>
        <w:keepNext w:val="0"/>
        <w:keepLines w:val="0"/>
        <w:pageBreakBefore w:val="0"/>
        <w:widowControl w:val="0"/>
        <w:kinsoku/>
        <w:wordWrap/>
        <w:overflowPunct/>
        <w:topLinePunct w:val="0"/>
        <w:autoSpaceDE w:val="0"/>
        <w:autoSpaceDN w:val="0"/>
        <w:bidi w:val="0"/>
        <w:snapToGrid w:val="0"/>
        <w:spacing w:before="312" w:beforeLines="100" w:after="156" w:afterLines="50" w:line="600" w:lineRule="auto"/>
        <w:jc w:val="left"/>
        <w:rPr>
          <w:rFonts w:hint="eastAsia" w:ascii="黑体" w:hAnsi="黑体" w:eastAsia="黑体" w:cs="黑体"/>
          <w:b/>
          <w:color w:val="auto"/>
          <w:sz w:val="32"/>
          <w:szCs w:val="32"/>
          <w:highlight w:val="none"/>
        </w:rPr>
      </w:pPr>
    </w:p>
    <w:p w14:paraId="1ED115B5">
      <w:pPr>
        <w:autoSpaceDE w:val="0"/>
        <w:autoSpaceDN w:val="0"/>
        <w:snapToGrid w:val="0"/>
        <w:spacing w:before="312" w:beforeLines="100" w:after="156" w:afterLines="50" w:line="600" w:lineRule="exact"/>
        <w:jc w:val="center"/>
        <w:rPr>
          <w:rFonts w:hint="eastAsia" w:ascii="黑体" w:hAnsi="黑体" w:eastAsia="黑体" w:cs="黑体"/>
          <w:b/>
          <w:color w:val="auto"/>
          <w:sz w:val="32"/>
          <w:szCs w:val="32"/>
          <w:highlight w:val="none"/>
        </w:rPr>
      </w:pPr>
    </w:p>
    <w:p w14:paraId="5A0D25AC">
      <w:pPr>
        <w:autoSpaceDE w:val="0"/>
        <w:autoSpaceDN w:val="0"/>
        <w:snapToGrid w:val="0"/>
        <w:spacing w:before="312" w:beforeLines="100" w:after="156" w:afterLines="50" w:line="600" w:lineRule="exact"/>
        <w:jc w:val="center"/>
        <w:rPr>
          <w:rFonts w:hint="eastAsia" w:ascii="黑体" w:hAnsi="黑体" w:eastAsia="黑体" w:cs="黑体"/>
          <w:b/>
          <w:color w:val="auto"/>
          <w:sz w:val="32"/>
          <w:szCs w:val="32"/>
          <w:highlight w:val="none"/>
        </w:rPr>
        <w:sectPr>
          <w:headerReference r:id="rId8" w:type="default"/>
          <w:footerReference r:id="rId9" w:type="default"/>
          <w:pgSz w:w="11906" w:h="16838"/>
          <w:pgMar w:top="1440" w:right="1449"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1BA4915">
      <w:pPr>
        <w:tabs>
          <w:tab w:val="left" w:pos="2764"/>
        </w:tabs>
        <w:spacing w:before="68" w:line="220" w:lineRule="auto"/>
        <w:ind w:firstLine="3519" w:firstLineChars="1200"/>
        <w:outlineLvl w:val="6"/>
        <w:rPr>
          <w:rFonts w:hint="eastAsia" w:ascii="黑体" w:hAnsi="黑体" w:eastAsia="黑体" w:cs="黑体"/>
          <w:sz w:val="32"/>
          <w:szCs w:val="32"/>
          <w:highlight w:val="none"/>
        </w:rPr>
      </w:pPr>
      <w:r>
        <w:rPr>
          <w:rFonts w:hint="eastAsia" w:ascii="黑体" w:hAnsi="黑体" w:eastAsia="黑体" w:cs="黑体"/>
          <w:b/>
          <w:bCs/>
          <w:spacing w:val="-14"/>
          <w:sz w:val="32"/>
          <w:szCs w:val="32"/>
          <w:highlight w:val="none"/>
        </w:rPr>
        <w:t>一</w:t>
      </w:r>
      <w:r>
        <w:rPr>
          <w:rFonts w:hint="eastAsia" w:ascii="黑体" w:hAnsi="黑体" w:eastAsia="黑体" w:cs="黑体"/>
          <w:spacing w:val="52"/>
          <w:sz w:val="32"/>
          <w:szCs w:val="32"/>
          <w:highlight w:val="none"/>
        </w:rPr>
        <w:t xml:space="preserve"> </w:t>
      </w:r>
      <w:r>
        <w:rPr>
          <w:rFonts w:hint="eastAsia" w:ascii="黑体" w:hAnsi="黑体" w:eastAsia="黑体" w:cs="黑体"/>
          <w:b/>
          <w:bCs/>
          <w:spacing w:val="-14"/>
          <w:sz w:val="32"/>
          <w:szCs w:val="32"/>
          <w:highlight w:val="none"/>
        </w:rPr>
        <w:t>、</w:t>
      </w:r>
      <w:r>
        <w:rPr>
          <w:rFonts w:hint="eastAsia" w:ascii="黑体" w:hAnsi="黑体" w:eastAsia="黑体" w:cs="黑体"/>
          <w:spacing w:val="30"/>
          <w:sz w:val="32"/>
          <w:szCs w:val="32"/>
          <w:highlight w:val="none"/>
        </w:rPr>
        <w:t xml:space="preserve">  </w:t>
      </w:r>
      <w:r>
        <w:rPr>
          <w:rFonts w:hint="eastAsia" w:ascii="黑体" w:hAnsi="黑体" w:eastAsia="黑体" w:cs="黑体"/>
          <w:b/>
          <w:bCs/>
          <w:spacing w:val="-14"/>
          <w:sz w:val="32"/>
          <w:szCs w:val="32"/>
          <w:highlight w:val="none"/>
        </w:rPr>
        <w:t>投</w:t>
      </w:r>
      <w:r>
        <w:rPr>
          <w:rFonts w:hint="eastAsia" w:ascii="黑体" w:hAnsi="黑体" w:eastAsia="黑体" w:cs="黑体"/>
          <w:spacing w:val="33"/>
          <w:sz w:val="32"/>
          <w:szCs w:val="32"/>
          <w:highlight w:val="none"/>
        </w:rPr>
        <w:t xml:space="preserve"> </w:t>
      </w:r>
      <w:r>
        <w:rPr>
          <w:rFonts w:hint="eastAsia" w:ascii="黑体" w:hAnsi="黑体" w:eastAsia="黑体" w:cs="黑体"/>
          <w:b/>
          <w:bCs/>
          <w:spacing w:val="-14"/>
          <w:sz w:val="32"/>
          <w:szCs w:val="32"/>
          <w:highlight w:val="none"/>
        </w:rPr>
        <w:t>标</w:t>
      </w:r>
      <w:r>
        <w:rPr>
          <w:rFonts w:hint="eastAsia" w:ascii="黑体" w:hAnsi="黑体" w:eastAsia="黑体" w:cs="黑体"/>
          <w:spacing w:val="46"/>
          <w:sz w:val="32"/>
          <w:szCs w:val="32"/>
          <w:highlight w:val="none"/>
        </w:rPr>
        <w:t xml:space="preserve"> </w:t>
      </w:r>
      <w:r>
        <w:rPr>
          <w:rFonts w:hint="eastAsia" w:ascii="黑体" w:hAnsi="黑体" w:eastAsia="黑体" w:cs="黑体"/>
          <w:b/>
          <w:bCs/>
          <w:spacing w:val="-14"/>
          <w:sz w:val="32"/>
          <w:szCs w:val="32"/>
          <w:highlight w:val="none"/>
        </w:rPr>
        <w:t>函</w:t>
      </w:r>
    </w:p>
    <w:p w14:paraId="389AD468">
      <w:pPr>
        <w:keepNext w:val="0"/>
        <w:keepLines w:val="0"/>
        <w:pageBreakBefore w:val="0"/>
        <w:widowControl w:val="0"/>
        <w:kinsoku/>
        <w:wordWrap/>
        <w:overflowPunct/>
        <w:topLinePunct w:val="0"/>
        <w:autoSpaceDE/>
        <w:autoSpaceDN/>
        <w:bidi w:val="0"/>
        <w:adjustRightInd/>
        <w:snapToGrid/>
        <w:spacing w:before="247" w:line="440" w:lineRule="exact"/>
        <w:ind w:left="111"/>
        <w:textAlignment w:val="auto"/>
        <w:rPr>
          <w:rFonts w:hint="eastAsia" w:ascii="黑体" w:hAnsi="黑体" w:eastAsia="黑体" w:cs="黑体"/>
          <w:sz w:val="24"/>
          <w:szCs w:val="24"/>
          <w:highlight w:val="none"/>
        </w:rPr>
      </w:pPr>
      <w:r>
        <w:rPr>
          <w:rFonts w:hint="eastAsia" w:ascii="黑体" w:hAnsi="黑体" w:eastAsia="黑体" w:cs="黑体"/>
          <w:b/>
          <w:bCs/>
          <w:spacing w:val="16"/>
          <w:sz w:val="24"/>
          <w:szCs w:val="24"/>
          <w:highlight w:val="none"/>
        </w:rPr>
        <w:t>(采购人):</w:t>
      </w:r>
    </w:p>
    <w:p w14:paraId="2C3E07E0">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我方已仔细研究了</w:t>
      </w:r>
      <w:r>
        <w:rPr>
          <w:rFonts w:hint="eastAsia" w:ascii="黑体" w:hAnsi="黑体" w:eastAsia="黑体" w:cs="黑体"/>
          <w:spacing w:val="-3"/>
          <w:sz w:val="24"/>
          <w:szCs w:val="24"/>
          <w:highlight w:val="none"/>
          <w:u w:val="single" w:color="auto"/>
        </w:rPr>
        <w:t xml:space="preserve">  </w:t>
      </w:r>
      <w:r>
        <w:rPr>
          <w:rFonts w:hint="eastAsia" w:ascii="黑体" w:hAnsi="黑体" w:eastAsia="黑体" w:cs="黑体"/>
          <w:spacing w:val="-3"/>
          <w:sz w:val="24"/>
          <w:szCs w:val="24"/>
          <w:highlight w:val="none"/>
          <w:u w:val="single" w:color="auto"/>
          <w:lang w:val="en-US" w:eastAsia="zh-CN"/>
        </w:rPr>
        <w:t xml:space="preserve">       </w:t>
      </w:r>
      <w:r>
        <w:rPr>
          <w:rFonts w:hint="eastAsia" w:ascii="黑体" w:hAnsi="黑体" w:eastAsia="黑体" w:cs="黑体"/>
          <w:spacing w:val="-3"/>
          <w:sz w:val="24"/>
          <w:szCs w:val="24"/>
          <w:highlight w:val="none"/>
          <w:u w:val="single" w:color="auto"/>
        </w:rPr>
        <w:t xml:space="preserve"> </w:t>
      </w:r>
      <w:r>
        <w:rPr>
          <w:rFonts w:hint="eastAsia" w:ascii="黑体" w:hAnsi="黑体" w:eastAsia="黑体" w:cs="黑体"/>
          <w:spacing w:val="-85"/>
          <w:sz w:val="24"/>
          <w:szCs w:val="24"/>
          <w:highlight w:val="none"/>
        </w:rPr>
        <w:t xml:space="preserve"> </w:t>
      </w:r>
      <w:r>
        <w:rPr>
          <w:rFonts w:hint="eastAsia" w:ascii="黑体" w:hAnsi="黑体" w:eastAsia="黑体" w:cs="黑体"/>
          <w:spacing w:val="-3"/>
          <w:sz w:val="24"/>
          <w:szCs w:val="24"/>
          <w:highlight w:val="none"/>
        </w:rPr>
        <w:t>(项目名称)的招标文件(政府采购项目编号</w:t>
      </w:r>
      <w:r>
        <w:rPr>
          <w:rFonts w:hint="eastAsia" w:ascii="黑体" w:hAnsi="黑体" w:eastAsia="黑体" w:cs="黑体"/>
          <w:spacing w:val="-4"/>
          <w:sz w:val="24"/>
          <w:szCs w:val="24"/>
          <w:highlight w:val="none"/>
        </w:rPr>
        <w:t>：</w:t>
      </w:r>
      <w:r>
        <w:rPr>
          <w:rFonts w:hint="eastAsia" w:ascii="黑体" w:hAnsi="黑体" w:eastAsia="黑体" w:cs="黑体"/>
          <w:spacing w:val="18"/>
          <w:sz w:val="24"/>
          <w:szCs w:val="24"/>
          <w:highlight w:val="none"/>
          <w:u w:val="single" w:color="auto"/>
        </w:rPr>
        <w:t xml:space="preserve">  </w:t>
      </w:r>
      <w:r>
        <w:rPr>
          <w:rFonts w:hint="eastAsia" w:ascii="黑体" w:hAnsi="黑体" w:eastAsia="黑体" w:cs="黑体"/>
          <w:spacing w:val="18"/>
          <w:sz w:val="24"/>
          <w:szCs w:val="24"/>
          <w:highlight w:val="none"/>
          <w:u w:val="single" w:color="auto"/>
          <w:lang w:val="en-US" w:eastAsia="zh-CN"/>
        </w:rPr>
        <w:t xml:space="preserve">   </w:t>
      </w:r>
      <w:r>
        <w:rPr>
          <w:rFonts w:hint="eastAsia" w:ascii="黑体" w:hAnsi="黑体" w:eastAsia="黑体" w:cs="黑体"/>
          <w:spacing w:val="-95"/>
          <w:sz w:val="24"/>
          <w:szCs w:val="24"/>
          <w:highlight w:val="none"/>
        </w:rPr>
        <w:t xml:space="preserve"> </w:t>
      </w:r>
      <w:r>
        <w:rPr>
          <w:rFonts w:hint="eastAsia" w:ascii="黑体" w:hAnsi="黑体" w:eastAsia="黑体" w:cs="黑体"/>
          <w:spacing w:val="-4"/>
          <w:sz w:val="24"/>
          <w:szCs w:val="24"/>
          <w:highlight w:val="none"/>
        </w:rPr>
        <w:t>)</w:t>
      </w:r>
      <w:r>
        <w:rPr>
          <w:rFonts w:hint="eastAsia" w:ascii="黑体" w:hAnsi="黑体" w:eastAsia="黑体" w:cs="黑体"/>
          <w:spacing w:val="-4"/>
          <w:sz w:val="24"/>
          <w:szCs w:val="24"/>
          <w:highlight w:val="none"/>
          <w:lang w:eastAsia="zh-CN"/>
        </w:rPr>
        <w:t>（</w:t>
      </w:r>
      <w:r>
        <w:rPr>
          <w:rFonts w:hint="eastAsia" w:ascii="黑体" w:hAnsi="黑体" w:eastAsia="黑体" w:cs="黑体"/>
          <w:spacing w:val="-4"/>
          <w:sz w:val="24"/>
          <w:szCs w:val="24"/>
          <w:highlight w:val="none"/>
          <w:lang w:val="en-US" w:eastAsia="zh-CN"/>
        </w:rPr>
        <w:t>包名称</w:t>
      </w:r>
      <w:r>
        <w:rPr>
          <w:rFonts w:hint="eastAsia" w:ascii="黑体" w:hAnsi="黑体" w:eastAsia="黑体" w:cs="黑体"/>
          <w:spacing w:val="-4"/>
          <w:sz w:val="24"/>
          <w:szCs w:val="24"/>
          <w:highlight w:val="none"/>
          <w:u w:val="single"/>
          <w:lang w:val="en-US" w:eastAsia="zh-CN"/>
        </w:rPr>
        <w:t xml:space="preserve">          </w:t>
      </w:r>
      <w:r>
        <w:rPr>
          <w:rFonts w:hint="eastAsia" w:ascii="黑体" w:hAnsi="黑体" w:eastAsia="黑体" w:cs="黑体"/>
          <w:spacing w:val="-4"/>
          <w:sz w:val="24"/>
          <w:szCs w:val="24"/>
          <w:highlight w:val="none"/>
          <w:lang w:eastAsia="zh-CN"/>
        </w:rPr>
        <w:t>）</w:t>
      </w:r>
      <w:r>
        <w:rPr>
          <w:rFonts w:hint="eastAsia" w:ascii="黑体" w:hAnsi="黑体" w:eastAsia="黑体" w:cs="黑体"/>
          <w:spacing w:val="-4"/>
          <w:sz w:val="24"/>
          <w:szCs w:val="24"/>
          <w:highlight w:val="none"/>
        </w:rPr>
        <w:t>的全部内容，知悉参加</w:t>
      </w:r>
      <w:r>
        <w:rPr>
          <w:rFonts w:hint="eastAsia" w:ascii="黑体" w:hAnsi="黑体" w:eastAsia="黑体" w:cs="黑体"/>
          <w:spacing w:val="-2"/>
          <w:sz w:val="24"/>
          <w:szCs w:val="24"/>
          <w:highlight w:val="none"/>
        </w:rPr>
        <w:t>投标的风险，我方承诺接受招标文件的全部条款且无任何异议，决定参加贵单位</w:t>
      </w:r>
      <w:r>
        <w:rPr>
          <w:rFonts w:hint="eastAsia" w:ascii="黑体" w:hAnsi="黑体" w:eastAsia="黑体" w:cs="黑体"/>
          <w:spacing w:val="-3"/>
          <w:sz w:val="24"/>
          <w:szCs w:val="24"/>
          <w:highlight w:val="none"/>
        </w:rPr>
        <w:t>组织的本项目</w:t>
      </w:r>
      <w:r>
        <w:rPr>
          <w:rFonts w:hint="eastAsia" w:ascii="黑体" w:hAnsi="黑体" w:eastAsia="黑体" w:cs="黑体"/>
          <w:spacing w:val="-3"/>
          <w:sz w:val="24"/>
          <w:szCs w:val="24"/>
          <w:highlight w:val="none"/>
          <w:u w:val="single"/>
          <w:lang w:val="en-US" w:eastAsia="zh-CN"/>
        </w:rPr>
        <w:t xml:space="preserve">     （</w:t>
      </w:r>
      <w:r>
        <w:rPr>
          <w:rFonts w:hint="eastAsia" w:ascii="黑体" w:hAnsi="黑体" w:eastAsia="黑体" w:cs="黑体"/>
          <w:spacing w:val="-3"/>
          <w:sz w:val="24"/>
          <w:szCs w:val="24"/>
          <w:highlight w:val="none"/>
          <w:lang w:val="en-US" w:eastAsia="zh-CN"/>
        </w:rPr>
        <w:t>包名称）的</w:t>
      </w:r>
      <w:r>
        <w:rPr>
          <w:rFonts w:hint="eastAsia" w:ascii="黑体" w:hAnsi="黑体" w:eastAsia="黑体" w:cs="黑体"/>
          <w:spacing w:val="-8"/>
          <w:sz w:val="24"/>
          <w:szCs w:val="24"/>
          <w:highlight w:val="none"/>
        </w:rPr>
        <w:t>投标。</w:t>
      </w:r>
    </w:p>
    <w:p w14:paraId="1A3F5ED1">
      <w:pPr>
        <w:keepNext w:val="0"/>
        <w:keepLines w:val="0"/>
        <w:pageBreakBefore w:val="0"/>
        <w:widowControl w:val="0"/>
        <w:kinsoku/>
        <w:wordWrap/>
        <w:overflowPunct/>
        <w:topLinePunct w:val="0"/>
        <w:autoSpaceDE/>
        <w:autoSpaceDN/>
        <w:bidi w:val="0"/>
        <w:adjustRightInd/>
        <w:snapToGrid/>
        <w:spacing w:before="149" w:line="440" w:lineRule="exact"/>
        <w:ind w:firstLine="540" w:firstLineChars="200"/>
        <w:textAlignment w:val="auto"/>
        <w:rPr>
          <w:rFonts w:hint="eastAsia" w:ascii="黑体" w:hAnsi="黑体" w:eastAsia="黑体" w:cs="黑体"/>
          <w:sz w:val="24"/>
          <w:szCs w:val="24"/>
          <w:highlight w:val="none"/>
        </w:rPr>
      </w:pPr>
      <w:r>
        <w:rPr>
          <w:rFonts w:hint="eastAsia" w:ascii="黑体" w:hAnsi="黑体" w:eastAsia="黑体" w:cs="黑体"/>
          <w:spacing w:val="15"/>
          <w:sz w:val="24"/>
          <w:szCs w:val="24"/>
          <w:highlight w:val="none"/>
          <w:lang w:val="en-US" w:eastAsia="zh-CN"/>
        </w:rPr>
        <w:t>一</w:t>
      </w:r>
      <w:r>
        <w:rPr>
          <w:rFonts w:hint="eastAsia" w:ascii="黑体" w:hAnsi="黑体" w:eastAsia="黑体" w:cs="黑体"/>
          <w:spacing w:val="-27"/>
          <w:sz w:val="24"/>
          <w:szCs w:val="24"/>
          <w:highlight w:val="none"/>
        </w:rPr>
        <w:t xml:space="preserve"> </w:t>
      </w:r>
      <w:r>
        <w:rPr>
          <w:rFonts w:hint="eastAsia" w:ascii="黑体" w:hAnsi="黑体" w:eastAsia="黑体" w:cs="黑体"/>
          <w:spacing w:val="15"/>
          <w:sz w:val="24"/>
          <w:szCs w:val="24"/>
          <w:highlight w:val="none"/>
        </w:rPr>
        <w:t>、我方的投标报价为</w:t>
      </w:r>
      <w:r>
        <w:rPr>
          <w:rFonts w:hint="eastAsia" w:ascii="黑体" w:hAnsi="黑体" w:eastAsia="黑体" w:cs="黑体"/>
          <w:spacing w:val="15"/>
          <w:sz w:val="24"/>
          <w:szCs w:val="24"/>
          <w:highlight w:val="none"/>
          <w:u w:val="single" w:color="auto"/>
        </w:rPr>
        <w:t xml:space="preserve">      </w:t>
      </w:r>
      <w:r>
        <w:rPr>
          <w:rFonts w:hint="eastAsia" w:ascii="黑体" w:hAnsi="黑体" w:eastAsia="黑体" w:cs="黑体"/>
          <w:spacing w:val="-95"/>
          <w:sz w:val="24"/>
          <w:szCs w:val="24"/>
          <w:highlight w:val="none"/>
        </w:rPr>
        <w:t xml:space="preserve"> </w:t>
      </w:r>
      <w:r>
        <w:rPr>
          <w:rFonts w:hint="eastAsia" w:ascii="黑体" w:hAnsi="黑体" w:eastAsia="黑体" w:cs="黑体"/>
          <w:spacing w:val="15"/>
          <w:sz w:val="24"/>
          <w:szCs w:val="24"/>
          <w:highlight w:val="none"/>
          <w:lang w:val="en-US" w:eastAsia="zh-CN"/>
        </w:rPr>
        <w:t>元，</w:t>
      </w:r>
      <w:r>
        <w:rPr>
          <w:rFonts w:hint="eastAsia" w:ascii="黑体" w:hAnsi="黑体" w:eastAsia="黑体" w:cs="黑体"/>
          <w:spacing w:val="15"/>
          <w:sz w:val="24"/>
          <w:szCs w:val="24"/>
          <w:highlight w:val="none"/>
        </w:rPr>
        <w:t>服务期限为</w:t>
      </w:r>
      <w:r>
        <w:rPr>
          <w:rFonts w:hint="eastAsia" w:ascii="黑体" w:hAnsi="黑体" w:eastAsia="黑体" w:cs="黑体"/>
          <w:spacing w:val="15"/>
          <w:sz w:val="24"/>
          <w:szCs w:val="24"/>
          <w:highlight w:val="none"/>
          <w:u w:val="single" w:color="auto"/>
        </w:rPr>
        <w:t xml:space="preserve">       </w:t>
      </w:r>
      <w:r>
        <w:rPr>
          <w:rFonts w:hint="eastAsia" w:ascii="黑体" w:hAnsi="黑体" w:eastAsia="黑体" w:cs="黑体"/>
          <w:spacing w:val="15"/>
          <w:sz w:val="24"/>
          <w:szCs w:val="24"/>
          <w:highlight w:val="none"/>
        </w:rPr>
        <w:t>,投标有效期为投标截</w:t>
      </w:r>
      <w:r>
        <w:rPr>
          <w:rFonts w:hint="eastAsia" w:ascii="黑体" w:hAnsi="黑体" w:eastAsia="黑体" w:cs="黑体"/>
          <w:spacing w:val="8"/>
          <w:sz w:val="24"/>
          <w:szCs w:val="24"/>
          <w:highlight w:val="none"/>
        </w:rPr>
        <w:t>止日起90日历天。</w:t>
      </w:r>
    </w:p>
    <w:p w14:paraId="7268E335">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lang w:val="en-US" w:eastAsia="zh-CN"/>
        </w:rPr>
      </w:pPr>
      <w:r>
        <w:rPr>
          <w:rFonts w:hint="eastAsia" w:ascii="黑体" w:hAnsi="黑体" w:eastAsia="黑体" w:cs="黑体"/>
          <w:spacing w:val="-3"/>
          <w:sz w:val="24"/>
          <w:szCs w:val="24"/>
          <w:highlight w:val="none"/>
          <w:lang w:val="en-US" w:eastAsia="zh-CN"/>
        </w:rPr>
        <w:t>二、我方愿意按招标文件规定的各项要求，向采购人提供所需服务及其他要求内容。</w:t>
      </w:r>
    </w:p>
    <w:p w14:paraId="0823850B">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lang w:val="en-US" w:eastAsia="zh-CN"/>
        </w:rPr>
      </w:pPr>
      <w:r>
        <w:rPr>
          <w:rFonts w:hint="eastAsia" w:ascii="黑体" w:hAnsi="黑体" w:eastAsia="黑体" w:cs="黑体"/>
          <w:spacing w:val="-3"/>
          <w:sz w:val="24"/>
          <w:szCs w:val="24"/>
          <w:highlight w:val="none"/>
          <w:lang w:val="en-US" w:eastAsia="zh-CN"/>
        </w:rPr>
        <w:t>三、我方愿意向贵方提供任何与本项采购有关的数据、情况和技术资料。若贵方需要，我方愿意提供我方作出的一切承诺的证明材料。</w:t>
      </w:r>
    </w:p>
    <w:p w14:paraId="49ABD2F4">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lang w:val="en-US" w:eastAsia="zh-CN"/>
        </w:rPr>
      </w:pPr>
      <w:r>
        <w:rPr>
          <w:rFonts w:hint="eastAsia" w:ascii="黑体" w:hAnsi="黑体" w:eastAsia="黑体" w:cs="黑体"/>
          <w:spacing w:val="-3"/>
          <w:sz w:val="24"/>
          <w:szCs w:val="24"/>
          <w:highlight w:val="none"/>
          <w:lang w:val="en-US" w:eastAsia="zh-CN"/>
        </w:rPr>
        <w:t>四、我方承诺遵守《中华人民共和国政府采购法》及其实施条例的有关规定，保证在获得中标资格后：</w:t>
      </w:r>
    </w:p>
    <w:p w14:paraId="65C4AE22">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lang w:val="en-US" w:eastAsia="zh-CN"/>
        </w:rPr>
      </w:pPr>
      <w:r>
        <w:rPr>
          <w:rFonts w:hint="eastAsia" w:ascii="黑体" w:hAnsi="黑体" w:eastAsia="黑体" w:cs="黑体"/>
          <w:spacing w:val="-3"/>
          <w:sz w:val="24"/>
          <w:szCs w:val="24"/>
          <w:highlight w:val="none"/>
          <w:lang w:val="en-US" w:eastAsia="zh-CN"/>
        </w:rPr>
        <w:t>（1）按照招标文件确定的事项签订政府采购合同，履行双方所签订的合同，并承担合同规定的责任和义务；</w:t>
      </w:r>
    </w:p>
    <w:p w14:paraId="32A60485">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lang w:val="en-US" w:eastAsia="zh-CN"/>
        </w:rPr>
      </w:pPr>
      <w:r>
        <w:rPr>
          <w:rFonts w:hint="eastAsia" w:ascii="黑体" w:hAnsi="黑体" w:eastAsia="黑体" w:cs="黑体"/>
          <w:spacing w:val="-3"/>
          <w:sz w:val="24"/>
          <w:szCs w:val="24"/>
          <w:highlight w:val="none"/>
          <w:lang w:val="en-US" w:eastAsia="zh-CN"/>
        </w:rPr>
        <w:t>（2）投标有效期自动延长至合同履行完毕。</w:t>
      </w:r>
    </w:p>
    <w:p w14:paraId="1ACBFDD2">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rPr>
      </w:pPr>
      <w:r>
        <w:rPr>
          <w:rFonts w:hint="eastAsia" w:ascii="黑体" w:hAnsi="黑体" w:eastAsia="黑体" w:cs="黑体"/>
          <w:spacing w:val="-3"/>
          <w:sz w:val="24"/>
          <w:szCs w:val="24"/>
          <w:highlight w:val="none"/>
          <w:lang w:val="en-US" w:eastAsia="zh-CN"/>
        </w:rPr>
        <w:t>五</w:t>
      </w:r>
      <w:r>
        <w:rPr>
          <w:rFonts w:hint="eastAsia" w:ascii="黑体" w:hAnsi="黑体" w:eastAsia="黑体" w:cs="黑体"/>
          <w:spacing w:val="-3"/>
          <w:sz w:val="24"/>
          <w:szCs w:val="24"/>
          <w:highlight w:val="none"/>
        </w:rPr>
        <w:t>、我方承诺遵守《中华人民共和国政府采购法》及其实施条例的有关规定，保证在获得中标资格后：</w:t>
      </w:r>
    </w:p>
    <w:p w14:paraId="0C6E29BA">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rPr>
      </w:pPr>
      <w:r>
        <w:rPr>
          <w:rFonts w:hint="eastAsia" w:ascii="黑体" w:hAnsi="黑体" w:eastAsia="黑体" w:cs="黑体"/>
          <w:spacing w:val="-3"/>
          <w:sz w:val="24"/>
          <w:szCs w:val="24"/>
          <w:highlight w:val="none"/>
        </w:rPr>
        <w:t>1.在收到中标通知书后，在中标通知书规定的期限内与采购人签订合同；</w:t>
      </w:r>
    </w:p>
    <w:p w14:paraId="698BA977">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rPr>
      </w:pPr>
      <w:r>
        <w:rPr>
          <w:rFonts w:hint="eastAsia" w:ascii="黑体" w:hAnsi="黑体" w:eastAsia="黑体" w:cs="黑体"/>
          <w:spacing w:val="-3"/>
          <w:sz w:val="24"/>
          <w:szCs w:val="24"/>
          <w:highlight w:val="none"/>
        </w:rPr>
        <w:t>2.在签订合同时不向采购人提出附加条件；</w:t>
      </w:r>
    </w:p>
    <w:p w14:paraId="050B9F31">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pacing w:val="-3"/>
          <w:sz w:val="24"/>
          <w:szCs w:val="24"/>
          <w:highlight w:val="none"/>
        </w:rPr>
      </w:pPr>
      <w:r>
        <w:rPr>
          <w:rFonts w:hint="eastAsia" w:ascii="黑体" w:hAnsi="黑体" w:eastAsia="黑体" w:cs="黑体"/>
          <w:spacing w:val="-3"/>
          <w:sz w:val="24"/>
          <w:szCs w:val="24"/>
          <w:highlight w:val="none"/>
        </w:rPr>
        <w:t>3.在合同规定期限内完成合同规定的全部义务；</w:t>
      </w:r>
    </w:p>
    <w:p w14:paraId="1CEBE5A7">
      <w:pPr>
        <w:keepNext w:val="0"/>
        <w:keepLines w:val="0"/>
        <w:pageBreakBefore w:val="0"/>
        <w:widowControl w:val="0"/>
        <w:kinsoku/>
        <w:wordWrap/>
        <w:overflowPunct/>
        <w:topLinePunct w:val="0"/>
        <w:autoSpaceDE/>
        <w:autoSpaceDN/>
        <w:bidi w:val="0"/>
        <w:adjustRightInd/>
        <w:snapToGrid/>
        <w:spacing w:before="235" w:line="440" w:lineRule="exact"/>
        <w:ind w:left="8" w:right="52" w:firstLine="419"/>
        <w:textAlignment w:val="auto"/>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4.按照招标文件规定和标准向贵方交纳招标代理服务费；</w:t>
      </w:r>
    </w:p>
    <w:p w14:paraId="22D30750">
      <w:pPr>
        <w:keepNext w:val="0"/>
        <w:keepLines w:val="0"/>
        <w:pageBreakBefore w:val="0"/>
        <w:widowControl w:val="0"/>
        <w:kinsoku/>
        <w:wordWrap/>
        <w:overflowPunct/>
        <w:topLinePunct w:val="0"/>
        <w:autoSpaceDE/>
        <w:autoSpaceDN/>
        <w:bidi w:val="0"/>
        <w:adjustRightInd/>
        <w:snapToGrid/>
        <w:spacing w:before="149" w:line="440" w:lineRule="exact"/>
        <w:ind w:firstLine="540" w:firstLineChars="200"/>
        <w:textAlignment w:val="auto"/>
        <w:rPr>
          <w:rFonts w:hint="eastAsia" w:ascii="黑体" w:hAnsi="黑体" w:eastAsia="黑体" w:cs="黑体"/>
          <w:spacing w:val="15"/>
          <w:sz w:val="24"/>
          <w:szCs w:val="24"/>
          <w:highlight w:val="none"/>
          <w:lang w:val="en-US" w:eastAsia="zh-CN"/>
        </w:rPr>
      </w:pPr>
      <w:r>
        <w:rPr>
          <w:rFonts w:hint="eastAsia" w:ascii="黑体" w:hAnsi="黑体" w:eastAsia="黑体" w:cs="黑体"/>
          <w:spacing w:val="15"/>
          <w:sz w:val="24"/>
          <w:szCs w:val="24"/>
          <w:highlight w:val="none"/>
          <w:lang w:val="en-US" w:eastAsia="zh-CN"/>
        </w:rPr>
        <w:t>六、我方在此声明，所递交的投标文件及有关资料内容完整、真实和准确，否则，愿承担《中华人民共和国政府采购法》第七十七条规定的法律责任。</w:t>
      </w:r>
    </w:p>
    <w:p w14:paraId="2C0C2FFC">
      <w:pPr>
        <w:keepNext w:val="0"/>
        <w:keepLines w:val="0"/>
        <w:pageBreakBefore w:val="0"/>
        <w:widowControl w:val="0"/>
        <w:kinsoku/>
        <w:wordWrap/>
        <w:overflowPunct/>
        <w:topLinePunct w:val="0"/>
        <w:autoSpaceDE/>
        <w:autoSpaceDN/>
        <w:bidi w:val="0"/>
        <w:adjustRightInd/>
        <w:snapToGrid/>
        <w:spacing w:before="149" w:line="440" w:lineRule="exact"/>
        <w:ind w:firstLine="270" w:firstLineChars="100"/>
        <w:textAlignment w:val="auto"/>
        <w:rPr>
          <w:rFonts w:hint="eastAsia" w:ascii="黑体" w:hAnsi="黑体" w:eastAsia="黑体" w:cs="黑体"/>
          <w:spacing w:val="15"/>
          <w:sz w:val="24"/>
          <w:szCs w:val="24"/>
          <w:highlight w:val="none"/>
          <w:lang w:val="en-US" w:eastAsia="zh-CN"/>
        </w:rPr>
      </w:pPr>
      <w:r>
        <w:rPr>
          <w:rFonts w:hint="eastAsia" w:ascii="黑体" w:hAnsi="黑体" w:eastAsia="黑体" w:cs="黑体"/>
          <w:spacing w:val="15"/>
          <w:sz w:val="24"/>
          <w:szCs w:val="24"/>
          <w:highlight w:val="none"/>
          <w:lang w:val="en-US" w:eastAsia="zh-CN"/>
        </w:rPr>
        <w:t xml:space="preserve"> 七、如果因我方原因放弃中标，我方承诺承担因下个中标候选人中标给招标人带来的经济损失。</w:t>
      </w:r>
    </w:p>
    <w:p w14:paraId="000B02A9">
      <w:pPr>
        <w:keepNext w:val="0"/>
        <w:keepLines w:val="0"/>
        <w:pageBreakBefore w:val="0"/>
        <w:widowControl w:val="0"/>
        <w:kinsoku/>
        <w:wordWrap/>
        <w:overflowPunct/>
        <w:topLinePunct w:val="0"/>
        <w:autoSpaceDE/>
        <w:autoSpaceDN/>
        <w:bidi w:val="0"/>
        <w:adjustRightInd/>
        <w:snapToGrid/>
        <w:spacing w:before="161" w:line="440" w:lineRule="exact"/>
        <w:ind w:left="428"/>
        <w:textAlignment w:val="auto"/>
        <w:rPr>
          <w:rFonts w:hint="eastAsia" w:ascii="黑体" w:hAnsi="黑体" w:eastAsia="黑体" w:cs="黑体"/>
          <w:sz w:val="24"/>
          <w:szCs w:val="24"/>
          <w:highlight w:val="none"/>
        </w:rPr>
      </w:pPr>
      <w:r>
        <w:rPr>
          <w:rFonts w:hint="eastAsia" w:ascii="黑体" w:hAnsi="黑体" w:eastAsia="黑体" w:cs="黑体"/>
          <w:spacing w:val="-3"/>
          <w:sz w:val="24"/>
          <w:szCs w:val="24"/>
          <w:highlight w:val="none"/>
          <w:lang w:val="en-US" w:eastAsia="zh-CN"/>
        </w:rPr>
        <w:t>八</w:t>
      </w:r>
      <w:r>
        <w:rPr>
          <w:rFonts w:hint="eastAsia" w:ascii="黑体" w:hAnsi="黑体" w:eastAsia="黑体" w:cs="黑体"/>
          <w:spacing w:val="-3"/>
          <w:sz w:val="24"/>
          <w:szCs w:val="24"/>
          <w:highlight w:val="none"/>
        </w:rPr>
        <w:t>、(其他补充说明)。</w:t>
      </w:r>
    </w:p>
    <w:p w14:paraId="586196AC">
      <w:pPr>
        <w:keepNext w:val="0"/>
        <w:keepLines w:val="0"/>
        <w:pageBreakBefore w:val="0"/>
        <w:widowControl w:val="0"/>
        <w:kinsoku/>
        <w:wordWrap/>
        <w:overflowPunct/>
        <w:topLinePunct w:val="0"/>
        <w:autoSpaceDE/>
        <w:autoSpaceDN/>
        <w:bidi w:val="0"/>
        <w:adjustRightInd/>
        <w:snapToGrid/>
        <w:spacing w:before="150" w:line="440" w:lineRule="exact"/>
        <w:ind w:left="428"/>
        <w:textAlignment w:val="auto"/>
        <w:rPr>
          <w:rFonts w:hint="eastAsia" w:ascii="黑体" w:hAnsi="黑体" w:eastAsia="黑体" w:cs="黑体"/>
          <w:sz w:val="24"/>
          <w:szCs w:val="24"/>
          <w:highlight w:val="none"/>
        </w:rPr>
      </w:pPr>
      <w:r>
        <w:rPr>
          <w:rFonts w:hint="eastAsia" w:ascii="黑体" w:hAnsi="黑体" w:eastAsia="黑体" w:cs="黑体"/>
          <w:spacing w:val="-3"/>
          <w:sz w:val="24"/>
          <w:szCs w:val="24"/>
          <w:highlight w:val="none"/>
          <w:lang w:val="en-US" w:eastAsia="zh-CN"/>
        </w:rPr>
        <w:t>九</w:t>
      </w:r>
      <w:r>
        <w:rPr>
          <w:rFonts w:hint="eastAsia" w:ascii="黑体" w:hAnsi="黑体" w:eastAsia="黑体" w:cs="黑体"/>
          <w:spacing w:val="-3"/>
          <w:sz w:val="24"/>
          <w:szCs w:val="24"/>
          <w:highlight w:val="none"/>
        </w:rPr>
        <w:t>、有关本项目的所有函电，请按下列地址联系：</w:t>
      </w:r>
    </w:p>
    <w:p w14:paraId="28EB8587">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黑体" w:hAnsi="黑体" w:eastAsia="黑体" w:cs="黑体"/>
          <w:spacing w:val="-6"/>
          <w:sz w:val="24"/>
          <w:szCs w:val="24"/>
          <w:highlight w:val="none"/>
        </w:rPr>
      </w:pPr>
    </w:p>
    <w:p w14:paraId="011C5654">
      <w:pPr>
        <w:keepNext w:val="0"/>
        <w:keepLines w:val="0"/>
        <w:pageBreakBefore w:val="0"/>
        <w:widowControl w:val="0"/>
        <w:kinsoku/>
        <w:wordWrap/>
        <w:overflowPunct/>
        <w:topLinePunct w:val="0"/>
        <w:autoSpaceDE/>
        <w:autoSpaceDN/>
        <w:bidi w:val="0"/>
        <w:adjustRightInd/>
        <w:snapToGrid/>
        <w:spacing w:before="120" w:line="440" w:lineRule="exact"/>
        <w:ind w:firstLine="456" w:firstLineChars="200"/>
        <w:textAlignment w:val="auto"/>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投标单位全称：</w:t>
      </w:r>
      <w:r>
        <w:rPr>
          <w:rFonts w:hint="eastAsia" w:ascii="黑体" w:hAnsi="黑体" w:eastAsia="黑体" w:cs="黑体"/>
          <w:spacing w:val="49"/>
          <w:sz w:val="24"/>
          <w:szCs w:val="24"/>
          <w:highlight w:val="none"/>
        </w:rPr>
        <w:t xml:space="preserve"> </w:t>
      </w:r>
      <w:r>
        <w:rPr>
          <w:rFonts w:hint="eastAsia" w:ascii="黑体" w:hAnsi="黑体" w:eastAsia="黑体" w:cs="黑体"/>
          <w:spacing w:val="-6"/>
          <w:sz w:val="24"/>
          <w:szCs w:val="24"/>
          <w:highlight w:val="none"/>
          <w:u w:val="single" w:color="auto"/>
        </w:rPr>
        <w:t xml:space="preserve">                      </w:t>
      </w:r>
      <w:r>
        <w:rPr>
          <w:rFonts w:hint="eastAsia" w:ascii="黑体" w:hAnsi="黑体" w:eastAsia="黑体" w:cs="黑体"/>
          <w:spacing w:val="-6"/>
          <w:sz w:val="24"/>
          <w:szCs w:val="24"/>
          <w:highlight w:val="none"/>
        </w:rPr>
        <w:t xml:space="preserve"> (盖章)</w:t>
      </w:r>
    </w:p>
    <w:p w14:paraId="33EDBA3F">
      <w:pPr>
        <w:keepNext w:val="0"/>
        <w:keepLines w:val="0"/>
        <w:pageBreakBefore w:val="0"/>
        <w:widowControl w:val="0"/>
        <w:kinsoku/>
        <w:wordWrap/>
        <w:overflowPunct/>
        <w:topLinePunct w:val="0"/>
        <w:autoSpaceDE/>
        <w:autoSpaceDN/>
        <w:bidi w:val="0"/>
        <w:adjustRightInd/>
        <w:snapToGrid/>
        <w:spacing w:before="221" w:line="440" w:lineRule="exact"/>
        <w:ind w:left="428"/>
        <w:textAlignment w:val="auto"/>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法定代表人(或负责人)或被授权人：</w:t>
      </w:r>
      <w:r>
        <w:rPr>
          <w:rFonts w:hint="eastAsia" w:ascii="黑体" w:hAnsi="黑体" w:eastAsia="黑体" w:cs="黑体"/>
          <w:spacing w:val="45"/>
          <w:sz w:val="24"/>
          <w:szCs w:val="24"/>
          <w:highlight w:val="none"/>
        </w:rPr>
        <w:t xml:space="preserve"> </w:t>
      </w:r>
      <w:r>
        <w:rPr>
          <w:rFonts w:hint="eastAsia" w:ascii="黑体" w:hAnsi="黑体" w:eastAsia="黑体" w:cs="黑体"/>
          <w:spacing w:val="6"/>
          <w:sz w:val="24"/>
          <w:szCs w:val="24"/>
          <w:highlight w:val="none"/>
          <w:u w:val="single" w:color="auto"/>
        </w:rPr>
        <w:t xml:space="preserve">          </w:t>
      </w:r>
      <w:r>
        <w:rPr>
          <w:rFonts w:hint="eastAsia" w:ascii="黑体" w:hAnsi="黑体" w:eastAsia="黑体" w:cs="黑体"/>
          <w:spacing w:val="-2"/>
          <w:sz w:val="24"/>
          <w:szCs w:val="24"/>
          <w:highlight w:val="none"/>
          <w:u w:val="single" w:color="auto"/>
        </w:rPr>
        <w:t>(</w:t>
      </w:r>
      <w:r>
        <w:rPr>
          <w:rFonts w:hint="eastAsia" w:ascii="黑体" w:hAnsi="黑体" w:eastAsia="黑体" w:cs="黑体"/>
          <w:spacing w:val="-20"/>
          <w:sz w:val="24"/>
          <w:szCs w:val="24"/>
          <w:highlight w:val="none"/>
          <w:u w:val="single" w:color="auto"/>
        </w:rPr>
        <w:t xml:space="preserve"> </w:t>
      </w:r>
      <w:r>
        <w:rPr>
          <w:rFonts w:hint="eastAsia" w:ascii="黑体" w:hAnsi="黑体" w:eastAsia="黑体" w:cs="黑体"/>
          <w:spacing w:val="-2"/>
          <w:sz w:val="24"/>
          <w:szCs w:val="24"/>
          <w:highlight w:val="none"/>
          <w:u w:val="single" w:color="auto"/>
        </w:rPr>
        <w:t>签</w:t>
      </w:r>
      <w:r>
        <w:rPr>
          <w:rFonts w:hint="eastAsia" w:ascii="黑体" w:hAnsi="黑体" w:eastAsia="黑体" w:cs="黑体"/>
          <w:spacing w:val="-23"/>
          <w:sz w:val="24"/>
          <w:szCs w:val="24"/>
          <w:highlight w:val="none"/>
          <w:u w:val="single" w:color="auto"/>
        </w:rPr>
        <w:t xml:space="preserve"> </w:t>
      </w:r>
      <w:r>
        <w:rPr>
          <w:rFonts w:hint="eastAsia" w:ascii="黑体" w:hAnsi="黑体" w:eastAsia="黑体" w:cs="黑体"/>
          <w:spacing w:val="-3"/>
          <w:sz w:val="24"/>
          <w:szCs w:val="24"/>
          <w:highlight w:val="none"/>
          <w:u w:val="single" w:color="auto"/>
        </w:rPr>
        <w:t>字</w:t>
      </w:r>
      <w:r>
        <w:rPr>
          <w:rFonts w:hint="eastAsia" w:ascii="黑体" w:hAnsi="黑体" w:eastAsia="黑体" w:cs="黑体"/>
          <w:spacing w:val="-22"/>
          <w:sz w:val="24"/>
          <w:szCs w:val="24"/>
          <w:highlight w:val="none"/>
          <w:u w:val="single" w:color="auto"/>
        </w:rPr>
        <w:t xml:space="preserve"> </w:t>
      </w:r>
      <w:r>
        <w:rPr>
          <w:rFonts w:hint="eastAsia" w:ascii="黑体" w:hAnsi="黑体" w:eastAsia="黑体" w:cs="黑体"/>
          <w:spacing w:val="-3"/>
          <w:sz w:val="24"/>
          <w:szCs w:val="24"/>
          <w:highlight w:val="none"/>
          <w:u w:val="single" w:color="auto"/>
        </w:rPr>
        <w:t>或</w:t>
      </w:r>
      <w:r>
        <w:rPr>
          <w:rFonts w:hint="eastAsia" w:ascii="黑体" w:hAnsi="黑体" w:eastAsia="黑体" w:cs="黑体"/>
          <w:spacing w:val="-22"/>
          <w:sz w:val="24"/>
          <w:szCs w:val="24"/>
          <w:highlight w:val="none"/>
          <w:u w:val="single" w:color="auto"/>
        </w:rPr>
        <w:t xml:space="preserve"> </w:t>
      </w:r>
      <w:r>
        <w:rPr>
          <w:rFonts w:hint="eastAsia" w:ascii="黑体" w:hAnsi="黑体" w:eastAsia="黑体" w:cs="黑体"/>
          <w:spacing w:val="-3"/>
          <w:sz w:val="24"/>
          <w:szCs w:val="24"/>
          <w:highlight w:val="none"/>
          <w:u w:val="single" w:color="auto"/>
        </w:rPr>
        <w:t>盖 章</w:t>
      </w:r>
      <w:r>
        <w:rPr>
          <w:rFonts w:hint="eastAsia" w:ascii="黑体" w:hAnsi="黑体" w:eastAsia="黑体" w:cs="黑体"/>
          <w:spacing w:val="-23"/>
          <w:sz w:val="24"/>
          <w:szCs w:val="24"/>
          <w:highlight w:val="none"/>
          <w:u w:val="single" w:color="auto"/>
        </w:rPr>
        <w:t xml:space="preserve"> </w:t>
      </w:r>
      <w:r>
        <w:rPr>
          <w:rFonts w:hint="eastAsia" w:ascii="黑体" w:hAnsi="黑体" w:eastAsia="黑体" w:cs="黑体"/>
          <w:spacing w:val="-3"/>
          <w:sz w:val="24"/>
          <w:szCs w:val="24"/>
          <w:highlight w:val="none"/>
          <w:u w:val="single" w:color="auto"/>
        </w:rPr>
        <w:t>)</w:t>
      </w:r>
    </w:p>
    <w:p w14:paraId="243AD3C2">
      <w:pPr>
        <w:keepNext w:val="0"/>
        <w:keepLines w:val="0"/>
        <w:pageBreakBefore w:val="0"/>
        <w:widowControl w:val="0"/>
        <w:kinsoku/>
        <w:wordWrap/>
        <w:overflowPunct/>
        <w:topLinePunct w:val="0"/>
        <w:autoSpaceDE/>
        <w:autoSpaceDN/>
        <w:bidi w:val="0"/>
        <w:adjustRightInd/>
        <w:snapToGrid/>
        <w:spacing w:before="233" w:line="440" w:lineRule="exact"/>
        <w:ind w:left="428"/>
        <w:textAlignment w:val="auto"/>
        <w:rPr>
          <w:rFonts w:hint="eastAsia" w:ascii="黑体" w:hAnsi="黑体" w:eastAsia="黑体" w:cs="黑体"/>
          <w:sz w:val="24"/>
          <w:szCs w:val="24"/>
          <w:highlight w:val="none"/>
        </w:rPr>
      </w:pPr>
      <w:r>
        <w:rPr>
          <w:rFonts w:hint="eastAsia" w:ascii="黑体" w:hAnsi="黑体" w:eastAsia="黑体" w:cs="黑体"/>
          <w:spacing w:val="-25"/>
          <w:sz w:val="24"/>
          <w:szCs w:val="24"/>
          <w:highlight w:val="none"/>
        </w:rPr>
        <w:t>地</w:t>
      </w:r>
      <w:r>
        <w:rPr>
          <w:rFonts w:hint="eastAsia" w:ascii="黑体" w:hAnsi="黑体" w:eastAsia="黑体" w:cs="黑体"/>
          <w:spacing w:val="34"/>
          <w:sz w:val="24"/>
          <w:szCs w:val="24"/>
          <w:highlight w:val="none"/>
        </w:rPr>
        <w:t xml:space="preserve">   </w:t>
      </w:r>
      <w:r>
        <w:rPr>
          <w:rFonts w:hint="eastAsia" w:ascii="黑体" w:hAnsi="黑体" w:eastAsia="黑体" w:cs="黑体"/>
          <w:spacing w:val="-25"/>
          <w:sz w:val="24"/>
          <w:szCs w:val="24"/>
          <w:highlight w:val="none"/>
        </w:rPr>
        <w:t>址：</w:t>
      </w:r>
      <w:r>
        <w:rPr>
          <w:rFonts w:hint="eastAsia" w:ascii="黑体" w:hAnsi="黑体" w:eastAsia="黑体" w:cs="黑体"/>
          <w:spacing w:val="-58"/>
          <w:sz w:val="24"/>
          <w:szCs w:val="24"/>
          <w:highlight w:val="none"/>
        </w:rPr>
        <w:t xml:space="preserve"> </w:t>
      </w:r>
      <w:r>
        <w:rPr>
          <w:rFonts w:hint="eastAsia" w:ascii="黑体" w:hAnsi="黑体" w:eastAsia="黑体" w:cs="黑体"/>
          <w:sz w:val="24"/>
          <w:szCs w:val="24"/>
          <w:highlight w:val="none"/>
          <w:u w:val="single" w:color="auto"/>
        </w:rPr>
        <w:t xml:space="preserve">                               </w:t>
      </w:r>
    </w:p>
    <w:p w14:paraId="0F3C69B8">
      <w:pPr>
        <w:keepNext w:val="0"/>
        <w:keepLines w:val="0"/>
        <w:pageBreakBefore w:val="0"/>
        <w:widowControl w:val="0"/>
        <w:kinsoku/>
        <w:wordWrap/>
        <w:overflowPunct/>
        <w:topLinePunct w:val="0"/>
        <w:autoSpaceDE/>
        <w:autoSpaceDN/>
        <w:bidi w:val="0"/>
        <w:adjustRightInd/>
        <w:snapToGrid/>
        <w:spacing w:before="222" w:line="440" w:lineRule="exact"/>
        <w:ind w:left="428"/>
        <w:textAlignment w:val="auto"/>
        <w:rPr>
          <w:rFonts w:hint="eastAsia" w:ascii="黑体" w:hAnsi="黑体" w:eastAsia="黑体" w:cs="黑体"/>
          <w:sz w:val="24"/>
          <w:szCs w:val="24"/>
        </w:rPr>
        <w:sectPr>
          <w:headerReference r:id="rId10" w:type="default"/>
          <w:footerReference r:id="rId11" w:type="default"/>
          <w:pgSz w:w="11910" w:h="16840"/>
          <w:pgMar w:top="1064" w:right="1402" w:bottom="1281" w:left="1391" w:header="854" w:footer="1032" w:gutter="0"/>
          <w:pgNumType w:fmt="decimal"/>
          <w:cols w:space="720" w:num="1"/>
        </w:sectPr>
      </w:pPr>
      <w:r>
        <w:rPr>
          <w:rFonts w:hint="eastAsia" w:ascii="黑体" w:hAnsi="黑体" w:eastAsia="黑体" w:cs="黑体"/>
          <w:spacing w:val="-30"/>
          <w:w w:val="98"/>
          <w:sz w:val="24"/>
          <w:szCs w:val="24"/>
          <w:highlight w:val="none"/>
        </w:rPr>
        <w:t>电</w:t>
      </w:r>
      <w:r>
        <w:rPr>
          <w:rFonts w:hint="eastAsia" w:ascii="黑体" w:hAnsi="黑体" w:eastAsia="黑体" w:cs="黑体"/>
          <w:spacing w:val="1"/>
          <w:sz w:val="24"/>
          <w:szCs w:val="24"/>
          <w:highlight w:val="none"/>
        </w:rPr>
        <w:t xml:space="preserve">    </w:t>
      </w:r>
      <w:r>
        <w:rPr>
          <w:rFonts w:hint="eastAsia" w:ascii="黑体" w:hAnsi="黑体" w:eastAsia="黑体" w:cs="黑体"/>
          <w:spacing w:val="-30"/>
          <w:w w:val="98"/>
          <w:sz w:val="24"/>
          <w:szCs w:val="24"/>
          <w:highlight w:val="none"/>
        </w:rPr>
        <w:t>话：</w:t>
      </w:r>
      <w:r>
        <w:rPr>
          <w:rFonts w:hint="eastAsia" w:ascii="黑体" w:hAnsi="黑体" w:eastAsia="黑体" w:cs="黑体"/>
          <w:spacing w:val="-58"/>
          <w:sz w:val="24"/>
          <w:szCs w:val="24"/>
          <w:highlight w:val="none"/>
        </w:rPr>
        <w:t xml:space="preserve"> </w:t>
      </w:r>
      <w:r>
        <w:rPr>
          <w:rFonts w:hint="eastAsia" w:ascii="黑体" w:hAnsi="黑体" w:eastAsia="黑体" w:cs="黑体"/>
          <w:sz w:val="24"/>
          <w:szCs w:val="24"/>
          <w:highlight w:val="none"/>
          <w:u w:val="single" w:color="auto"/>
        </w:rPr>
        <w:t xml:space="preserve">                               </w:t>
      </w:r>
    </w:p>
    <w:p w14:paraId="698C5A68">
      <w:pPr>
        <w:autoSpaceDE w:val="0"/>
        <w:autoSpaceDN w:val="0"/>
        <w:snapToGrid w:val="0"/>
        <w:spacing w:line="360" w:lineRule="auto"/>
        <w:jc w:val="both"/>
        <w:rPr>
          <w:rFonts w:hint="eastAsia" w:ascii="黑体" w:hAnsi="黑体" w:eastAsia="黑体" w:cs="黑体"/>
          <w:b/>
          <w:color w:val="auto"/>
          <w:sz w:val="32"/>
          <w:szCs w:val="32"/>
          <w:lang w:val="en-US" w:eastAsia="zh-CN"/>
        </w:rPr>
      </w:pPr>
    </w:p>
    <w:p w14:paraId="1574D147">
      <w:pPr>
        <w:autoSpaceDE w:val="0"/>
        <w:autoSpaceDN w:val="0"/>
        <w:snapToGrid w:val="0"/>
        <w:spacing w:line="360" w:lineRule="auto"/>
        <w:jc w:val="center"/>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二</w:t>
      </w:r>
      <w:r>
        <w:rPr>
          <w:rFonts w:hint="eastAsia" w:ascii="黑体" w:hAnsi="黑体" w:eastAsia="黑体" w:cs="黑体"/>
          <w:b/>
          <w:color w:val="auto"/>
          <w:sz w:val="32"/>
          <w:szCs w:val="32"/>
        </w:rPr>
        <w:t>、</w:t>
      </w:r>
      <w:r>
        <w:rPr>
          <w:rFonts w:hint="eastAsia" w:ascii="黑体" w:hAnsi="黑体" w:eastAsia="黑体" w:cs="黑体"/>
          <w:b/>
          <w:color w:val="auto"/>
          <w:sz w:val="32"/>
          <w:szCs w:val="32"/>
          <w:lang w:val="en-US" w:eastAsia="zh-CN"/>
        </w:rPr>
        <w:t>报价一览</w:t>
      </w:r>
      <w:r>
        <w:rPr>
          <w:rFonts w:hint="eastAsia" w:ascii="黑体" w:hAnsi="黑体" w:eastAsia="黑体" w:cs="黑体"/>
          <w:b/>
          <w:color w:val="auto"/>
          <w:sz w:val="32"/>
          <w:szCs w:val="32"/>
        </w:rPr>
        <w:t>表</w:t>
      </w:r>
    </w:p>
    <w:p w14:paraId="5B30E52D">
      <w:pPr>
        <w:spacing w:before="68" w:line="229" w:lineRule="auto"/>
        <w:ind w:left="118"/>
        <w:rPr>
          <w:rFonts w:hint="eastAsia" w:ascii="黑体" w:hAnsi="黑体" w:eastAsia="黑体" w:cs="黑体"/>
          <w:spacing w:val="1"/>
          <w:sz w:val="24"/>
          <w:szCs w:val="24"/>
        </w:rPr>
      </w:pPr>
      <w:r>
        <w:rPr>
          <w:rFonts w:hint="eastAsia" w:ascii="黑体" w:hAnsi="黑体" w:eastAsia="黑体" w:cs="黑体"/>
          <w:spacing w:val="1"/>
          <w:sz w:val="24"/>
          <w:szCs w:val="24"/>
          <w:lang w:val="en-US" w:eastAsia="zh-CN"/>
        </w:rPr>
        <w:t>项目名称：</w:t>
      </w:r>
      <w:r>
        <w:rPr>
          <w:rFonts w:hint="eastAsia" w:ascii="黑体" w:hAnsi="黑体" w:eastAsia="黑体" w:cs="黑体"/>
          <w:spacing w:val="1"/>
          <w:sz w:val="24"/>
          <w:szCs w:val="24"/>
        </w:rPr>
        <w:t xml:space="preserve"> </w:t>
      </w:r>
    </w:p>
    <w:p w14:paraId="68A3ABF7">
      <w:pPr>
        <w:spacing w:before="68" w:line="229" w:lineRule="auto"/>
        <w:ind w:left="118"/>
        <w:rPr>
          <w:rFonts w:hint="eastAsia" w:ascii="黑体" w:hAnsi="黑体" w:eastAsia="黑体" w:cs="黑体"/>
          <w:sz w:val="24"/>
          <w:szCs w:val="24"/>
        </w:rPr>
      </w:pPr>
      <w:r>
        <w:rPr>
          <w:rFonts w:hint="eastAsia" w:ascii="黑体" w:hAnsi="黑体" w:eastAsia="黑体" w:cs="黑体"/>
          <w:spacing w:val="1"/>
          <w:sz w:val="24"/>
          <w:szCs w:val="24"/>
          <w:lang w:val="en-US" w:eastAsia="zh-CN"/>
        </w:rPr>
        <w:t>包名称：</w:t>
      </w:r>
      <w:r>
        <w:rPr>
          <w:rFonts w:hint="eastAsia" w:ascii="黑体" w:hAnsi="黑体" w:eastAsia="黑体" w:cs="黑体"/>
          <w:spacing w:val="1"/>
          <w:sz w:val="24"/>
          <w:szCs w:val="24"/>
        </w:rPr>
        <w:t xml:space="preserve">                                            </w:t>
      </w:r>
    </w:p>
    <w:p w14:paraId="6D976DEC">
      <w:pPr>
        <w:spacing w:line="65" w:lineRule="exact"/>
        <w:rPr>
          <w:rFonts w:hint="eastAsia" w:ascii="黑体" w:hAnsi="黑体" w:eastAsia="黑体" w:cs="黑体"/>
          <w:sz w:val="24"/>
          <w:szCs w:val="24"/>
        </w:rPr>
      </w:pPr>
    </w:p>
    <w:tbl>
      <w:tblPr>
        <w:tblStyle w:val="103"/>
        <w:tblW w:w="8938"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2430"/>
        <w:gridCol w:w="2220"/>
        <w:gridCol w:w="1577"/>
      </w:tblGrid>
      <w:tr w14:paraId="2CE5B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2711" w:type="dxa"/>
            <w:vAlign w:val="top"/>
          </w:tcPr>
          <w:p w14:paraId="0AACE6AB">
            <w:pPr>
              <w:spacing w:line="457" w:lineRule="auto"/>
              <w:rPr>
                <w:rFonts w:hint="eastAsia" w:ascii="黑体" w:hAnsi="黑体" w:eastAsia="黑体" w:cs="黑体"/>
                <w:sz w:val="24"/>
                <w:szCs w:val="24"/>
              </w:rPr>
            </w:pPr>
          </w:p>
          <w:p w14:paraId="072FE08C">
            <w:pPr>
              <w:pStyle w:val="102"/>
              <w:spacing w:before="72" w:line="218" w:lineRule="auto"/>
              <w:ind w:firstLine="504" w:firstLineChars="200"/>
              <w:rPr>
                <w:rFonts w:hint="eastAsia" w:ascii="黑体" w:hAnsi="黑体" w:eastAsia="黑体" w:cs="黑体"/>
                <w:sz w:val="24"/>
                <w:szCs w:val="24"/>
              </w:rPr>
            </w:pPr>
            <w:r>
              <w:rPr>
                <w:rFonts w:hint="eastAsia" w:ascii="黑体" w:hAnsi="黑体" w:eastAsia="黑体" w:cs="黑体"/>
                <w:spacing w:val="6"/>
                <w:sz w:val="24"/>
                <w:szCs w:val="24"/>
              </w:rPr>
              <w:t>投标报价(元)</w:t>
            </w:r>
          </w:p>
        </w:tc>
        <w:tc>
          <w:tcPr>
            <w:tcW w:w="2430" w:type="dxa"/>
            <w:vAlign w:val="top"/>
          </w:tcPr>
          <w:p w14:paraId="60D09A07">
            <w:pPr>
              <w:spacing w:line="459" w:lineRule="auto"/>
              <w:rPr>
                <w:rFonts w:hint="eastAsia" w:ascii="黑体" w:hAnsi="黑体" w:eastAsia="黑体" w:cs="黑体"/>
                <w:sz w:val="24"/>
                <w:szCs w:val="24"/>
              </w:rPr>
            </w:pPr>
          </w:p>
          <w:p w14:paraId="4E8716EC">
            <w:pPr>
              <w:pStyle w:val="102"/>
              <w:spacing w:before="72" w:line="219" w:lineRule="auto"/>
              <w:ind w:firstLine="738" w:firstLineChars="300"/>
              <w:rPr>
                <w:rFonts w:hint="eastAsia" w:ascii="黑体" w:hAnsi="黑体" w:eastAsia="黑体" w:cs="黑体"/>
                <w:sz w:val="24"/>
                <w:szCs w:val="24"/>
              </w:rPr>
            </w:pPr>
            <w:r>
              <w:rPr>
                <w:rFonts w:hint="eastAsia" w:ascii="黑体" w:hAnsi="黑体" w:eastAsia="黑体" w:cs="黑体"/>
                <w:spacing w:val="3"/>
                <w:sz w:val="24"/>
                <w:szCs w:val="24"/>
              </w:rPr>
              <w:t>服务期限</w:t>
            </w:r>
          </w:p>
        </w:tc>
        <w:tc>
          <w:tcPr>
            <w:tcW w:w="2220" w:type="dxa"/>
            <w:vAlign w:val="top"/>
          </w:tcPr>
          <w:p w14:paraId="5DFCA236">
            <w:pPr>
              <w:pStyle w:val="102"/>
              <w:spacing w:before="72" w:line="221" w:lineRule="auto"/>
              <w:rPr>
                <w:rFonts w:hint="eastAsia" w:ascii="黑体" w:hAnsi="黑体" w:eastAsia="黑体" w:cs="黑体"/>
                <w:spacing w:val="3"/>
                <w:sz w:val="24"/>
                <w:szCs w:val="24"/>
                <w:lang w:val="en-US" w:eastAsia="zh-CN"/>
              </w:rPr>
            </w:pPr>
          </w:p>
          <w:p w14:paraId="595221C1">
            <w:pPr>
              <w:pStyle w:val="102"/>
              <w:spacing w:before="72" w:line="221" w:lineRule="auto"/>
              <w:rPr>
                <w:rFonts w:hint="eastAsia" w:ascii="黑体" w:hAnsi="黑体" w:eastAsia="黑体" w:cs="黑体"/>
                <w:sz w:val="24"/>
                <w:szCs w:val="24"/>
                <w:lang w:eastAsia="zh-CN"/>
              </w:rPr>
            </w:pPr>
            <w:r>
              <w:rPr>
                <w:rFonts w:hint="eastAsia" w:ascii="黑体" w:hAnsi="黑体" w:eastAsia="黑体" w:cs="黑体"/>
                <w:spacing w:val="3"/>
                <w:sz w:val="24"/>
                <w:szCs w:val="24"/>
                <w:lang w:val="en-US" w:eastAsia="zh-CN"/>
              </w:rPr>
              <w:t>付款和计算方式</w:t>
            </w:r>
            <w:r>
              <w:rPr>
                <w:rFonts w:hint="eastAsia" w:ascii="黑体" w:hAnsi="黑体" w:eastAsia="黑体" w:cs="黑体"/>
                <w:spacing w:val="3"/>
                <w:sz w:val="24"/>
                <w:szCs w:val="24"/>
              </w:rPr>
              <w:t>（ 响应 / 不响应）招标文件要求</w:t>
            </w:r>
          </w:p>
        </w:tc>
        <w:tc>
          <w:tcPr>
            <w:tcW w:w="1577" w:type="dxa"/>
            <w:vAlign w:val="top"/>
          </w:tcPr>
          <w:p w14:paraId="2B4741DB">
            <w:pPr>
              <w:pStyle w:val="102"/>
              <w:spacing w:before="72" w:line="221" w:lineRule="auto"/>
              <w:ind w:left="777"/>
              <w:rPr>
                <w:rFonts w:hint="eastAsia" w:ascii="黑体" w:hAnsi="黑体" w:eastAsia="黑体" w:cs="黑体"/>
                <w:spacing w:val="5"/>
                <w:sz w:val="24"/>
                <w:szCs w:val="24"/>
                <w:lang w:val="en-US" w:eastAsia="zh-CN"/>
              </w:rPr>
            </w:pPr>
          </w:p>
          <w:p w14:paraId="6E5EC623">
            <w:pPr>
              <w:pStyle w:val="102"/>
              <w:spacing w:before="72" w:line="221" w:lineRule="auto"/>
              <w:ind w:firstLine="500" w:firstLineChars="200"/>
              <w:rPr>
                <w:rFonts w:hint="eastAsia" w:ascii="黑体" w:hAnsi="黑体" w:eastAsia="黑体" w:cs="黑体"/>
                <w:spacing w:val="5"/>
                <w:sz w:val="24"/>
                <w:szCs w:val="24"/>
                <w:lang w:val="en-US" w:eastAsia="zh-CN"/>
              </w:rPr>
            </w:pPr>
            <w:r>
              <w:rPr>
                <w:rFonts w:hint="eastAsia" w:ascii="黑体" w:hAnsi="黑体" w:eastAsia="黑体" w:cs="黑体"/>
                <w:spacing w:val="5"/>
                <w:sz w:val="24"/>
                <w:szCs w:val="24"/>
                <w:lang w:val="en-US" w:eastAsia="zh-CN"/>
              </w:rPr>
              <w:t>备注</w:t>
            </w:r>
          </w:p>
        </w:tc>
      </w:tr>
      <w:tr w14:paraId="12DCD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4" w:hRule="atLeast"/>
        </w:trPr>
        <w:tc>
          <w:tcPr>
            <w:tcW w:w="2711" w:type="dxa"/>
            <w:vAlign w:val="top"/>
          </w:tcPr>
          <w:p w14:paraId="78F1AD07">
            <w:pPr>
              <w:rPr>
                <w:rFonts w:hint="eastAsia" w:ascii="黑体" w:hAnsi="黑体" w:eastAsia="黑体" w:cs="黑体"/>
                <w:sz w:val="24"/>
                <w:szCs w:val="24"/>
              </w:rPr>
            </w:pPr>
          </w:p>
        </w:tc>
        <w:tc>
          <w:tcPr>
            <w:tcW w:w="2430" w:type="dxa"/>
            <w:vAlign w:val="top"/>
          </w:tcPr>
          <w:p w14:paraId="038AD0A1">
            <w:pPr>
              <w:rPr>
                <w:rFonts w:hint="eastAsia" w:ascii="黑体" w:hAnsi="黑体" w:eastAsia="黑体" w:cs="黑体"/>
                <w:sz w:val="24"/>
                <w:szCs w:val="24"/>
              </w:rPr>
            </w:pPr>
          </w:p>
        </w:tc>
        <w:tc>
          <w:tcPr>
            <w:tcW w:w="2220" w:type="dxa"/>
            <w:vAlign w:val="top"/>
          </w:tcPr>
          <w:p w14:paraId="79D3637C">
            <w:pPr>
              <w:rPr>
                <w:rFonts w:hint="eastAsia" w:ascii="黑体" w:hAnsi="黑体" w:eastAsia="黑体" w:cs="黑体"/>
                <w:sz w:val="24"/>
                <w:szCs w:val="24"/>
              </w:rPr>
            </w:pPr>
          </w:p>
        </w:tc>
        <w:tc>
          <w:tcPr>
            <w:tcW w:w="1577" w:type="dxa"/>
            <w:vAlign w:val="top"/>
          </w:tcPr>
          <w:p w14:paraId="3675D825">
            <w:pPr>
              <w:rPr>
                <w:rFonts w:hint="eastAsia" w:ascii="黑体" w:hAnsi="黑体" w:eastAsia="黑体" w:cs="黑体"/>
                <w:sz w:val="24"/>
                <w:szCs w:val="24"/>
              </w:rPr>
            </w:pPr>
          </w:p>
        </w:tc>
      </w:tr>
    </w:tbl>
    <w:p w14:paraId="3CB6C8FB">
      <w:pPr>
        <w:pStyle w:val="2"/>
        <w:spacing w:line="259" w:lineRule="auto"/>
        <w:rPr>
          <w:rFonts w:hint="eastAsia" w:ascii="黑体" w:hAnsi="黑体" w:eastAsia="黑体" w:cs="黑体"/>
        </w:rPr>
      </w:pPr>
    </w:p>
    <w:p w14:paraId="577A6793">
      <w:pPr>
        <w:pStyle w:val="2"/>
        <w:spacing w:line="260" w:lineRule="auto"/>
        <w:rPr>
          <w:rFonts w:hint="eastAsia" w:ascii="黑体" w:hAnsi="黑体" w:eastAsia="黑体" w:cs="黑体"/>
          <w:spacing w:val="1"/>
          <w:kern w:val="2"/>
          <w:sz w:val="24"/>
          <w:szCs w:val="24"/>
          <w:lang w:val="en-US" w:eastAsia="zh-CN" w:bidi="ar-SA"/>
        </w:rPr>
      </w:pPr>
      <w:r>
        <w:rPr>
          <w:rFonts w:hint="eastAsia" w:ascii="黑体" w:hAnsi="黑体" w:eastAsia="黑体" w:cs="黑体"/>
          <w:spacing w:val="1"/>
          <w:kern w:val="2"/>
          <w:sz w:val="24"/>
          <w:szCs w:val="24"/>
          <w:lang w:val="en-US" w:eastAsia="zh-CN" w:bidi="ar-SA"/>
        </w:rPr>
        <w:t>注：所有报价均以人民币作为货币单位填写及计算（保留至两位小数点），投标报价应包含完成本次采购项目的所有费用。费用包含：人工费、利润、社会保险、</w:t>
      </w:r>
      <w:r>
        <w:rPr>
          <w:rFonts w:hint="eastAsia" w:ascii="黑体" w:hAnsi="黑体" w:eastAsia="黑体" w:cs="黑体"/>
          <w:i w:val="0"/>
          <w:iCs w:val="0"/>
          <w:color w:val="000000"/>
          <w:kern w:val="0"/>
          <w:sz w:val="24"/>
          <w:szCs w:val="24"/>
          <w:u w:val="none"/>
          <w:lang w:val="en-US" w:eastAsia="zh-CN" w:bidi="ar"/>
        </w:rPr>
        <w:t>从业人员工作服、帽子、鞋子、食堂从业人员食品操作知识培训费用</w:t>
      </w:r>
      <w:r>
        <w:rPr>
          <w:rFonts w:hint="eastAsia" w:ascii="黑体" w:hAnsi="黑体" w:eastAsia="黑体" w:cs="黑体"/>
          <w:spacing w:val="1"/>
          <w:kern w:val="2"/>
          <w:sz w:val="24"/>
          <w:szCs w:val="24"/>
          <w:lang w:val="en-US" w:eastAsia="zh-CN" w:bidi="ar-SA"/>
        </w:rPr>
        <w:t>和税金等。</w:t>
      </w:r>
    </w:p>
    <w:p w14:paraId="1D56920E">
      <w:pPr>
        <w:pStyle w:val="2"/>
        <w:spacing w:line="262" w:lineRule="auto"/>
        <w:rPr>
          <w:rFonts w:hint="eastAsia" w:ascii="黑体" w:hAnsi="黑体" w:eastAsia="黑体" w:cs="黑体"/>
          <w:spacing w:val="1"/>
          <w:kern w:val="2"/>
          <w:sz w:val="24"/>
          <w:szCs w:val="24"/>
          <w:lang w:val="en-US" w:eastAsia="zh-CN" w:bidi="ar-SA"/>
        </w:rPr>
      </w:pPr>
    </w:p>
    <w:p w14:paraId="105D4BBE">
      <w:pPr>
        <w:pStyle w:val="2"/>
        <w:spacing w:line="262" w:lineRule="auto"/>
        <w:rPr>
          <w:rFonts w:hint="eastAsia" w:ascii="黑体" w:hAnsi="黑体" w:eastAsia="黑体" w:cs="黑体"/>
        </w:rPr>
      </w:pPr>
    </w:p>
    <w:p w14:paraId="6C16910A">
      <w:pPr>
        <w:pStyle w:val="2"/>
        <w:spacing w:line="263" w:lineRule="auto"/>
        <w:rPr>
          <w:rFonts w:hint="eastAsia" w:ascii="黑体" w:hAnsi="黑体" w:eastAsia="黑体" w:cs="黑体"/>
        </w:rPr>
      </w:pPr>
    </w:p>
    <w:p w14:paraId="5848FCEB">
      <w:pPr>
        <w:pStyle w:val="2"/>
        <w:spacing w:line="263" w:lineRule="auto"/>
        <w:rPr>
          <w:rFonts w:hint="eastAsia" w:ascii="黑体" w:hAnsi="黑体" w:eastAsia="黑体" w:cs="黑体"/>
          <w:sz w:val="24"/>
          <w:szCs w:val="24"/>
        </w:rPr>
      </w:pPr>
    </w:p>
    <w:p w14:paraId="746FB72B">
      <w:pPr>
        <w:spacing w:before="69" w:line="219" w:lineRule="auto"/>
        <w:ind w:left="3868"/>
        <w:rPr>
          <w:rFonts w:hint="eastAsia" w:ascii="黑体" w:hAnsi="黑体" w:eastAsia="黑体" w:cs="黑体"/>
          <w:sz w:val="24"/>
          <w:szCs w:val="24"/>
        </w:rPr>
      </w:pPr>
      <w:r>
        <w:rPr>
          <w:rFonts w:hint="eastAsia" w:ascii="黑体" w:hAnsi="黑体" w:eastAsia="黑体" w:cs="黑体"/>
          <w:spacing w:val="-5"/>
          <w:sz w:val="24"/>
          <w:szCs w:val="24"/>
        </w:rPr>
        <w:t>投标单位名称：</w:t>
      </w:r>
      <w:r>
        <w:rPr>
          <w:rFonts w:hint="eastAsia" w:ascii="黑体" w:hAnsi="黑体" w:eastAsia="黑体" w:cs="黑体"/>
          <w:spacing w:val="17"/>
          <w:sz w:val="24"/>
          <w:szCs w:val="24"/>
        </w:rPr>
        <w:t xml:space="preserve">  </w:t>
      </w:r>
      <w:r>
        <w:rPr>
          <w:rFonts w:hint="eastAsia" w:ascii="黑体" w:hAnsi="黑体" w:eastAsia="黑体" w:cs="黑体"/>
          <w:spacing w:val="-5"/>
          <w:sz w:val="24"/>
          <w:szCs w:val="24"/>
        </w:rPr>
        <w:t>(</w:t>
      </w:r>
      <w:r>
        <w:rPr>
          <w:rFonts w:hint="eastAsia" w:ascii="黑体" w:hAnsi="黑体" w:eastAsia="黑体" w:cs="黑体"/>
          <w:spacing w:val="-20"/>
          <w:sz w:val="24"/>
          <w:szCs w:val="24"/>
        </w:rPr>
        <w:t xml:space="preserve"> </w:t>
      </w:r>
      <w:r>
        <w:rPr>
          <w:rFonts w:hint="eastAsia" w:ascii="黑体" w:hAnsi="黑体" w:eastAsia="黑体" w:cs="黑体"/>
          <w:spacing w:val="-5"/>
          <w:sz w:val="24"/>
          <w:szCs w:val="24"/>
        </w:rPr>
        <w:t>公 章</w:t>
      </w:r>
      <w:r>
        <w:rPr>
          <w:rFonts w:hint="eastAsia" w:ascii="黑体" w:hAnsi="黑体" w:eastAsia="黑体" w:cs="黑体"/>
          <w:spacing w:val="-26"/>
          <w:sz w:val="24"/>
          <w:szCs w:val="24"/>
        </w:rPr>
        <w:t xml:space="preserve"> </w:t>
      </w:r>
      <w:r>
        <w:rPr>
          <w:rFonts w:hint="eastAsia" w:ascii="黑体" w:hAnsi="黑体" w:eastAsia="黑体" w:cs="黑体"/>
          <w:spacing w:val="-5"/>
          <w:sz w:val="24"/>
          <w:szCs w:val="24"/>
        </w:rPr>
        <w:t>)</w:t>
      </w:r>
    </w:p>
    <w:p w14:paraId="0DC2AB36">
      <w:pPr>
        <w:pStyle w:val="2"/>
        <w:spacing w:line="417" w:lineRule="auto"/>
        <w:rPr>
          <w:rFonts w:hint="eastAsia" w:ascii="黑体" w:hAnsi="黑体" w:eastAsia="黑体" w:cs="黑体"/>
          <w:sz w:val="24"/>
          <w:szCs w:val="24"/>
        </w:rPr>
      </w:pPr>
    </w:p>
    <w:p w14:paraId="3347553A">
      <w:pPr>
        <w:spacing w:before="68" w:line="219" w:lineRule="auto"/>
        <w:ind w:firstLine="1156" w:firstLineChars="400"/>
        <w:rPr>
          <w:rFonts w:hint="eastAsia" w:ascii="黑体" w:hAnsi="黑体" w:eastAsia="黑体" w:cs="黑体"/>
          <w:sz w:val="24"/>
          <w:szCs w:val="24"/>
        </w:rPr>
      </w:pPr>
      <w:r>
        <w:rPr>
          <w:rFonts w:hint="eastAsia" w:ascii="黑体" w:hAnsi="黑体" w:eastAsia="黑体" w:cs="黑体"/>
          <w:b/>
          <w:bCs/>
          <w:spacing w:val="24"/>
          <w:sz w:val="24"/>
          <w:szCs w:val="24"/>
        </w:rPr>
        <w:t>法定代表人(或负责人)或被授权人(签字或盖章):</w:t>
      </w:r>
    </w:p>
    <w:p w14:paraId="4E3A4C39">
      <w:pPr>
        <w:wordWrap w:val="0"/>
        <w:ind w:firstLine="4480"/>
        <w:jc w:val="right"/>
        <w:rPr>
          <w:rFonts w:hint="eastAsia" w:ascii="黑体" w:hAnsi="黑体" w:eastAsia="黑体" w:cs="黑体"/>
          <w:color w:val="auto"/>
          <w:sz w:val="24"/>
          <w:szCs w:val="24"/>
        </w:rPr>
      </w:pPr>
    </w:p>
    <w:p w14:paraId="0F2C1179">
      <w:pPr>
        <w:wordWrap w:val="0"/>
        <w:ind w:firstLine="4480"/>
        <w:jc w:val="right"/>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w:t>
      </w:r>
    </w:p>
    <w:p w14:paraId="0EAD5F64">
      <w:pPr>
        <w:spacing w:before="69" w:line="184" w:lineRule="auto"/>
        <w:ind w:firstLine="4032" w:firstLineChars="1800"/>
        <w:rPr>
          <w:rFonts w:hint="eastAsia" w:ascii="黑体" w:hAnsi="黑体" w:eastAsia="黑体" w:cs="黑体"/>
          <w:spacing w:val="19"/>
          <w:sz w:val="24"/>
          <w:szCs w:val="24"/>
          <w:lang w:val="en-US" w:eastAsia="zh-CN"/>
        </w:rPr>
      </w:pPr>
      <w:r>
        <w:rPr>
          <w:rFonts w:hint="eastAsia" w:ascii="黑体" w:hAnsi="黑体" w:eastAsia="黑体" w:cs="黑体"/>
          <w:spacing w:val="-8"/>
          <w:sz w:val="24"/>
          <w:szCs w:val="24"/>
        </w:rPr>
        <w:t>年</w:t>
      </w:r>
      <w:r>
        <w:rPr>
          <w:rFonts w:hint="eastAsia" w:ascii="黑体" w:hAnsi="黑体" w:eastAsia="黑体" w:cs="黑体"/>
          <w:spacing w:val="52"/>
          <w:sz w:val="24"/>
          <w:szCs w:val="24"/>
        </w:rPr>
        <w:t xml:space="preserve">  </w:t>
      </w:r>
      <w:r>
        <w:rPr>
          <w:rFonts w:hint="eastAsia" w:ascii="黑体" w:hAnsi="黑体" w:eastAsia="黑体" w:cs="黑体"/>
          <w:spacing w:val="-8"/>
          <w:sz w:val="24"/>
          <w:szCs w:val="24"/>
        </w:rPr>
        <w:t>月</w:t>
      </w:r>
      <w:r>
        <w:rPr>
          <w:rFonts w:hint="eastAsia" w:ascii="黑体" w:hAnsi="黑体" w:eastAsia="黑体" w:cs="黑体"/>
          <w:spacing w:val="19"/>
          <w:sz w:val="24"/>
          <w:szCs w:val="24"/>
        </w:rPr>
        <w:t xml:space="preserve">  </w:t>
      </w:r>
      <w:r>
        <w:rPr>
          <w:rFonts w:hint="eastAsia" w:ascii="黑体" w:hAnsi="黑体" w:eastAsia="黑体" w:cs="黑体"/>
          <w:spacing w:val="19"/>
          <w:sz w:val="24"/>
          <w:szCs w:val="24"/>
          <w:lang w:val="en-US" w:eastAsia="zh-CN"/>
        </w:rPr>
        <w:t>日</w:t>
      </w:r>
    </w:p>
    <w:p w14:paraId="3612779F">
      <w:pPr>
        <w:pStyle w:val="14"/>
        <w:rPr>
          <w:rFonts w:hint="eastAsia" w:ascii="黑体" w:hAnsi="黑体" w:eastAsia="黑体" w:cs="黑体"/>
          <w:spacing w:val="19"/>
          <w:sz w:val="24"/>
          <w:szCs w:val="24"/>
          <w:lang w:val="en-US" w:eastAsia="zh-CN"/>
        </w:rPr>
      </w:pPr>
    </w:p>
    <w:p w14:paraId="30F3D138">
      <w:pPr>
        <w:pStyle w:val="14"/>
        <w:rPr>
          <w:rFonts w:hint="eastAsia" w:ascii="黑体" w:hAnsi="黑体" w:eastAsia="黑体" w:cs="黑体"/>
          <w:spacing w:val="19"/>
          <w:sz w:val="24"/>
          <w:szCs w:val="24"/>
          <w:lang w:val="en-US" w:eastAsia="zh-CN"/>
        </w:rPr>
      </w:pPr>
    </w:p>
    <w:p w14:paraId="73440E18">
      <w:pPr>
        <w:pStyle w:val="14"/>
        <w:ind w:left="0" w:leftChars="0" w:firstLine="0" w:firstLineChars="0"/>
        <w:rPr>
          <w:rFonts w:hint="eastAsia" w:ascii="黑体" w:hAnsi="黑体" w:eastAsia="黑体" w:cs="黑体"/>
          <w:spacing w:val="19"/>
          <w:sz w:val="24"/>
          <w:szCs w:val="24"/>
          <w:lang w:val="en-US" w:eastAsia="zh-CN"/>
        </w:rPr>
      </w:pPr>
    </w:p>
    <w:p w14:paraId="2519DDEC">
      <w:pPr>
        <w:numPr>
          <w:ilvl w:val="0"/>
          <w:numId w:val="0"/>
        </w:numPr>
        <w:ind w:firstLine="2570" w:firstLineChars="800"/>
        <w:jc w:val="both"/>
        <w:rPr>
          <w:rFonts w:hint="eastAsia" w:ascii="黑体" w:hAnsi="黑体" w:eastAsia="黑体" w:cs="黑体"/>
          <w:b/>
          <w:color w:val="auto"/>
          <w:sz w:val="32"/>
          <w:szCs w:val="22"/>
          <w:lang w:val="en-US" w:eastAsia="zh-CN"/>
        </w:rPr>
      </w:pPr>
      <w:r>
        <w:rPr>
          <w:rFonts w:hint="eastAsia" w:ascii="黑体" w:hAnsi="黑体" w:eastAsia="黑体" w:cs="黑体"/>
          <w:b/>
          <w:color w:val="auto"/>
          <w:sz w:val="32"/>
          <w:szCs w:val="22"/>
          <w:lang w:val="en-US" w:eastAsia="zh-CN"/>
        </w:rPr>
        <w:t>三、资格证明文件</w:t>
      </w:r>
    </w:p>
    <w:p w14:paraId="125FC0AC">
      <w:pPr>
        <w:pStyle w:val="2"/>
        <w:widowControl w:val="0"/>
        <w:numPr>
          <w:ilvl w:val="0"/>
          <w:numId w:val="0"/>
        </w:numPr>
        <w:spacing w:after="120"/>
        <w:jc w:val="both"/>
        <w:rPr>
          <w:rFonts w:hint="eastAsia" w:ascii="黑体" w:hAnsi="黑体" w:eastAsia="黑体" w:cs="黑体"/>
          <w:lang w:val="en-US" w:eastAsia="zh-CN"/>
        </w:rPr>
      </w:pPr>
    </w:p>
    <w:p w14:paraId="1597D6F4">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（1）营业执照等主体资格证明文件：提供有效存续的企业营业执照（副本）/事业单位法人证书/专业服务机构执业许可证/民办非企业单位登记证书；；</w:t>
      </w:r>
    </w:p>
    <w:p w14:paraId="2FE7D84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（2）法定代表人直接投标须提交其身份证扫描件；法定代表人授权代表参加投标的，须出具授权书及被授权人身份证扫描件、授权代表本单位的证明（提供有效的养老保险缴纳证明或劳动合同）；</w:t>
      </w:r>
    </w:p>
    <w:p w14:paraId="615EFF6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（3）财务状况报告：投标人须提供2022或2023年度经会计师事务所审计的审计报告（新成立企业可从成立当年开始提供相对应的财务报表）或其投标前三个月内基本存款账户开户银行出具的资信证明；</w:t>
      </w:r>
    </w:p>
    <w:p w14:paraId="671AAEB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（4）税收缴纳证明：投标人须提供投标截止时间前六个月内任意一个月的缴税证明（注：依法免税或零申报的投标人须提供相关文件证明；若为新成立企业可提供相应月度的缴税证明）；</w:t>
      </w:r>
    </w:p>
    <w:p w14:paraId="2D27074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5）社会保障资金缴纳证明：提供投标截止时间前六个月内任意一个月的社会保险缴纳证明（注：依法不需要缴纳社会保障资金的投标人应提供相关文件证明；若为新成立企业可提供相应月度的社会保险缴纳证明）；</w:t>
      </w:r>
    </w:p>
    <w:p w14:paraId="33606819">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（6）投标人须提供具有履行合同所必需的设备和专业技术能力的承诺函(加盖投标人公章)；</w:t>
      </w:r>
    </w:p>
    <w:p w14:paraId="59CC3105">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（7）投标人应具备良好的商业信誉，提供参加政府采购活动前3年内在经营活动中没有重大违法记录的书面声明；</w:t>
      </w:r>
    </w:p>
    <w:p w14:paraId="012574FF">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（8）投标人不得为“信用中国”网站（www.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14:paraId="4D27381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9）本项目专门面向小微企业采购，仅限符合《政府采购促进中小企业发展管理办法》（财库〔2020〕46号）条件的企业参与，投标人应填写小微企业声明函并对真实性负责（残疾人福利性单位及监狱企业视同为小型、微型企业）。</w:t>
      </w:r>
    </w:p>
    <w:p w14:paraId="555A48E0">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sectPr>
          <w:headerReference r:id="rId13" w:type="first"/>
          <w:footerReference r:id="rId15" w:type="first"/>
          <w:headerReference r:id="rId12" w:type="default"/>
          <w:footerReference r:id="rId14" w:type="default"/>
          <w:pgSz w:w="11907" w:h="16840"/>
          <w:pgMar w:top="1440" w:right="1800" w:bottom="1440" w:left="1800" w:header="907" w:footer="654" w:gutter="0"/>
          <w:pgNumType w:fmt="decimal"/>
          <w:cols w:space="720" w:num="1"/>
          <w:titlePg/>
          <w:docGrid w:linePitch="312" w:charSpace="0"/>
        </w:sectPr>
      </w:pPr>
      <w:r>
        <w:rPr>
          <w:rFonts w:hint="eastAsia" w:ascii="黑体" w:hAnsi="黑体" w:eastAsia="黑体" w:cs="黑体"/>
          <w:b w:val="0"/>
          <w:bCs w:val="0"/>
          <w:kern w:val="2"/>
          <w:sz w:val="24"/>
          <w:szCs w:val="32"/>
          <w:lang w:val="en-US" w:eastAsia="zh-CN" w:bidi="ar-SA"/>
        </w:rPr>
        <w:t>（10）供应商应具有有效的《餐饮服务许可证》或《食品经营许可证》。</w:t>
      </w:r>
    </w:p>
    <w:p w14:paraId="12D66910">
      <w:pPr>
        <w:spacing w:line="240" w:lineRule="auto"/>
        <w:rPr>
          <w:rFonts w:hint="eastAsia" w:ascii="黑体" w:hAnsi="黑体" w:eastAsia="黑体" w:cs="黑体"/>
          <w:b/>
          <w:bCs/>
          <w:spacing w:val="-2"/>
          <w:position w:val="8"/>
          <w:sz w:val="24"/>
          <w:szCs w:val="24"/>
        </w:rPr>
      </w:pPr>
    </w:p>
    <w:p w14:paraId="6F2C4941">
      <w:pPr>
        <w:spacing w:before="81" w:line="369" w:lineRule="exact"/>
        <w:rPr>
          <w:rFonts w:hint="eastAsia" w:ascii="黑体" w:hAnsi="黑体" w:eastAsia="黑体" w:cs="黑体"/>
          <w:spacing w:val="94"/>
          <w:position w:val="8"/>
          <w:sz w:val="24"/>
          <w:szCs w:val="24"/>
          <w:lang w:val="en-US" w:eastAsia="zh-CN"/>
        </w:rPr>
      </w:pPr>
      <w:r>
        <w:rPr>
          <w:rFonts w:hint="eastAsia" w:ascii="黑体" w:hAnsi="黑体" w:eastAsia="黑体" w:cs="黑体"/>
          <w:b/>
          <w:bCs/>
          <w:spacing w:val="-2"/>
          <w:position w:val="8"/>
          <w:sz w:val="28"/>
          <w:szCs w:val="28"/>
        </w:rPr>
        <w:t>附件1</w:t>
      </w:r>
      <w:r>
        <w:rPr>
          <w:rFonts w:hint="eastAsia" w:ascii="黑体" w:hAnsi="黑体" w:eastAsia="黑体" w:cs="黑体"/>
          <w:spacing w:val="94"/>
          <w:position w:val="8"/>
          <w:sz w:val="28"/>
          <w:szCs w:val="28"/>
        </w:rPr>
        <w:t xml:space="preserve"> </w:t>
      </w:r>
      <w:r>
        <w:rPr>
          <w:rFonts w:hint="eastAsia" w:ascii="黑体" w:hAnsi="黑体" w:eastAsia="黑体" w:cs="黑体"/>
          <w:spacing w:val="94"/>
          <w:position w:val="8"/>
          <w:sz w:val="24"/>
          <w:szCs w:val="24"/>
          <w:lang w:val="en-US" w:eastAsia="zh-CN"/>
        </w:rPr>
        <w:t xml:space="preserve">     </w:t>
      </w:r>
    </w:p>
    <w:p w14:paraId="725B5A3E">
      <w:pPr>
        <w:spacing w:before="81" w:line="369" w:lineRule="exact"/>
        <w:ind w:firstLine="2140" w:firstLineChars="500"/>
        <w:rPr>
          <w:rFonts w:hint="eastAsia" w:ascii="黑体" w:hAnsi="黑体" w:eastAsia="黑体" w:cs="黑体"/>
          <w:sz w:val="28"/>
          <w:szCs w:val="28"/>
        </w:rPr>
      </w:pPr>
      <w:r>
        <w:rPr>
          <w:rFonts w:hint="eastAsia" w:ascii="黑体" w:hAnsi="黑体" w:eastAsia="黑体" w:cs="黑体"/>
          <w:spacing w:val="94"/>
          <w:position w:val="8"/>
          <w:sz w:val="24"/>
          <w:szCs w:val="24"/>
          <w:lang w:val="en-US" w:eastAsia="zh-CN"/>
        </w:rPr>
        <w:t xml:space="preserve"> </w:t>
      </w:r>
      <w:r>
        <w:rPr>
          <w:rFonts w:hint="eastAsia" w:ascii="黑体" w:hAnsi="黑体" w:eastAsia="黑体" w:cs="黑体"/>
          <w:b/>
          <w:bCs/>
          <w:spacing w:val="-2"/>
          <w:position w:val="8"/>
          <w:sz w:val="28"/>
          <w:szCs w:val="28"/>
        </w:rPr>
        <w:t>参加政府采购活动前3年内在经营活动中</w:t>
      </w:r>
    </w:p>
    <w:p w14:paraId="4ECEC18C">
      <w:pPr>
        <w:spacing w:line="218" w:lineRule="auto"/>
        <w:ind w:left="3001"/>
        <w:rPr>
          <w:rFonts w:hint="eastAsia" w:ascii="黑体" w:hAnsi="黑体" w:eastAsia="黑体" w:cs="黑体"/>
          <w:sz w:val="28"/>
          <w:szCs w:val="28"/>
        </w:rPr>
      </w:pPr>
      <w:r>
        <w:rPr>
          <w:rFonts w:hint="eastAsia" w:ascii="黑体" w:hAnsi="黑体" w:eastAsia="黑体" w:cs="黑体"/>
          <w:b/>
          <w:bCs/>
          <w:spacing w:val="27"/>
          <w:sz w:val="28"/>
          <w:szCs w:val="28"/>
        </w:rPr>
        <w:t>没有重大违法纪录的书面声明</w:t>
      </w:r>
    </w:p>
    <w:p w14:paraId="34CF248A">
      <w:pPr>
        <w:spacing w:before="3"/>
        <w:rPr>
          <w:rFonts w:hint="eastAsia" w:ascii="黑体" w:hAnsi="黑体" w:eastAsia="黑体" w:cs="黑体"/>
          <w:sz w:val="28"/>
          <w:szCs w:val="28"/>
        </w:rPr>
      </w:pPr>
    </w:p>
    <w:p w14:paraId="17110B62">
      <w:pPr>
        <w:spacing w:before="2"/>
        <w:rPr>
          <w:rFonts w:hint="eastAsia" w:ascii="黑体" w:hAnsi="黑体" w:eastAsia="黑体" w:cs="黑体"/>
          <w:sz w:val="24"/>
          <w:szCs w:val="24"/>
        </w:rPr>
      </w:pPr>
    </w:p>
    <w:p w14:paraId="18DC9576">
      <w:pPr>
        <w:rPr>
          <w:rFonts w:hint="eastAsia" w:ascii="黑体" w:hAnsi="黑体" w:eastAsia="黑体" w:cs="黑体"/>
          <w:sz w:val="24"/>
          <w:szCs w:val="24"/>
        </w:rPr>
        <w:sectPr>
          <w:headerReference r:id="rId16" w:type="default"/>
          <w:footerReference r:id="rId17" w:type="default"/>
          <w:pgSz w:w="11910" w:h="16840"/>
          <w:pgMar w:top="1064" w:right="1385" w:bottom="1281" w:left="1381" w:header="854" w:footer="1032" w:gutter="0"/>
          <w:pgNumType w:fmt="decimal"/>
          <w:cols w:equalWidth="0" w:num="1">
            <w:col w:w="9144"/>
          </w:cols>
        </w:sectPr>
      </w:pPr>
    </w:p>
    <w:p w14:paraId="5692EC5A">
      <w:pPr>
        <w:spacing w:before="42" w:line="184" w:lineRule="auto"/>
        <w:ind w:left="917"/>
        <w:rPr>
          <w:rFonts w:hint="eastAsia" w:ascii="黑体" w:hAnsi="黑体" w:eastAsia="黑体" w:cs="黑体"/>
          <w:sz w:val="24"/>
          <w:szCs w:val="24"/>
        </w:rPr>
      </w:pPr>
      <w:r>
        <w:rPr>
          <w:rFonts w:hint="eastAsia" w:ascii="黑体" w:hAnsi="黑体" w:eastAsia="黑体" w:cs="黑体"/>
          <w:sz w:val="24"/>
          <w:szCs w:val="24"/>
        </w:rPr>
        <w:drawing>
          <wp:anchor distT="0" distB="0" distL="0" distR="0" simplePos="0" relativeHeight="251660288" behindDoc="0" locked="0" layoutInCell="1" allowOverlap="1">
            <wp:simplePos x="0" y="0"/>
            <wp:positionH relativeFrom="column">
              <wp:posOffset>271780</wp:posOffset>
            </wp:positionH>
            <wp:positionV relativeFrom="paragraph">
              <wp:posOffset>153035</wp:posOffset>
            </wp:positionV>
            <wp:extent cx="1862455" cy="635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22"/>
                    <a:stretch>
                      <a:fillRect/>
                    </a:stretch>
                  </pic:blipFill>
                  <pic:spPr>
                    <a:xfrm>
                      <a:off x="0" y="0"/>
                      <a:ext cx="1862270" cy="6667"/>
                    </a:xfrm>
                    <a:prstGeom prst="rect">
                      <a:avLst/>
                    </a:prstGeom>
                  </pic:spPr>
                </pic:pic>
              </a:graphicData>
            </a:graphic>
          </wp:anchor>
        </w:drawing>
      </w:r>
      <w:r>
        <w:rPr>
          <w:rFonts w:hint="eastAsia" w:ascii="黑体" w:hAnsi="黑体" w:eastAsia="黑体" w:cs="黑体"/>
          <w:spacing w:val="25"/>
          <w:sz w:val="24"/>
          <w:szCs w:val="24"/>
        </w:rPr>
        <w:t>(采购人)</w:t>
      </w:r>
    </w:p>
    <w:p w14:paraId="7CC3D6D1">
      <w:pPr>
        <w:pStyle w:val="2"/>
        <w:spacing w:line="14" w:lineRule="auto"/>
        <w:rPr>
          <w:rFonts w:hint="eastAsia" w:ascii="黑体" w:hAnsi="黑体" w:eastAsia="黑体" w:cs="黑体"/>
          <w:sz w:val="24"/>
          <w:szCs w:val="24"/>
        </w:rPr>
      </w:pPr>
    </w:p>
    <w:p w14:paraId="41C9FB79">
      <w:pPr>
        <w:spacing w:line="132" w:lineRule="exact"/>
        <w:rPr>
          <w:rFonts w:hint="eastAsia" w:ascii="黑体" w:hAnsi="黑体" w:eastAsia="黑体" w:cs="黑体"/>
          <w:sz w:val="24"/>
          <w:szCs w:val="24"/>
        </w:rPr>
        <w:sectPr>
          <w:type w:val="continuous"/>
          <w:pgSz w:w="11910" w:h="16840"/>
          <w:pgMar w:top="1064" w:right="1385" w:bottom="1281" w:left="1381" w:header="854" w:footer="1032" w:gutter="0"/>
          <w:pgNumType w:fmt="decimal"/>
          <w:cols w:equalWidth="0" w:num="2">
            <w:col w:w="3196" w:space="100"/>
            <w:col w:w="5848"/>
          </w:cols>
        </w:sectPr>
      </w:pPr>
    </w:p>
    <w:p w14:paraId="7C2BA2DB">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baseline"/>
        <w:rPr>
          <w:rFonts w:hint="eastAsia" w:ascii="黑体" w:hAnsi="黑体" w:eastAsia="黑体" w:cs="黑体"/>
          <w:b w:val="0"/>
          <w:bCs w:val="0"/>
          <w:kern w:val="2"/>
          <w:sz w:val="24"/>
          <w:szCs w:val="32"/>
          <w:lang w:val="en-US" w:eastAsia="zh-CN" w:bidi="ar-SA"/>
        </w:rPr>
      </w:pPr>
      <w:r>
        <w:rPr>
          <w:rFonts w:hint="eastAsia" w:ascii="黑体" w:hAnsi="黑体" w:eastAsia="黑体" w:cs="黑体"/>
          <w:b w:val="0"/>
          <w:bCs w:val="0"/>
          <w:kern w:val="2"/>
          <w:sz w:val="24"/>
          <w:szCs w:val="32"/>
          <w:lang w:val="en-US" w:eastAsia="zh-CN" w:bidi="ar-SA"/>
        </w:rPr>
        <w:t>我方作为项目名称</w:t>
      </w:r>
      <w:r>
        <w:rPr>
          <w:rFonts w:hint="eastAsia" w:ascii="黑体" w:hAnsi="黑体" w:eastAsia="黑体" w:cs="黑体"/>
          <w:b w:val="0"/>
          <w:bCs w:val="0"/>
          <w:kern w:val="2"/>
          <w:sz w:val="24"/>
          <w:szCs w:val="32"/>
          <w:u w:val="single"/>
          <w:lang w:val="en-US" w:eastAsia="zh-CN" w:bidi="ar-SA"/>
        </w:rPr>
        <w:t xml:space="preserve">               (项目编号：          </w:t>
      </w:r>
      <w:r>
        <w:rPr>
          <w:rFonts w:hint="eastAsia" w:ascii="黑体" w:hAnsi="黑体" w:eastAsia="黑体" w:cs="黑体"/>
          <w:b w:val="0"/>
          <w:bCs w:val="0"/>
          <w:kern w:val="2"/>
          <w:sz w:val="24"/>
          <w:szCs w:val="32"/>
          <w:lang w:val="en-US" w:eastAsia="zh-CN" w:bidi="ar-SA"/>
        </w:rPr>
        <w:t>)</w:t>
      </w:r>
      <w:r>
        <w:rPr>
          <w:rFonts w:hint="eastAsia" w:ascii="黑体" w:hAnsi="黑体" w:eastAsia="黑体" w:cs="黑体"/>
          <w:b w:val="0"/>
          <w:bCs w:val="0"/>
          <w:kern w:val="2"/>
          <w:sz w:val="24"/>
          <w:szCs w:val="32"/>
          <w:u w:val="single"/>
          <w:lang w:val="en-US" w:eastAsia="zh-CN" w:bidi="ar-SA"/>
        </w:rPr>
        <w:t xml:space="preserve">    (</w:t>
      </w:r>
      <w:r>
        <w:rPr>
          <w:rFonts w:hint="eastAsia" w:ascii="黑体" w:hAnsi="黑体" w:eastAsia="黑体" w:cs="黑体"/>
          <w:b w:val="0"/>
          <w:bCs w:val="0"/>
          <w:kern w:val="2"/>
          <w:sz w:val="24"/>
          <w:szCs w:val="32"/>
          <w:u w:val="none"/>
          <w:lang w:val="en-US" w:eastAsia="zh-CN" w:bidi="ar-SA"/>
        </w:rPr>
        <w:t>包名称）</w:t>
      </w:r>
      <w:r>
        <w:rPr>
          <w:rFonts w:hint="eastAsia" w:ascii="黑体" w:hAnsi="黑体" w:eastAsia="黑体" w:cs="黑体"/>
          <w:b w:val="0"/>
          <w:bCs w:val="0"/>
          <w:kern w:val="2"/>
          <w:sz w:val="24"/>
          <w:szCs w:val="32"/>
          <w:lang w:val="en-US" w:eastAsia="zh-CN" w:bidi="ar-SA"/>
        </w:rPr>
        <w:t>的投标供应商，在此郑重声明：</w:t>
      </w:r>
    </w:p>
    <w:p w14:paraId="4D4005CB">
      <w:pPr>
        <w:spacing w:before="230" w:line="404" w:lineRule="auto"/>
        <w:ind w:left="8" w:right="95" w:firstLine="419"/>
        <w:rPr>
          <w:rFonts w:hint="eastAsia" w:ascii="黑体" w:hAnsi="黑体" w:eastAsia="黑体" w:cs="黑体"/>
          <w:sz w:val="24"/>
          <w:szCs w:val="24"/>
        </w:rPr>
      </w:pPr>
      <w:r>
        <w:rPr>
          <w:rFonts w:hint="eastAsia" w:ascii="黑体" w:hAnsi="黑体" w:eastAsia="黑体" w:cs="黑体"/>
          <w:spacing w:val="5"/>
          <w:sz w:val="24"/>
          <w:szCs w:val="24"/>
        </w:rPr>
        <w:t>1、在参加本次政府采购活动前3年内的经营活动中</w:t>
      </w:r>
      <w:r>
        <w:rPr>
          <w:rFonts w:hint="eastAsia" w:ascii="黑体" w:hAnsi="黑体" w:eastAsia="黑体" w:cs="黑体"/>
          <w:spacing w:val="5"/>
          <w:sz w:val="24"/>
          <w:szCs w:val="24"/>
          <w:u w:val="single" w:color="auto"/>
        </w:rPr>
        <w:t xml:space="preserve">       </w:t>
      </w:r>
      <w:r>
        <w:rPr>
          <w:rFonts w:hint="eastAsia" w:ascii="黑体" w:hAnsi="黑体" w:eastAsia="黑体" w:cs="黑体"/>
          <w:spacing w:val="4"/>
          <w:sz w:val="24"/>
          <w:szCs w:val="24"/>
          <w:u w:val="single" w:color="auto"/>
        </w:rPr>
        <w:t xml:space="preserve">  </w:t>
      </w:r>
      <w:r>
        <w:rPr>
          <w:rFonts w:hint="eastAsia" w:ascii="黑体" w:hAnsi="黑体" w:eastAsia="黑体" w:cs="黑体"/>
          <w:spacing w:val="4"/>
          <w:sz w:val="24"/>
          <w:szCs w:val="24"/>
        </w:rPr>
        <w:t xml:space="preserve"> (填“没有”或“有”)重大违</w:t>
      </w:r>
      <w:r>
        <w:rPr>
          <w:rFonts w:hint="eastAsia" w:ascii="黑体" w:hAnsi="黑体" w:eastAsia="黑体" w:cs="黑体"/>
          <w:spacing w:val="1"/>
          <w:sz w:val="24"/>
          <w:szCs w:val="24"/>
        </w:rPr>
        <w:t>法记录。供应商在参加政府采购活动前3年内因违法经营被禁止在一定期限内参加政府采购活动，</w:t>
      </w:r>
      <w:r>
        <w:rPr>
          <w:rFonts w:hint="eastAsia" w:ascii="黑体" w:hAnsi="黑体" w:eastAsia="黑体" w:cs="黑体"/>
          <w:spacing w:val="-1"/>
          <w:sz w:val="24"/>
          <w:szCs w:val="24"/>
        </w:rPr>
        <w:t>期限届满的，可以参加政府采购活动，但应提供</w:t>
      </w:r>
      <w:r>
        <w:rPr>
          <w:rFonts w:hint="eastAsia" w:ascii="黑体" w:hAnsi="黑体" w:eastAsia="黑体" w:cs="黑体"/>
          <w:spacing w:val="-2"/>
          <w:sz w:val="24"/>
          <w:szCs w:val="24"/>
        </w:rPr>
        <w:t>期限届满的证明材料。</w:t>
      </w:r>
    </w:p>
    <w:p w14:paraId="0DF0860A">
      <w:pPr>
        <w:spacing w:before="232" w:line="219" w:lineRule="auto"/>
        <w:ind w:left="428"/>
        <w:rPr>
          <w:rFonts w:hint="eastAsia" w:ascii="黑体" w:hAnsi="黑体" w:eastAsia="黑体" w:cs="黑体"/>
          <w:sz w:val="24"/>
          <w:szCs w:val="24"/>
        </w:rPr>
      </w:pPr>
      <w:r>
        <w:rPr>
          <w:rFonts w:hint="eastAsia" w:ascii="黑体" w:hAnsi="黑体" w:eastAsia="黑体" w:cs="黑体"/>
          <w:spacing w:val="1"/>
          <w:sz w:val="24"/>
          <w:szCs w:val="24"/>
        </w:rPr>
        <w:t>2、</w:t>
      </w:r>
      <w:r>
        <w:rPr>
          <w:rFonts w:hint="eastAsia" w:ascii="黑体" w:hAnsi="黑体" w:eastAsia="黑体" w:cs="黑体"/>
          <w:spacing w:val="-51"/>
          <w:sz w:val="24"/>
          <w:szCs w:val="24"/>
        </w:rPr>
        <w:t xml:space="preserve"> </w:t>
      </w:r>
      <w:r>
        <w:rPr>
          <w:rFonts w:hint="eastAsia" w:ascii="黑体" w:hAnsi="黑体" w:eastAsia="黑体" w:cs="黑体"/>
          <w:spacing w:val="1"/>
          <w:sz w:val="24"/>
          <w:szCs w:val="24"/>
        </w:rPr>
        <w:t>我方</w:t>
      </w:r>
      <w:r>
        <w:rPr>
          <w:rFonts w:hint="eastAsia" w:ascii="黑体" w:hAnsi="黑体" w:eastAsia="黑体" w:cs="黑体"/>
          <w:spacing w:val="-95"/>
          <w:sz w:val="24"/>
          <w:szCs w:val="24"/>
        </w:rPr>
        <w:t xml:space="preserve"> </w:t>
      </w:r>
      <w:r>
        <w:rPr>
          <w:rFonts w:hint="eastAsia" w:ascii="黑体" w:hAnsi="黑体" w:eastAsia="黑体" w:cs="黑体"/>
          <w:spacing w:val="6"/>
          <w:sz w:val="24"/>
          <w:szCs w:val="24"/>
          <w:u w:val="single" w:color="auto"/>
        </w:rPr>
        <w:t xml:space="preserve">                 </w:t>
      </w:r>
      <w:r>
        <w:rPr>
          <w:rFonts w:hint="eastAsia" w:ascii="黑体" w:hAnsi="黑体" w:eastAsia="黑体" w:cs="黑体"/>
          <w:spacing w:val="1"/>
          <w:sz w:val="24"/>
          <w:szCs w:val="24"/>
        </w:rPr>
        <w:t xml:space="preserve"> (填“未被列入”或“被列入”)失信被执行人名单。</w:t>
      </w:r>
    </w:p>
    <w:p w14:paraId="2C5EED14">
      <w:pPr>
        <w:spacing w:before="211" w:line="219" w:lineRule="auto"/>
        <w:jc w:val="right"/>
        <w:rPr>
          <w:rFonts w:hint="eastAsia" w:ascii="黑体" w:hAnsi="黑体" w:eastAsia="黑体" w:cs="黑体"/>
          <w:sz w:val="24"/>
          <w:szCs w:val="24"/>
        </w:rPr>
      </w:pPr>
      <w:r>
        <w:rPr>
          <w:rFonts w:hint="eastAsia" w:ascii="黑体" w:hAnsi="黑体" w:eastAsia="黑体" w:cs="黑体"/>
          <w:spacing w:val="4"/>
          <w:sz w:val="24"/>
          <w:szCs w:val="24"/>
          <w:lang w:val="en-US" w:eastAsia="zh-CN"/>
        </w:rPr>
        <w:t xml:space="preserve">   </w:t>
      </w:r>
      <w:r>
        <w:rPr>
          <w:rFonts w:hint="eastAsia" w:ascii="黑体" w:hAnsi="黑体" w:eastAsia="黑体" w:cs="黑体"/>
          <w:spacing w:val="4"/>
          <w:sz w:val="24"/>
          <w:szCs w:val="24"/>
        </w:rPr>
        <w:t>3、我方</w:t>
      </w:r>
      <w:r>
        <w:rPr>
          <w:rFonts w:hint="eastAsia" w:ascii="黑体" w:hAnsi="黑体" w:eastAsia="黑体" w:cs="黑体"/>
          <w:spacing w:val="-85"/>
          <w:sz w:val="24"/>
          <w:szCs w:val="24"/>
        </w:rPr>
        <w:t xml:space="preserve"> </w:t>
      </w:r>
      <w:r>
        <w:rPr>
          <w:rFonts w:hint="eastAsia" w:ascii="黑体" w:hAnsi="黑体" w:eastAsia="黑体" w:cs="黑体"/>
          <w:spacing w:val="4"/>
          <w:sz w:val="24"/>
          <w:szCs w:val="24"/>
          <w:u w:val="single" w:color="auto"/>
        </w:rPr>
        <w:t xml:space="preserve">                 </w:t>
      </w:r>
      <w:r>
        <w:rPr>
          <w:rFonts w:hint="eastAsia" w:ascii="黑体" w:hAnsi="黑体" w:eastAsia="黑体" w:cs="黑体"/>
          <w:spacing w:val="4"/>
          <w:sz w:val="24"/>
          <w:szCs w:val="24"/>
        </w:rPr>
        <w:t xml:space="preserve"> (填“未被列入”或“被列入</w:t>
      </w:r>
      <w:r>
        <w:rPr>
          <w:rFonts w:hint="eastAsia" w:ascii="黑体" w:hAnsi="黑体" w:eastAsia="黑体" w:cs="黑体"/>
          <w:spacing w:val="3"/>
          <w:sz w:val="24"/>
          <w:szCs w:val="24"/>
        </w:rPr>
        <w:t>”)重大税收违法案件当事人名单。</w:t>
      </w:r>
    </w:p>
    <w:p w14:paraId="4663EA02">
      <w:pPr>
        <w:spacing w:before="69" w:line="414" w:lineRule="auto"/>
        <w:ind w:firstLine="480" w:firstLineChars="200"/>
        <w:rPr>
          <w:rFonts w:hint="eastAsia" w:ascii="黑体" w:hAnsi="黑体" w:eastAsia="黑体" w:cs="黑体"/>
          <w:sz w:val="24"/>
          <w:szCs w:val="24"/>
        </w:rPr>
      </w:pPr>
      <w:r>
        <w:rPr>
          <w:rFonts w:hint="eastAsia" w:ascii="黑体" w:hAnsi="黑体" w:eastAsia="黑体" w:cs="黑体"/>
          <w:sz w:val="24"/>
          <w:szCs w:val="24"/>
        </w:rPr>
        <w:t>4、我方</w:t>
      </w:r>
      <w:r>
        <w:rPr>
          <w:rFonts w:hint="eastAsia" w:ascii="黑体" w:hAnsi="黑体" w:eastAsia="黑体" w:cs="黑体"/>
          <w:spacing w:val="-72"/>
          <w:sz w:val="24"/>
          <w:szCs w:val="24"/>
        </w:rPr>
        <w:t xml:space="preserve"> </w:t>
      </w:r>
      <w:r>
        <w:rPr>
          <w:rFonts w:hint="eastAsia" w:ascii="黑体" w:hAnsi="黑体" w:eastAsia="黑体" w:cs="黑体"/>
          <w:sz w:val="24"/>
          <w:szCs w:val="24"/>
          <w:u w:val="single" w:color="auto"/>
        </w:rPr>
        <w:t xml:space="preserve">                  </w:t>
      </w:r>
      <w:r>
        <w:rPr>
          <w:rFonts w:hint="eastAsia" w:ascii="黑体" w:hAnsi="黑体" w:eastAsia="黑体" w:cs="黑体"/>
          <w:spacing w:val="-25"/>
          <w:sz w:val="24"/>
          <w:szCs w:val="24"/>
        </w:rPr>
        <w:t xml:space="preserve"> </w:t>
      </w:r>
      <w:r>
        <w:rPr>
          <w:rFonts w:hint="eastAsia" w:ascii="黑体" w:hAnsi="黑体" w:eastAsia="黑体" w:cs="黑体"/>
          <w:sz w:val="24"/>
          <w:szCs w:val="24"/>
        </w:rPr>
        <w:t>(填“未被列入”或“被列入”)政府采购严重违法失信行为记录</w:t>
      </w:r>
      <w:r>
        <w:rPr>
          <w:rFonts w:hint="eastAsia" w:ascii="黑体" w:hAnsi="黑体" w:eastAsia="黑体" w:cs="黑体"/>
          <w:spacing w:val="-10"/>
          <w:sz w:val="24"/>
          <w:szCs w:val="24"/>
        </w:rPr>
        <w:t>名单。</w:t>
      </w:r>
    </w:p>
    <w:p w14:paraId="54296FD7">
      <w:pPr>
        <w:spacing w:before="230" w:line="404" w:lineRule="auto"/>
        <w:ind w:left="8" w:right="95" w:firstLine="419"/>
        <w:rPr>
          <w:rFonts w:hint="eastAsia" w:ascii="黑体" w:hAnsi="黑体" w:eastAsia="黑体" w:cs="黑体"/>
          <w:spacing w:val="4"/>
          <w:sz w:val="24"/>
          <w:szCs w:val="24"/>
        </w:rPr>
      </w:pPr>
      <w:r>
        <w:rPr>
          <w:rFonts w:hint="eastAsia" w:ascii="黑体" w:hAnsi="黑体" w:eastAsia="黑体" w:cs="黑体"/>
          <w:spacing w:val="4"/>
          <w:sz w:val="24"/>
          <w:szCs w:val="24"/>
        </w:rPr>
        <w:t>如有不实，我方将无条件地退出本项目的采购活动，并遵照《政府采购法》有关“提供虚假材料的规定”接受处罚。</w:t>
      </w:r>
    </w:p>
    <w:p w14:paraId="44AF7800">
      <w:pPr>
        <w:spacing w:before="230" w:line="404" w:lineRule="auto"/>
        <w:ind w:left="8" w:right="95" w:firstLine="419"/>
        <w:rPr>
          <w:rFonts w:hint="eastAsia" w:ascii="黑体" w:hAnsi="黑体" w:eastAsia="黑体" w:cs="黑体"/>
          <w:spacing w:val="4"/>
          <w:sz w:val="24"/>
          <w:szCs w:val="24"/>
        </w:rPr>
      </w:pPr>
    </w:p>
    <w:p w14:paraId="565BE29A">
      <w:pPr>
        <w:spacing w:before="219" w:line="219" w:lineRule="auto"/>
        <w:ind w:left="1158"/>
        <w:rPr>
          <w:rFonts w:hint="eastAsia" w:ascii="黑体" w:hAnsi="黑体" w:eastAsia="黑体" w:cs="黑体"/>
          <w:sz w:val="24"/>
          <w:szCs w:val="24"/>
        </w:rPr>
      </w:pPr>
      <w:r>
        <w:rPr>
          <w:rFonts w:hint="eastAsia" w:ascii="黑体" w:hAnsi="黑体" w:eastAsia="黑体" w:cs="黑体"/>
          <w:spacing w:val="-7"/>
          <w:sz w:val="24"/>
          <w:szCs w:val="24"/>
        </w:rPr>
        <w:t>特此声明。</w:t>
      </w:r>
    </w:p>
    <w:p w14:paraId="1EA7BB0E">
      <w:pPr>
        <w:pStyle w:val="2"/>
        <w:spacing w:line="260" w:lineRule="auto"/>
        <w:rPr>
          <w:rFonts w:hint="eastAsia" w:ascii="黑体" w:hAnsi="黑体" w:eastAsia="黑体" w:cs="黑体"/>
          <w:sz w:val="24"/>
          <w:szCs w:val="24"/>
        </w:rPr>
      </w:pPr>
    </w:p>
    <w:p w14:paraId="151CADF5">
      <w:pPr>
        <w:pStyle w:val="2"/>
        <w:spacing w:line="261" w:lineRule="auto"/>
        <w:rPr>
          <w:rFonts w:hint="eastAsia" w:ascii="黑体" w:hAnsi="黑体" w:eastAsia="黑体" w:cs="黑体"/>
          <w:sz w:val="24"/>
          <w:szCs w:val="24"/>
        </w:rPr>
      </w:pPr>
    </w:p>
    <w:p w14:paraId="2D28556C">
      <w:pPr>
        <w:spacing w:before="82" w:line="219" w:lineRule="auto"/>
        <w:ind w:left="8" w:firstLine="2106" w:firstLineChars="900"/>
        <w:rPr>
          <w:rFonts w:hint="eastAsia" w:ascii="黑体" w:hAnsi="黑体" w:eastAsia="黑体" w:cs="黑体"/>
          <w:sz w:val="24"/>
          <w:szCs w:val="24"/>
        </w:rPr>
      </w:pPr>
      <w:r>
        <w:rPr>
          <w:rFonts w:hint="eastAsia" w:ascii="黑体" w:hAnsi="黑体" w:eastAsia="黑体" w:cs="黑体"/>
          <w:spacing w:val="-3"/>
          <w:sz w:val="24"/>
          <w:szCs w:val="24"/>
          <w:lang w:val="en-US" w:eastAsia="zh-CN"/>
        </w:rPr>
        <w:t>投标单位名称</w:t>
      </w:r>
      <w:r>
        <w:rPr>
          <w:rFonts w:hint="eastAsia" w:ascii="黑体" w:hAnsi="黑体" w:eastAsia="黑体" w:cs="黑体"/>
          <w:spacing w:val="-3"/>
          <w:sz w:val="24"/>
          <w:szCs w:val="24"/>
        </w:rPr>
        <w:t>：</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rPr>
        <w:t xml:space="preserve">  (加盖公章)</w:t>
      </w:r>
    </w:p>
    <w:p w14:paraId="6D6350F4">
      <w:pPr>
        <w:spacing w:before="222" w:line="219" w:lineRule="auto"/>
        <w:ind w:left="8" w:firstLine="2120" w:firstLineChars="1000"/>
        <w:rPr>
          <w:rFonts w:hint="eastAsia" w:ascii="黑体" w:hAnsi="黑体" w:eastAsia="黑体" w:cs="黑体"/>
          <w:sz w:val="24"/>
          <w:szCs w:val="24"/>
        </w:rPr>
      </w:pPr>
      <w:r>
        <w:rPr>
          <w:rFonts w:hint="eastAsia" w:ascii="黑体" w:hAnsi="黑体" w:eastAsia="黑体" w:cs="黑体"/>
          <w:spacing w:val="-14"/>
          <w:sz w:val="24"/>
          <w:szCs w:val="24"/>
        </w:rPr>
        <w:t>法</w:t>
      </w:r>
      <w:r>
        <w:rPr>
          <w:rFonts w:hint="eastAsia" w:ascii="黑体" w:hAnsi="黑体" w:eastAsia="黑体" w:cs="黑体"/>
          <w:spacing w:val="-43"/>
          <w:sz w:val="24"/>
          <w:szCs w:val="24"/>
        </w:rPr>
        <w:t xml:space="preserve"> </w:t>
      </w:r>
      <w:r>
        <w:rPr>
          <w:rFonts w:hint="eastAsia" w:ascii="黑体" w:hAnsi="黑体" w:eastAsia="黑体" w:cs="黑体"/>
          <w:spacing w:val="-14"/>
          <w:sz w:val="24"/>
          <w:szCs w:val="24"/>
        </w:rPr>
        <w:t>定</w:t>
      </w:r>
      <w:r>
        <w:rPr>
          <w:rFonts w:hint="eastAsia" w:ascii="黑体" w:hAnsi="黑体" w:eastAsia="黑体" w:cs="黑体"/>
          <w:spacing w:val="-50"/>
          <w:sz w:val="24"/>
          <w:szCs w:val="24"/>
        </w:rPr>
        <w:t xml:space="preserve"> </w:t>
      </w:r>
      <w:r>
        <w:rPr>
          <w:rFonts w:hint="eastAsia" w:ascii="黑体" w:hAnsi="黑体" w:eastAsia="黑体" w:cs="黑体"/>
          <w:spacing w:val="-14"/>
          <w:sz w:val="24"/>
          <w:szCs w:val="24"/>
        </w:rPr>
        <w:t>代</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表</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0"/>
          <w:sz w:val="24"/>
          <w:szCs w:val="24"/>
        </w:rPr>
        <w:t xml:space="preserve"> </w:t>
      </w:r>
      <w:r>
        <w:rPr>
          <w:rFonts w:hint="eastAsia" w:ascii="黑体" w:hAnsi="黑体" w:eastAsia="黑体" w:cs="黑体"/>
          <w:spacing w:val="-14"/>
          <w:sz w:val="24"/>
          <w:szCs w:val="24"/>
        </w:rPr>
        <w:t>负</w:t>
      </w:r>
      <w:r>
        <w:rPr>
          <w:rFonts w:hint="eastAsia" w:ascii="黑体" w:hAnsi="黑体" w:eastAsia="黑体" w:cs="黑体"/>
          <w:spacing w:val="-41"/>
          <w:sz w:val="24"/>
          <w:szCs w:val="24"/>
        </w:rPr>
        <w:t xml:space="preserve"> </w:t>
      </w:r>
      <w:r>
        <w:rPr>
          <w:rFonts w:hint="eastAsia" w:ascii="黑体" w:hAnsi="黑体" w:eastAsia="黑体" w:cs="黑体"/>
          <w:spacing w:val="-14"/>
          <w:sz w:val="24"/>
          <w:szCs w:val="24"/>
        </w:rPr>
        <w:t>责</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被</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授</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权</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签</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字</w:t>
      </w:r>
      <w:r>
        <w:rPr>
          <w:rFonts w:hint="eastAsia" w:ascii="黑体" w:hAnsi="黑体" w:eastAsia="黑体" w:cs="黑体"/>
          <w:spacing w:val="-45"/>
          <w:sz w:val="24"/>
          <w:szCs w:val="24"/>
        </w:rPr>
        <w:t xml:space="preserve"> </w:t>
      </w:r>
      <w:r>
        <w:rPr>
          <w:rFonts w:hint="eastAsia" w:ascii="黑体" w:hAnsi="黑体" w:eastAsia="黑体" w:cs="黑体"/>
          <w:spacing w:val="-15"/>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5"/>
          <w:sz w:val="24"/>
          <w:szCs w:val="24"/>
        </w:rPr>
        <w:t>盖</w:t>
      </w:r>
      <w:r>
        <w:rPr>
          <w:rFonts w:hint="eastAsia" w:ascii="黑体" w:hAnsi="黑体" w:eastAsia="黑体" w:cs="黑体"/>
          <w:spacing w:val="-41"/>
          <w:sz w:val="24"/>
          <w:szCs w:val="24"/>
        </w:rPr>
        <w:t xml:space="preserve"> </w:t>
      </w:r>
      <w:r>
        <w:rPr>
          <w:rFonts w:hint="eastAsia" w:ascii="黑体" w:hAnsi="黑体" w:eastAsia="黑体" w:cs="黑体"/>
          <w:spacing w:val="-15"/>
          <w:sz w:val="24"/>
          <w:szCs w:val="24"/>
        </w:rPr>
        <w:t>章</w:t>
      </w:r>
      <w:r>
        <w:rPr>
          <w:rFonts w:hint="eastAsia" w:ascii="黑体" w:hAnsi="黑体" w:eastAsia="黑体" w:cs="黑体"/>
          <w:spacing w:val="-47"/>
          <w:sz w:val="24"/>
          <w:szCs w:val="24"/>
        </w:rPr>
        <w:t xml:space="preserve"> </w:t>
      </w:r>
      <w:r>
        <w:rPr>
          <w:rFonts w:hint="eastAsia" w:ascii="黑体" w:hAnsi="黑体" w:eastAsia="黑体" w:cs="黑体"/>
          <w:spacing w:val="-15"/>
          <w:sz w:val="24"/>
          <w:szCs w:val="24"/>
        </w:rPr>
        <w:t>) :</w:t>
      </w:r>
      <w:r>
        <w:rPr>
          <w:rFonts w:hint="eastAsia" w:ascii="黑体" w:hAnsi="黑体" w:eastAsia="黑体" w:cs="黑体"/>
          <w:spacing w:val="62"/>
          <w:sz w:val="24"/>
          <w:szCs w:val="24"/>
        </w:rPr>
        <w:t xml:space="preserve"> </w:t>
      </w:r>
      <w:r>
        <w:rPr>
          <w:rFonts w:hint="eastAsia" w:ascii="黑体" w:hAnsi="黑体" w:eastAsia="黑体" w:cs="黑体"/>
          <w:sz w:val="24"/>
          <w:szCs w:val="24"/>
          <w:u w:val="single" w:color="auto"/>
        </w:rPr>
        <w:t xml:space="preserve">             </w:t>
      </w:r>
    </w:p>
    <w:p w14:paraId="716FAEB6">
      <w:pPr>
        <w:spacing w:before="184" w:line="184" w:lineRule="auto"/>
        <w:ind w:firstLine="2090" w:firstLineChars="1100"/>
        <w:rPr>
          <w:rFonts w:hint="eastAsia" w:ascii="黑体" w:hAnsi="黑体" w:eastAsia="黑体" w:cs="黑体"/>
          <w:sz w:val="24"/>
          <w:szCs w:val="24"/>
        </w:rPr>
      </w:pPr>
      <w:r>
        <w:rPr>
          <w:rFonts w:hint="eastAsia" w:ascii="黑体" w:hAnsi="黑体" w:eastAsia="黑体" w:cs="黑体"/>
          <w:spacing w:val="-25"/>
          <w:sz w:val="24"/>
          <w:szCs w:val="24"/>
        </w:rPr>
        <w:t>日</w:t>
      </w:r>
      <w:r>
        <w:rPr>
          <w:rFonts w:hint="eastAsia" w:ascii="黑体" w:hAnsi="黑体" w:eastAsia="黑体" w:cs="黑体"/>
          <w:spacing w:val="-23"/>
          <w:sz w:val="24"/>
          <w:szCs w:val="24"/>
        </w:rPr>
        <w:t xml:space="preserve"> </w:t>
      </w:r>
      <w:r>
        <w:rPr>
          <w:rFonts w:hint="eastAsia" w:ascii="黑体" w:hAnsi="黑体" w:eastAsia="黑体" w:cs="黑体"/>
          <w:spacing w:val="-23"/>
          <w:sz w:val="24"/>
          <w:szCs w:val="24"/>
          <w:lang w:val="en-US" w:eastAsia="zh-CN"/>
        </w:rPr>
        <w:t xml:space="preserve">  </w:t>
      </w:r>
      <w:r>
        <w:rPr>
          <w:rFonts w:hint="eastAsia" w:ascii="黑体" w:hAnsi="黑体" w:eastAsia="黑体" w:cs="黑体"/>
          <w:spacing w:val="-25"/>
          <w:sz w:val="24"/>
          <w:szCs w:val="24"/>
        </w:rPr>
        <w:t>期 ：</w:t>
      </w:r>
      <w:r>
        <w:rPr>
          <w:rFonts w:hint="eastAsia" w:ascii="黑体" w:hAnsi="黑体" w:eastAsia="黑体" w:cs="黑体"/>
          <w:spacing w:val="-63"/>
          <w:sz w:val="24"/>
          <w:szCs w:val="24"/>
        </w:rPr>
        <w:t xml:space="preserve"> </w:t>
      </w:r>
      <w:r>
        <w:rPr>
          <w:rFonts w:hint="eastAsia" w:ascii="黑体" w:hAnsi="黑体" w:eastAsia="黑体" w:cs="黑体"/>
          <w:sz w:val="24"/>
          <w:szCs w:val="24"/>
          <w:u w:val="single" w:color="auto"/>
        </w:rPr>
        <w:t xml:space="preserve">             </w:t>
      </w:r>
    </w:p>
    <w:p w14:paraId="315A937A">
      <w:pPr>
        <w:spacing w:line="184" w:lineRule="auto"/>
        <w:rPr>
          <w:rFonts w:hint="eastAsia" w:ascii="黑体" w:hAnsi="黑体" w:eastAsia="黑体" w:cs="黑体"/>
          <w:sz w:val="24"/>
          <w:szCs w:val="24"/>
        </w:rPr>
        <w:sectPr>
          <w:type w:val="continuous"/>
          <w:pgSz w:w="11910" w:h="16840"/>
          <w:pgMar w:top="1064" w:right="1385" w:bottom="1281" w:left="1381" w:header="854" w:footer="1032" w:gutter="0"/>
          <w:pgNumType w:fmt="decimal"/>
          <w:cols w:equalWidth="0" w:num="1">
            <w:col w:w="9144"/>
          </w:cols>
        </w:sectPr>
      </w:pPr>
    </w:p>
    <w:p w14:paraId="2FFA033B">
      <w:pPr>
        <w:tabs>
          <w:tab w:val="left" w:pos="210"/>
        </w:tabs>
        <w:spacing w:line="320" w:lineRule="exact"/>
        <w:jc w:val="both"/>
        <w:rPr>
          <w:rFonts w:hint="eastAsia" w:ascii="黑体" w:hAnsi="黑体" w:eastAsia="黑体" w:cs="黑体"/>
          <w:b/>
          <w:color w:val="000000"/>
          <w:kern w:val="0"/>
          <w:sz w:val="28"/>
          <w:szCs w:val="28"/>
          <w:lang w:val="en-US" w:eastAsia="zh-CN"/>
        </w:rPr>
      </w:pPr>
      <w:r>
        <w:rPr>
          <w:rFonts w:hint="eastAsia" w:ascii="黑体" w:hAnsi="黑体" w:eastAsia="黑体" w:cs="黑体"/>
          <w:b/>
          <w:color w:val="000000"/>
          <w:kern w:val="0"/>
          <w:sz w:val="28"/>
          <w:szCs w:val="28"/>
          <w:lang w:val="en-US" w:eastAsia="zh-CN"/>
        </w:rPr>
        <w:t xml:space="preserve">附件2             </w:t>
      </w:r>
    </w:p>
    <w:p w14:paraId="01A3D73D">
      <w:pPr>
        <w:tabs>
          <w:tab w:val="left" w:pos="210"/>
        </w:tabs>
        <w:spacing w:line="320" w:lineRule="exact"/>
        <w:jc w:val="both"/>
        <w:rPr>
          <w:rFonts w:hint="eastAsia" w:ascii="黑体" w:hAnsi="黑体" w:eastAsia="黑体" w:cs="黑体"/>
          <w:b/>
          <w:color w:val="000000"/>
          <w:kern w:val="0"/>
          <w:sz w:val="28"/>
          <w:szCs w:val="28"/>
          <w:lang w:val="en-US" w:eastAsia="zh-CN"/>
        </w:rPr>
      </w:pPr>
    </w:p>
    <w:p w14:paraId="06C77213">
      <w:pPr>
        <w:tabs>
          <w:tab w:val="left" w:pos="210"/>
        </w:tabs>
        <w:spacing w:line="320" w:lineRule="exact"/>
        <w:jc w:val="both"/>
        <w:rPr>
          <w:rFonts w:hint="eastAsia" w:ascii="黑体" w:hAnsi="黑体" w:eastAsia="黑体" w:cs="黑体"/>
          <w:b/>
          <w:color w:val="000000"/>
          <w:kern w:val="0"/>
          <w:sz w:val="28"/>
          <w:szCs w:val="28"/>
          <w:lang w:val="en-US" w:eastAsia="zh-CN"/>
        </w:rPr>
      </w:pPr>
    </w:p>
    <w:p w14:paraId="15DB816B">
      <w:pPr>
        <w:tabs>
          <w:tab w:val="left" w:pos="210"/>
        </w:tabs>
        <w:spacing w:line="320" w:lineRule="exact"/>
        <w:ind w:firstLine="3092" w:firstLineChars="1100"/>
        <w:jc w:val="both"/>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法定代表人授权委托书</w:t>
      </w:r>
    </w:p>
    <w:p w14:paraId="36D31DD8">
      <w:pPr>
        <w:pStyle w:val="13"/>
        <w:spacing w:line="500" w:lineRule="exact"/>
        <w:rPr>
          <w:rFonts w:hint="eastAsia" w:ascii="黑体" w:hAnsi="黑体" w:eastAsia="黑体" w:cs="黑体"/>
          <w:color w:val="000000"/>
          <w:sz w:val="24"/>
          <w:szCs w:val="24"/>
        </w:rPr>
      </w:pPr>
    </w:p>
    <w:p w14:paraId="02E150A0">
      <w:pPr>
        <w:pStyle w:val="13"/>
        <w:spacing w:line="500" w:lineRule="exact"/>
        <w:rPr>
          <w:rFonts w:hint="eastAsia" w:ascii="黑体" w:hAnsi="黑体" w:eastAsia="黑体" w:cs="黑体"/>
          <w:b/>
          <w:bCs/>
          <w:color w:val="000000"/>
          <w:sz w:val="24"/>
          <w:szCs w:val="24"/>
          <w:lang w:eastAsia="zh-CN"/>
        </w:rPr>
      </w:pPr>
      <w:r>
        <w:rPr>
          <w:rFonts w:hint="eastAsia" w:ascii="黑体" w:hAnsi="黑体" w:eastAsia="黑体" w:cs="黑体"/>
          <w:color w:val="000000"/>
          <w:sz w:val="24"/>
          <w:szCs w:val="24"/>
        </w:rPr>
        <w:t>致：(采购人)</w:t>
      </w:r>
      <w:r>
        <w:rPr>
          <w:rFonts w:hint="eastAsia" w:ascii="黑体" w:hAnsi="黑体" w:eastAsia="黑体" w:cs="黑体"/>
          <w:color w:val="000000"/>
          <w:sz w:val="24"/>
          <w:szCs w:val="24"/>
          <w:lang w:eastAsia="zh-CN"/>
        </w:rPr>
        <w:t>：</w:t>
      </w:r>
    </w:p>
    <w:p w14:paraId="423B9DDC">
      <w:pPr>
        <w:pStyle w:val="13"/>
        <w:spacing w:line="50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本授权书声明：注册于（</w:t>
      </w:r>
      <w:r>
        <w:rPr>
          <w:rFonts w:hint="eastAsia" w:ascii="黑体" w:hAnsi="黑体" w:eastAsia="黑体" w:cs="黑体"/>
          <w:color w:val="000000"/>
          <w:sz w:val="24"/>
          <w:szCs w:val="24"/>
          <w:u w:val="single"/>
        </w:rPr>
        <w:t xml:space="preserve"> 工商行政管理局名称）之（委托单位全称</w:t>
      </w:r>
      <w:r>
        <w:rPr>
          <w:rFonts w:hint="eastAsia" w:ascii="黑体" w:hAnsi="黑体" w:eastAsia="黑体" w:cs="黑体"/>
          <w:color w:val="000000"/>
          <w:sz w:val="24"/>
          <w:szCs w:val="24"/>
          <w:u w:val="none"/>
        </w:rPr>
        <w:t>）</w:t>
      </w:r>
      <w:r>
        <w:rPr>
          <w:rFonts w:hint="eastAsia" w:ascii="黑体" w:hAnsi="黑体" w:eastAsia="黑体" w:cs="黑体"/>
          <w:color w:val="000000"/>
          <w:sz w:val="24"/>
          <w:szCs w:val="24"/>
        </w:rPr>
        <w:t>的法定代表人</w:t>
      </w:r>
      <w:r>
        <w:rPr>
          <w:rFonts w:hint="eastAsia" w:ascii="黑体" w:hAnsi="黑体" w:eastAsia="黑体" w:cs="黑体"/>
          <w:color w:val="000000"/>
          <w:sz w:val="24"/>
          <w:szCs w:val="24"/>
          <w:u w:val="single"/>
        </w:rPr>
        <w:t>（姓名、性别）</w:t>
      </w:r>
      <w:r>
        <w:rPr>
          <w:rFonts w:hint="eastAsia" w:ascii="黑体" w:hAnsi="黑体" w:eastAsia="黑体" w:cs="黑体"/>
          <w:color w:val="000000"/>
          <w:sz w:val="24"/>
          <w:szCs w:val="24"/>
        </w:rPr>
        <w:t>授权</w:t>
      </w:r>
      <w:r>
        <w:rPr>
          <w:rFonts w:hint="eastAsia" w:ascii="黑体" w:hAnsi="黑体" w:eastAsia="黑体" w:cs="黑体"/>
          <w:color w:val="000000"/>
          <w:sz w:val="24"/>
          <w:szCs w:val="24"/>
          <w:u w:val="single"/>
        </w:rPr>
        <w:t>（被授权人姓名、性别、职务）</w:t>
      </w:r>
      <w:r>
        <w:rPr>
          <w:rFonts w:hint="eastAsia" w:ascii="黑体" w:hAnsi="黑体" w:eastAsia="黑体" w:cs="黑体"/>
          <w:color w:val="000000"/>
          <w:sz w:val="24"/>
          <w:szCs w:val="24"/>
        </w:rPr>
        <w:t>为本公司合法代理人，就贵方组织的有关</w:t>
      </w:r>
      <w:r>
        <w:rPr>
          <w:rFonts w:hint="eastAsia" w:ascii="黑体" w:hAnsi="黑体" w:eastAsia="黑体" w:cs="黑体"/>
          <w:color w:val="000000"/>
          <w:sz w:val="24"/>
          <w:szCs w:val="24"/>
          <w:u w:val="single"/>
        </w:rPr>
        <w:t xml:space="preserve">（项目名称：   </w:t>
      </w:r>
      <w:r>
        <w:rPr>
          <w:rFonts w:hint="eastAsia" w:ascii="黑体" w:hAnsi="黑体" w:eastAsia="黑体" w:cs="黑体"/>
          <w:color w:val="000000"/>
          <w:sz w:val="24"/>
          <w:szCs w:val="24"/>
          <w:u w:val="single"/>
          <w:lang w:val="en-US" w:eastAsia="zh-CN"/>
        </w:rPr>
        <w:t xml:space="preserve">     </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u w:val="single"/>
          <w:lang w:val="en-US" w:eastAsia="zh-CN"/>
        </w:rPr>
        <w:t xml:space="preserve"> ）</w:t>
      </w:r>
      <w:r>
        <w:rPr>
          <w:rFonts w:hint="eastAsia" w:ascii="黑体" w:hAnsi="黑体" w:eastAsia="黑体" w:cs="黑体"/>
          <w:color w:val="000000"/>
          <w:sz w:val="24"/>
          <w:szCs w:val="24"/>
        </w:rPr>
        <w:t>（项目编号：</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w:t>
      </w:r>
      <w:r>
        <w:rPr>
          <w:rFonts w:hint="eastAsia" w:ascii="黑体" w:hAnsi="黑体" w:eastAsia="黑体" w:cs="黑体"/>
          <w:color w:val="000000"/>
          <w:sz w:val="24"/>
          <w:szCs w:val="24"/>
          <w:lang w:val="en-US" w:eastAsia="zh-CN"/>
        </w:rPr>
        <w:t>包名称</w:t>
      </w:r>
      <w:r>
        <w:rPr>
          <w:rFonts w:hint="eastAsia" w:ascii="黑体" w:hAnsi="黑体" w:eastAsia="黑体" w:cs="黑体"/>
          <w:color w:val="000000"/>
          <w:sz w:val="24"/>
          <w:szCs w:val="24"/>
        </w:rPr>
        <w:t>：</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）的投标、洽谈、执行等具体事务，签署全部有关文件、文书、协议、合同，本公司对被授权人在本项目中的签名承担全部法律责任。本授权书自开标大会之日起计算有效期为</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u w:val="single"/>
          <w:lang w:val="en-US" w:eastAsia="zh-CN"/>
        </w:rPr>
        <w:t xml:space="preserve">    </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天。</w:t>
      </w:r>
    </w:p>
    <w:p w14:paraId="298C5958">
      <w:pPr>
        <w:pStyle w:val="13"/>
        <w:spacing w:line="50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委托单位：    （公章）                  法定代表人（签字或盖章）：</w:t>
      </w:r>
    </w:p>
    <w:p w14:paraId="6EFCFA69">
      <w:pPr>
        <w:pStyle w:val="13"/>
        <w:spacing w:line="500" w:lineRule="exact"/>
        <w:ind w:firstLine="480" w:firstLineChars="200"/>
        <w:rPr>
          <w:rFonts w:hint="eastAsia" w:ascii="黑体" w:hAnsi="黑体" w:eastAsia="黑体" w:cs="黑体"/>
          <w:color w:val="000000"/>
          <w:sz w:val="24"/>
          <w:szCs w:val="24"/>
        </w:rPr>
      </w:pPr>
      <w:r>
        <w:rPr>
          <w:rFonts w:hint="eastAsia" w:ascii="黑体" w:hAnsi="黑体" w:eastAsia="黑体" w:cs="黑体"/>
          <w:color w:val="000000"/>
          <w:sz w:val="24"/>
          <w:szCs w:val="24"/>
        </w:rPr>
        <w:t>签发日期：</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年</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月</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日</w:t>
      </w:r>
    </w:p>
    <w:p w14:paraId="03126412">
      <w:pPr>
        <w:pStyle w:val="13"/>
        <w:spacing w:line="500" w:lineRule="exact"/>
        <w:ind w:firstLine="480" w:firstLineChars="200"/>
        <w:rPr>
          <w:rFonts w:hint="eastAsia" w:ascii="黑体" w:hAnsi="黑体" w:eastAsia="黑体" w:cs="黑体"/>
          <w:strike/>
          <w:color w:val="000000"/>
          <w:sz w:val="24"/>
          <w:szCs w:val="24"/>
          <w:u w:val="single"/>
          <w:lang w:val="en-US" w:eastAsia="zh-CN"/>
        </w:rPr>
      </w:pPr>
      <w:r>
        <w:rPr>
          <w:rFonts w:hint="eastAsia" w:ascii="黑体" w:hAnsi="黑体" w:eastAsia="黑体" w:cs="黑体"/>
          <w:color w:val="000000"/>
          <w:sz w:val="24"/>
          <w:szCs w:val="24"/>
        </w:rPr>
        <w:t>附：被授权人姓名：</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性别：</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职务：</w:t>
      </w:r>
      <w:r>
        <w:rPr>
          <w:rFonts w:hint="eastAsia" w:ascii="黑体" w:hAnsi="黑体" w:eastAsia="黑体" w:cs="黑体"/>
          <w:color w:val="000000"/>
          <w:sz w:val="24"/>
          <w:szCs w:val="24"/>
          <w:u w:val="single"/>
          <w:lang w:val="en-US" w:eastAsia="zh-CN"/>
        </w:rPr>
        <w:t xml:space="preserve">            </w:t>
      </w:r>
    </w:p>
    <w:p w14:paraId="52199137">
      <w:pPr>
        <w:pStyle w:val="13"/>
        <w:spacing w:line="500" w:lineRule="exact"/>
        <w:ind w:firstLine="960" w:firstLineChars="400"/>
        <w:rPr>
          <w:rFonts w:hint="eastAsia" w:ascii="黑体" w:hAnsi="黑体" w:eastAsia="黑体" w:cs="黑体"/>
          <w:color w:val="000000"/>
          <w:sz w:val="24"/>
          <w:szCs w:val="24"/>
          <w:u w:val="single"/>
        </w:rPr>
      </w:pPr>
      <w:r>
        <w:rPr>
          <w:rFonts w:hint="eastAsia" w:ascii="黑体" w:hAnsi="黑体" w:eastAsia="黑体" w:cs="黑体"/>
          <w:color w:val="000000"/>
          <w:sz w:val="24"/>
          <w:szCs w:val="24"/>
        </w:rPr>
        <w:t>联系地址：</w:t>
      </w:r>
      <w:r>
        <w:rPr>
          <w:rFonts w:hint="eastAsia" w:ascii="黑体" w:hAnsi="黑体" w:eastAsia="黑体" w:cs="黑体"/>
          <w:color w:val="000000"/>
          <w:sz w:val="24"/>
          <w:szCs w:val="24"/>
          <w:u w:val="single"/>
          <w:lang w:val="en-US" w:eastAsia="zh-CN"/>
        </w:rPr>
        <w:t xml:space="preserve">               </w:t>
      </w:r>
      <w:r>
        <w:rPr>
          <w:rFonts w:hint="eastAsia" w:ascii="黑体" w:hAnsi="黑体" w:eastAsia="黑体" w:cs="黑体"/>
          <w:color w:val="000000"/>
          <w:sz w:val="24"/>
          <w:szCs w:val="24"/>
        </w:rPr>
        <w:t>联系电话：</w:t>
      </w:r>
      <w:r>
        <w:rPr>
          <w:rFonts w:hint="eastAsia" w:ascii="黑体" w:hAnsi="黑体" w:eastAsia="黑体" w:cs="黑体"/>
          <w:color w:val="000000"/>
          <w:sz w:val="24"/>
          <w:szCs w:val="24"/>
          <w:u w:val="single"/>
        </w:rPr>
        <w:t xml:space="preserve">                  </w:t>
      </w:r>
    </w:p>
    <w:p w14:paraId="4A104E9F">
      <w:pPr>
        <w:pStyle w:val="13"/>
        <w:spacing w:line="500" w:lineRule="exact"/>
        <w:ind w:firstLine="2760" w:firstLineChars="1150"/>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法定代表人/被授权人身份证</w:t>
      </w:r>
      <w:r>
        <w:rPr>
          <w:rFonts w:hint="eastAsia" w:ascii="黑体" w:hAnsi="黑体" w:eastAsia="黑体" w:cs="黑体"/>
          <w:color w:val="000000"/>
          <w:sz w:val="24"/>
          <w:szCs w:val="24"/>
          <w:lang w:val="en-US" w:eastAsia="zh-CN"/>
        </w:rPr>
        <w:t>复印</w:t>
      </w:r>
      <w:r>
        <w:rPr>
          <w:rFonts w:hint="eastAsia" w:ascii="黑体" w:hAnsi="黑体" w:eastAsia="黑体" w:cs="黑体"/>
          <w:color w:val="000000"/>
          <w:sz w:val="24"/>
          <w:szCs w:val="24"/>
          <w:lang w:eastAsia="zh-CN"/>
        </w:rPr>
        <w:t>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60"/>
        <w:gridCol w:w="4260"/>
      </w:tblGrid>
      <w:tr w14:paraId="7CFE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4261" w:hRule="atLeast"/>
          <w:jc w:val="center"/>
        </w:trPr>
        <w:tc>
          <w:tcPr>
            <w:tcW w:w="4260" w:type="dxa"/>
            <w:shd w:val="clear" w:color="auto" w:fill="E0E0E0"/>
            <w:noWrap w:val="0"/>
            <w:vAlign w:val="center"/>
          </w:tcPr>
          <w:p w14:paraId="487CCBFC">
            <w:pPr>
              <w:pStyle w:val="13"/>
              <w:snapToGrid w:val="0"/>
              <w:spacing w:line="500" w:lineRule="exact"/>
              <w:jc w:val="center"/>
              <w:rPr>
                <w:rFonts w:hint="eastAsia" w:ascii="黑体" w:hAnsi="黑体" w:eastAsia="黑体" w:cs="黑体"/>
                <w:color w:val="000000"/>
                <w:sz w:val="24"/>
                <w:szCs w:val="24"/>
                <w:shd w:val="pct10" w:color="auto" w:fill="FFFFFF"/>
                <w:lang w:eastAsia="zh-CN"/>
              </w:rPr>
            </w:pPr>
            <w:r>
              <w:rPr>
                <w:rFonts w:hint="eastAsia" w:ascii="黑体" w:hAnsi="黑体" w:eastAsia="黑体" w:cs="黑体"/>
                <w:color w:val="000000"/>
                <w:sz w:val="24"/>
                <w:szCs w:val="24"/>
                <w:shd w:val="pct10" w:color="auto" w:fill="FFFFFF"/>
              </w:rPr>
              <w:t>法定代表人身份证</w:t>
            </w:r>
            <w:r>
              <w:rPr>
                <w:rFonts w:hint="eastAsia" w:ascii="黑体" w:hAnsi="黑体" w:eastAsia="黑体" w:cs="黑体"/>
                <w:color w:val="000000"/>
                <w:sz w:val="24"/>
                <w:szCs w:val="24"/>
                <w:shd w:val="pct10" w:color="auto" w:fill="FFFFFF"/>
                <w:lang w:val="en-US" w:eastAsia="zh-CN"/>
              </w:rPr>
              <w:t>复印</w:t>
            </w:r>
            <w:r>
              <w:rPr>
                <w:rFonts w:hint="eastAsia" w:ascii="黑体" w:hAnsi="黑体" w:eastAsia="黑体" w:cs="黑体"/>
                <w:color w:val="000000"/>
                <w:sz w:val="24"/>
                <w:szCs w:val="24"/>
                <w:shd w:val="pct10" w:color="auto" w:fill="FFFFFF"/>
                <w:lang w:eastAsia="zh-CN"/>
              </w:rPr>
              <w:t>件</w:t>
            </w:r>
          </w:p>
        </w:tc>
        <w:tc>
          <w:tcPr>
            <w:tcW w:w="4260" w:type="dxa"/>
            <w:shd w:val="clear" w:color="auto" w:fill="E0E0E0"/>
            <w:noWrap w:val="0"/>
            <w:vAlign w:val="center"/>
          </w:tcPr>
          <w:p w14:paraId="01DEF403">
            <w:pPr>
              <w:pStyle w:val="13"/>
              <w:snapToGrid w:val="0"/>
              <w:spacing w:line="500" w:lineRule="exact"/>
              <w:jc w:val="center"/>
              <w:rPr>
                <w:rFonts w:hint="eastAsia" w:ascii="黑体" w:hAnsi="黑体" w:eastAsia="黑体" w:cs="黑体"/>
                <w:color w:val="000000"/>
                <w:sz w:val="24"/>
                <w:szCs w:val="24"/>
                <w:shd w:val="pct10" w:color="auto" w:fill="FFFFFF"/>
                <w:lang w:eastAsia="zh-CN"/>
              </w:rPr>
            </w:pPr>
            <w:r>
              <w:rPr>
                <w:rFonts w:hint="eastAsia" w:ascii="黑体" w:hAnsi="黑体" w:eastAsia="黑体" w:cs="黑体"/>
                <w:color w:val="000000"/>
                <w:sz w:val="24"/>
                <w:szCs w:val="24"/>
                <w:shd w:val="pct10" w:color="auto" w:fill="FFFFFF"/>
              </w:rPr>
              <w:t>被授权人身份证</w:t>
            </w:r>
            <w:r>
              <w:rPr>
                <w:rFonts w:hint="eastAsia" w:ascii="黑体" w:hAnsi="黑体" w:eastAsia="黑体" w:cs="黑体"/>
                <w:color w:val="000000"/>
                <w:sz w:val="24"/>
                <w:szCs w:val="24"/>
                <w:shd w:val="pct10" w:color="auto" w:fill="FFFFFF"/>
                <w:lang w:val="en-US" w:eastAsia="zh-CN"/>
              </w:rPr>
              <w:t>复印</w:t>
            </w:r>
            <w:r>
              <w:rPr>
                <w:rFonts w:hint="eastAsia" w:ascii="黑体" w:hAnsi="黑体" w:eastAsia="黑体" w:cs="黑体"/>
                <w:color w:val="000000"/>
                <w:sz w:val="24"/>
                <w:szCs w:val="24"/>
                <w:shd w:val="pct10" w:color="auto" w:fill="FFFFFF"/>
                <w:lang w:eastAsia="zh-CN"/>
              </w:rPr>
              <w:t>件</w:t>
            </w:r>
          </w:p>
        </w:tc>
      </w:tr>
    </w:tbl>
    <w:p w14:paraId="4FEB40C9">
      <w:pPr>
        <w:numPr>
          <w:ilvl w:val="0"/>
          <w:numId w:val="0"/>
        </w:numPr>
        <w:ind w:firstLine="2891" w:firstLineChars="900"/>
        <w:jc w:val="both"/>
        <w:rPr>
          <w:rFonts w:hint="eastAsia" w:ascii="黑体" w:hAnsi="黑体" w:eastAsia="黑体" w:cs="黑体"/>
          <w:b/>
          <w:bCs/>
          <w:color w:val="auto"/>
          <w:sz w:val="32"/>
          <w:szCs w:val="32"/>
          <w:lang w:val="en-US" w:eastAsia="zh-CN"/>
        </w:rPr>
      </w:pPr>
    </w:p>
    <w:p w14:paraId="029DAFED">
      <w:pPr>
        <w:numPr>
          <w:ilvl w:val="0"/>
          <w:numId w:val="0"/>
        </w:numPr>
        <w:ind w:firstLine="2891" w:firstLineChars="900"/>
        <w:jc w:val="both"/>
        <w:rPr>
          <w:rFonts w:hint="eastAsia" w:ascii="黑体" w:hAnsi="黑体" w:eastAsia="黑体" w:cs="黑体"/>
          <w:b/>
          <w:bCs/>
          <w:color w:val="auto"/>
          <w:sz w:val="32"/>
          <w:szCs w:val="32"/>
          <w:lang w:val="en-US" w:eastAsia="zh-CN"/>
        </w:rPr>
      </w:pPr>
    </w:p>
    <w:p w14:paraId="2C8DF613">
      <w:pPr>
        <w:numPr>
          <w:ilvl w:val="0"/>
          <w:numId w:val="0"/>
        </w:numPr>
        <w:ind w:firstLine="2891" w:firstLineChars="900"/>
        <w:jc w:val="both"/>
        <w:rPr>
          <w:rFonts w:hint="eastAsia" w:ascii="黑体" w:hAnsi="黑体" w:eastAsia="黑体" w:cs="黑体"/>
          <w:b/>
          <w:bCs/>
          <w:color w:val="auto"/>
          <w:sz w:val="32"/>
          <w:szCs w:val="32"/>
          <w:lang w:val="en-US" w:eastAsia="zh-CN"/>
        </w:rPr>
      </w:pPr>
    </w:p>
    <w:p w14:paraId="76210162">
      <w:pPr>
        <w:numPr>
          <w:ilvl w:val="0"/>
          <w:numId w:val="0"/>
        </w:numPr>
        <w:ind w:firstLine="2891" w:firstLineChars="900"/>
        <w:jc w:val="both"/>
        <w:rPr>
          <w:rFonts w:hint="eastAsia" w:ascii="黑体" w:hAnsi="黑体" w:eastAsia="黑体" w:cs="黑体"/>
          <w:b/>
          <w:bCs/>
          <w:color w:val="auto"/>
          <w:sz w:val="32"/>
          <w:szCs w:val="32"/>
          <w:lang w:val="en-US" w:eastAsia="zh-CN"/>
        </w:rPr>
      </w:pPr>
    </w:p>
    <w:p w14:paraId="05ACD433">
      <w:pPr>
        <w:keepNext w:val="0"/>
        <w:keepLines w:val="0"/>
        <w:pageBreakBefore w:val="0"/>
        <w:widowControl/>
        <w:kinsoku w:val="0"/>
        <w:wordWrap/>
        <w:overflowPunct/>
        <w:topLinePunct w:val="0"/>
        <w:autoSpaceDE w:val="0"/>
        <w:autoSpaceDN w:val="0"/>
        <w:bidi w:val="0"/>
        <w:adjustRightInd w:val="0"/>
        <w:snapToGrid w:val="0"/>
        <w:spacing w:before="1" w:line="360" w:lineRule="auto"/>
        <w:ind w:left="3363"/>
        <w:textAlignment w:val="baseline"/>
        <w:rPr>
          <w:rFonts w:hint="eastAsia" w:ascii="黑体" w:hAnsi="黑体" w:eastAsia="黑体" w:cs="黑体"/>
          <w:spacing w:val="0"/>
          <w:position w:val="0"/>
          <w:sz w:val="30"/>
          <w:szCs w:val="30"/>
          <w:lang w:val="en-US" w:eastAsia="zh-CN"/>
          <w14:textOutline w14:w="5103" w14:cap="sq" w14:cmpd="sng">
            <w14:solidFill>
              <w14:srgbClr w14:val="000000"/>
            </w14:solidFill>
            <w14:prstDash w14:val="solid"/>
            <w14:bevel/>
          </w14:textOutline>
        </w:rPr>
      </w:pPr>
    </w:p>
    <w:p w14:paraId="7F22842A">
      <w:pPr>
        <w:pStyle w:val="2"/>
        <w:rPr>
          <w:rFonts w:hint="eastAsia"/>
          <w:lang w:val="en-US" w:eastAsia="zh-CN"/>
        </w:rPr>
      </w:pPr>
    </w:p>
    <w:p w14:paraId="474FDBC4">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hint="eastAsia" w:ascii="黑体" w:hAnsi="黑体" w:eastAsia="黑体" w:cs="黑体"/>
          <w:spacing w:val="0"/>
          <w:position w:val="0"/>
          <w:sz w:val="30"/>
          <w:szCs w:val="30"/>
          <w:lang w:val="en-US" w:eastAsia="zh-CN"/>
          <w14:textOutline w14:w="5103" w14:cap="sq" w14:cmpd="sng">
            <w14:solidFill>
              <w14:srgbClr w14:val="000000"/>
            </w14:solidFill>
            <w14:prstDash w14:val="solid"/>
            <w14:bevel/>
          </w14:textOutline>
        </w:rPr>
      </w:pPr>
      <w:r>
        <w:rPr>
          <w:rFonts w:hint="eastAsia" w:ascii="黑体" w:hAnsi="黑体" w:eastAsia="黑体" w:cs="黑体"/>
          <w:spacing w:val="0"/>
          <w:position w:val="0"/>
          <w:sz w:val="28"/>
          <w:szCs w:val="28"/>
          <w:lang w:val="en-US" w:eastAsia="zh-CN"/>
          <w14:textOutline w14:w="5103" w14:cap="sq" w14:cmpd="sng">
            <w14:solidFill>
              <w14:srgbClr w14:val="000000"/>
            </w14:solidFill>
            <w14:prstDash w14:val="solid"/>
            <w14:bevel/>
          </w14:textOutline>
        </w:rPr>
        <w:t xml:space="preserve">附件3    </w:t>
      </w:r>
      <w:r>
        <w:rPr>
          <w:rFonts w:hint="eastAsia" w:ascii="黑体" w:hAnsi="黑体" w:eastAsia="黑体" w:cs="黑体"/>
          <w:spacing w:val="0"/>
          <w:position w:val="0"/>
          <w:sz w:val="30"/>
          <w:szCs w:val="30"/>
          <w:lang w:val="en-US" w:eastAsia="zh-CN"/>
          <w14:textOutline w14:w="5103" w14:cap="sq" w14:cmpd="sng">
            <w14:solidFill>
              <w14:srgbClr w14:val="000000"/>
            </w14:solidFill>
            <w14:prstDash w14:val="solid"/>
            <w14:bevel/>
          </w14:textOutline>
        </w:rPr>
        <w:t xml:space="preserve">               </w:t>
      </w:r>
    </w:p>
    <w:p w14:paraId="604E6E4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3300" w:firstLineChars="1100"/>
        <w:textAlignment w:val="baseline"/>
        <w:rPr>
          <w:rFonts w:hint="eastAsia" w:ascii="黑体" w:hAnsi="黑体" w:eastAsia="黑体" w:cs="黑体"/>
          <w:spacing w:val="0"/>
          <w:position w:val="0"/>
          <w:sz w:val="30"/>
          <w:szCs w:val="30"/>
        </w:rPr>
      </w:pPr>
      <w:r>
        <w:rPr>
          <w:rFonts w:hint="eastAsia" w:ascii="黑体" w:hAnsi="黑体" w:eastAsia="黑体" w:cs="黑体"/>
          <w:spacing w:val="0"/>
          <w:position w:val="0"/>
          <w:sz w:val="30"/>
          <w:szCs w:val="30"/>
          <w:lang w:val="en-US" w:eastAsia="zh-CN"/>
          <w14:textOutline w14:w="5103" w14:cap="sq" w14:cmpd="sng">
            <w14:solidFill>
              <w14:srgbClr w14:val="000000"/>
            </w14:solidFill>
            <w14:prstDash w14:val="solid"/>
            <w14:bevel/>
          </w14:textOutline>
        </w:rPr>
        <w:t>小微</w:t>
      </w:r>
      <w:r>
        <w:rPr>
          <w:rFonts w:hint="eastAsia" w:ascii="黑体" w:hAnsi="黑体" w:eastAsia="黑体" w:cs="黑体"/>
          <w:spacing w:val="0"/>
          <w:position w:val="0"/>
          <w:sz w:val="30"/>
          <w:szCs w:val="30"/>
          <w14:textOutline w14:w="5103" w14:cap="sq" w14:cmpd="sng">
            <w14:solidFill>
              <w14:srgbClr w14:val="000000"/>
            </w14:solidFill>
            <w14:prstDash w14:val="solid"/>
            <w14:bevel/>
          </w14:textOutline>
        </w:rPr>
        <w:t>企业声明函</w:t>
      </w:r>
      <w:r>
        <w:rPr>
          <w:rFonts w:hint="eastAsia" w:ascii="黑体" w:hAnsi="黑体" w:eastAsia="黑体" w:cs="黑体"/>
          <w:spacing w:val="0"/>
          <w:position w:val="0"/>
          <w:sz w:val="30"/>
          <w:szCs w:val="30"/>
        </w:rPr>
        <w:t xml:space="preserve"> </w:t>
      </w:r>
      <w:r>
        <w:rPr>
          <w:rFonts w:hint="eastAsia" w:ascii="黑体" w:hAnsi="黑体" w:eastAsia="黑体" w:cs="黑体"/>
          <w:spacing w:val="0"/>
          <w:position w:val="0"/>
          <w:sz w:val="30"/>
          <w:szCs w:val="30"/>
          <w14:textOutline w14:w="5103" w14:cap="sq" w14:cmpd="sng">
            <w14:solidFill>
              <w14:srgbClr w14:val="000000"/>
            </w14:solidFill>
            <w14:prstDash w14:val="solid"/>
            <w14:bevel/>
          </w14:textOutline>
        </w:rPr>
        <w:t>(服务)</w:t>
      </w:r>
    </w:p>
    <w:p w14:paraId="78F42529">
      <w:pPr>
        <w:keepNext w:val="0"/>
        <w:keepLines w:val="0"/>
        <w:pageBreakBefore w:val="0"/>
        <w:widowControl/>
        <w:kinsoku w:val="0"/>
        <w:wordWrap/>
        <w:overflowPunct/>
        <w:topLinePunct w:val="0"/>
        <w:autoSpaceDE w:val="0"/>
        <w:autoSpaceDN w:val="0"/>
        <w:bidi w:val="0"/>
        <w:adjustRightInd w:val="0"/>
        <w:snapToGrid w:val="0"/>
        <w:spacing w:before="230" w:line="360" w:lineRule="auto"/>
        <w:ind w:left="1" w:right="67" w:firstLine="479"/>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本公司郑重声明，根据《政府采购促进中小企业发展管理办法》(财库﹝2020﹞46号) 的规定，本公司参加</w:t>
      </w:r>
      <w:r>
        <w:rPr>
          <w:rFonts w:hint="eastAsia" w:ascii="黑体" w:hAnsi="黑体" w:eastAsia="黑体" w:cs="黑体"/>
          <w:spacing w:val="0"/>
          <w:position w:val="0"/>
          <w:sz w:val="24"/>
          <w:szCs w:val="24"/>
          <w:u w:val="single" w:color="auto"/>
        </w:rPr>
        <w:t xml:space="preserve"> (单位名称) </w:t>
      </w:r>
      <w:r>
        <w:rPr>
          <w:rFonts w:hint="eastAsia" w:ascii="黑体" w:hAnsi="黑体" w:eastAsia="黑体" w:cs="黑体"/>
          <w:spacing w:val="0"/>
          <w:position w:val="0"/>
          <w:sz w:val="24"/>
          <w:szCs w:val="24"/>
        </w:rPr>
        <w:t>的</w:t>
      </w:r>
      <w:r>
        <w:rPr>
          <w:rFonts w:hint="eastAsia" w:ascii="黑体" w:hAnsi="黑体" w:eastAsia="黑体" w:cs="黑体"/>
          <w:spacing w:val="0"/>
          <w:position w:val="0"/>
          <w:sz w:val="24"/>
          <w:szCs w:val="24"/>
          <w:u w:val="single" w:color="auto"/>
        </w:rPr>
        <w:t xml:space="preserve"> (项目名称)</w:t>
      </w:r>
      <w:r>
        <w:rPr>
          <w:rFonts w:hint="eastAsia" w:ascii="黑体" w:hAnsi="黑体" w:eastAsia="黑体" w:cs="黑体"/>
          <w:spacing w:val="0"/>
          <w:position w:val="0"/>
          <w:sz w:val="24"/>
          <w:szCs w:val="24"/>
          <w:u w:val="single" w:color="auto"/>
          <w:lang w:eastAsia="zh-CN"/>
        </w:rPr>
        <w:t>（</w:t>
      </w:r>
      <w:r>
        <w:rPr>
          <w:rFonts w:hint="eastAsia" w:ascii="黑体" w:hAnsi="黑体" w:eastAsia="黑体" w:cs="黑体"/>
          <w:spacing w:val="0"/>
          <w:position w:val="0"/>
          <w:sz w:val="24"/>
          <w:szCs w:val="24"/>
          <w:u w:val="single" w:color="auto"/>
          <w:lang w:val="en-US" w:eastAsia="zh-CN"/>
        </w:rPr>
        <w:t>包名称</w:t>
      </w:r>
      <w:r>
        <w:rPr>
          <w:rFonts w:hint="eastAsia" w:ascii="黑体" w:hAnsi="黑体" w:eastAsia="黑体" w:cs="黑体"/>
          <w:spacing w:val="0"/>
          <w:position w:val="0"/>
          <w:sz w:val="24"/>
          <w:szCs w:val="24"/>
          <w:u w:val="single" w:color="auto"/>
          <w:lang w:eastAsia="zh-CN"/>
        </w:rPr>
        <w:t>）</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采购活动，服务全部由符合政策要求的</w:t>
      </w:r>
      <w:r>
        <w:rPr>
          <w:rFonts w:hint="eastAsia" w:ascii="黑体" w:hAnsi="黑体" w:eastAsia="黑体" w:cs="黑体"/>
          <w:spacing w:val="0"/>
          <w:position w:val="0"/>
          <w:sz w:val="24"/>
          <w:szCs w:val="24"/>
          <w:lang w:val="en-US" w:eastAsia="zh-CN"/>
        </w:rPr>
        <w:t>小微</w:t>
      </w:r>
      <w:r>
        <w:rPr>
          <w:rFonts w:hint="eastAsia" w:ascii="黑体" w:hAnsi="黑体" w:eastAsia="黑体" w:cs="黑体"/>
          <w:spacing w:val="0"/>
          <w:position w:val="0"/>
          <w:sz w:val="24"/>
          <w:szCs w:val="24"/>
        </w:rPr>
        <w:t>企业承接。相关企业的具体情况如下：</w:t>
      </w:r>
    </w:p>
    <w:p w14:paraId="28DFF069">
      <w:pPr>
        <w:keepNext w:val="0"/>
        <w:keepLines w:val="0"/>
        <w:pageBreakBefore w:val="0"/>
        <w:widowControl/>
        <w:kinsoku w:val="0"/>
        <w:wordWrap/>
        <w:overflowPunct/>
        <w:topLinePunct w:val="0"/>
        <w:autoSpaceDE w:val="0"/>
        <w:autoSpaceDN w:val="0"/>
        <w:bidi w:val="0"/>
        <w:adjustRightInd w:val="0"/>
        <w:snapToGrid w:val="0"/>
        <w:spacing w:before="2" w:line="360" w:lineRule="auto"/>
        <w:ind w:firstLine="491"/>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 xml:space="preserve">1. </w:t>
      </w:r>
      <w:r>
        <w:rPr>
          <w:rFonts w:hint="eastAsia" w:ascii="黑体" w:hAnsi="黑体" w:eastAsia="黑体" w:cs="黑体"/>
          <w:spacing w:val="0"/>
          <w:position w:val="0"/>
          <w:sz w:val="24"/>
          <w:szCs w:val="24"/>
          <w:u w:val="single" w:color="auto"/>
        </w:rPr>
        <w:t xml:space="preserve"> (标的名称) </w:t>
      </w:r>
      <w:r>
        <w:rPr>
          <w:rFonts w:hint="eastAsia" w:ascii="黑体" w:hAnsi="黑体" w:eastAsia="黑体" w:cs="黑体"/>
          <w:spacing w:val="0"/>
          <w:position w:val="0"/>
          <w:sz w:val="24"/>
          <w:szCs w:val="24"/>
        </w:rPr>
        <w:t>，属于</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u w:val="single" w:color="auto"/>
          <w:lang w:val="en-US" w:eastAsia="zh-CN"/>
        </w:rPr>
        <w:t>其他未列明行业</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 xml:space="preserve"> ；承建 (承接) 企业为</w:t>
      </w:r>
      <w:r>
        <w:rPr>
          <w:rFonts w:hint="eastAsia" w:ascii="黑体" w:hAnsi="黑体" w:eastAsia="黑体" w:cs="黑体"/>
          <w:spacing w:val="0"/>
          <w:position w:val="0"/>
          <w:sz w:val="24"/>
          <w:szCs w:val="24"/>
          <w:u w:val="single" w:color="auto"/>
        </w:rPr>
        <w:t xml:space="preserve"> (企业名称)</w:t>
      </w:r>
      <w:r>
        <w:rPr>
          <w:rFonts w:hint="eastAsia" w:ascii="黑体" w:hAnsi="黑体" w:eastAsia="黑体" w:cs="黑体"/>
          <w:spacing w:val="0"/>
          <w:position w:val="0"/>
          <w:sz w:val="24"/>
          <w:szCs w:val="24"/>
        </w:rPr>
        <w:t>， 从业人员</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 xml:space="preserve"> 人，营业收入为</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 xml:space="preserve"> 万元，资产总额为</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 xml:space="preserve"> 万元，属于</w:t>
      </w:r>
      <w:r>
        <w:rPr>
          <w:rFonts w:hint="eastAsia" w:ascii="黑体" w:hAnsi="黑体" w:eastAsia="黑体" w:cs="黑体"/>
          <w:spacing w:val="0"/>
          <w:position w:val="0"/>
          <w:sz w:val="24"/>
          <w:szCs w:val="24"/>
          <w:u w:val="single" w:color="auto"/>
        </w:rPr>
        <w:t xml:space="preserve"> (小型企业、微型企业) </w:t>
      </w:r>
      <w:r>
        <w:rPr>
          <w:rFonts w:hint="eastAsia" w:ascii="黑体" w:hAnsi="黑体" w:eastAsia="黑体" w:cs="黑体"/>
          <w:spacing w:val="0"/>
          <w:position w:val="0"/>
          <w:sz w:val="24"/>
          <w:szCs w:val="24"/>
        </w:rPr>
        <w:t>；</w:t>
      </w:r>
    </w:p>
    <w:p w14:paraId="0C5AC0C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8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w:t>
      </w:r>
    </w:p>
    <w:p w14:paraId="678AB0A9">
      <w:pPr>
        <w:keepNext w:val="0"/>
        <w:keepLines w:val="0"/>
        <w:pageBreakBefore w:val="0"/>
        <w:widowControl/>
        <w:kinsoku w:val="0"/>
        <w:wordWrap/>
        <w:overflowPunct/>
        <w:topLinePunct w:val="0"/>
        <w:autoSpaceDE w:val="0"/>
        <w:autoSpaceDN w:val="0"/>
        <w:bidi w:val="0"/>
        <w:adjustRightInd w:val="0"/>
        <w:snapToGrid w:val="0"/>
        <w:spacing w:before="196" w:line="360" w:lineRule="auto"/>
        <w:ind w:right="67" w:firstLine="504"/>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以上企业，不属于大企业的分支机构，不存在控股股东为大企业的情形，也不存在与大企 业的负责人为同一人的情形。</w:t>
      </w:r>
    </w:p>
    <w:p w14:paraId="7F13A049">
      <w:pPr>
        <w:keepNext w:val="0"/>
        <w:keepLines w:val="0"/>
        <w:pageBreakBefore w:val="0"/>
        <w:widowControl/>
        <w:kinsoku w:val="0"/>
        <w:wordWrap/>
        <w:overflowPunct/>
        <w:topLinePunct w:val="0"/>
        <w:autoSpaceDE w:val="0"/>
        <w:autoSpaceDN w:val="0"/>
        <w:bidi w:val="0"/>
        <w:adjustRightInd w:val="0"/>
        <w:snapToGrid w:val="0"/>
        <w:spacing w:before="1" w:line="360" w:lineRule="auto"/>
        <w:ind w:left="481"/>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本企业对上述声明内容的真实性负责。如有虚假，将依法承担相应责任。</w:t>
      </w:r>
    </w:p>
    <w:p w14:paraId="5A35D3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7E1849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732C3F4C">
      <w:pPr>
        <w:pStyle w:val="14"/>
        <w:rPr>
          <w:rFonts w:hint="eastAsia"/>
        </w:rPr>
      </w:pPr>
    </w:p>
    <w:p w14:paraId="087BA3CA">
      <w:pPr>
        <w:spacing w:before="82" w:line="219" w:lineRule="auto"/>
        <w:ind w:left="8" w:firstLine="2106" w:firstLineChars="900"/>
        <w:rPr>
          <w:rFonts w:hint="eastAsia" w:ascii="黑体" w:hAnsi="黑体" w:eastAsia="黑体" w:cs="黑体"/>
          <w:sz w:val="24"/>
          <w:szCs w:val="24"/>
        </w:rPr>
      </w:pPr>
      <w:r>
        <w:rPr>
          <w:rFonts w:hint="eastAsia" w:ascii="黑体" w:hAnsi="黑体" w:eastAsia="黑体" w:cs="黑体"/>
          <w:spacing w:val="-3"/>
          <w:sz w:val="24"/>
          <w:szCs w:val="24"/>
          <w:lang w:val="en-US" w:eastAsia="zh-CN"/>
        </w:rPr>
        <w:t>投标单位名称</w:t>
      </w:r>
      <w:r>
        <w:rPr>
          <w:rFonts w:hint="eastAsia" w:ascii="黑体" w:hAnsi="黑体" w:eastAsia="黑体" w:cs="黑体"/>
          <w:spacing w:val="-3"/>
          <w:sz w:val="24"/>
          <w:szCs w:val="24"/>
        </w:rPr>
        <w:t>：</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rPr>
        <w:t xml:space="preserve">  (加盖公章)</w:t>
      </w:r>
    </w:p>
    <w:p w14:paraId="3E049EB5">
      <w:pPr>
        <w:spacing w:before="222" w:line="219" w:lineRule="auto"/>
        <w:ind w:left="8" w:firstLine="2120" w:firstLineChars="1000"/>
        <w:rPr>
          <w:rFonts w:hint="eastAsia" w:ascii="黑体" w:hAnsi="黑体" w:eastAsia="黑体" w:cs="黑体"/>
          <w:sz w:val="24"/>
          <w:szCs w:val="24"/>
        </w:rPr>
      </w:pPr>
      <w:r>
        <w:rPr>
          <w:rFonts w:hint="eastAsia" w:ascii="黑体" w:hAnsi="黑体" w:eastAsia="黑体" w:cs="黑体"/>
          <w:spacing w:val="-14"/>
          <w:sz w:val="24"/>
          <w:szCs w:val="24"/>
        </w:rPr>
        <w:t>法</w:t>
      </w:r>
      <w:r>
        <w:rPr>
          <w:rFonts w:hint="eastAsia" w:ascii="黑体" w:hAnsi="黑体" w:eastAsia="黑体" w:cs="黑体"/>
          <w:spacing w:val="-43"/>
          <w:sz w:val="24"/>
          <w:szCs w:val="24"/>
        </w:rPr>
        <w:t xml:space="preserve"> </w:t>
      </w:r>
      <w:r>
        <w:rPr>
          <w:rFonts w:hint="eastAsia" w:ascii="黑体" w:hAnsi="黑体" w:eastAsia="黑体" w:cs="黑体"/>
          <w:spacing w:val="-14"/>
          <w:sz w:val="24"/>
          <w:szCs w:val="24"/>
        </w:rPr>
        <w:t>定</w:t>
      </w:r>
      <w:r>
        <w:rPr>
          <w:rFonts w:hint="eastAsia" w:ascii="黑体" w:hAnsi="黑体" w:eastAsia="黑体" w:cs="黑体"/>
          <w:spacing w:val="-50"/>
          <w:sz w:val="24"/>
          <w:szCs w:val="24"/>
        </w:rPr>
        <w:t xml:space="preserve"> </w:t>
      </w:r>
      <w:r>
        <w:rPr>
          <w:rFonts w:hint="eastAsia" w:ascii="黑体" w:hAnsi="黑体" w:eastAsia="黑体" w:cs="黑体"/>
          <w:spacing w:val="-14"/>
          <w:sz w:val="24"/>
          <w:szCs w:val="24"/>
        </w:rPr>
        <w:t>代</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表</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0"/>
          <w:sz w:val="24"/>
          <w:szCs w:val="24"/>
        </w:rPr>
        <w:t xml:space="preserve"> </w:t>
      </w:r>
      <w:r>
        <w:rPr>
          <w:rFonts w:hint="eastAsia" w:ascii="黑体" w:hAnsi="黑体" w:eastAsia="黑体" w:cs="黑体"/>
          <w:spacing w:val="-14"/>
          <w:sz w:val="24"/>
          <w:szCs w:val="24"/>
        </w:rPr>
        <w:t>负</w:t>
      </w:r>
      <w:r>
        <w:rPr>
          <w:rFonts w:hint="eastAsia" w:ascii="黑体" w:hAnsi="黑体" w:eastAsia="黑体" w:cs="黑体"/>
          <w:spacing w:val="-41"/>
          <w:sz w:val="24"/>
          <w:szCs w:val="24"/>
        </w:rPr>
        <w:t xml:space="preserve"> </w:t>
      </w:r>
      <w:r>
        <w:rPr>
          <w:rFonts w:hint="eastAsia" w:ascii="黑体" w:hAnsi="黑体" w:eastAsia="黑体" w:cs="黑体"/>
          <w:spacing w:val="-14"/>
          <w:sz w:val="24"/>
          <w:szCs w:val="24"/>
        </w:rPr>
        <w:t>责</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被</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授</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权</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签</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字</w:t>
      </w:r>
      <w:r>
        <w:rPr>
          <w:rFonts w:hint="eastAsia" w:ascii="黑体" w:hAnsi="黑体" w:eastAsia="黑体" w:cs="黑体"/>
          <w:spacing w:val="-45"/>
          <w:sz w:val="24"/>
          <w:szCs w:val="24"/>
        </w:rPr>
        <w:t xml:space="preserve"> </w:t>
      </w:r>
      <w:r>
        <w:rPr>
          <w:rFonts w:hint="eastAsia" w:ascii="黑体" w:hAnsi="黑体" w:eastAsia="黑体" w:cs="黑体"/>
          <w:spacing w:val="-15"/>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5"/>
          <w:sz w:val="24"/>
          <w:szCs w:val="24"/>
        </w:rPr>
        <w:t>盖</w:t>
      </w:r>
      <w:r>
        <w:rPr>
          <w:rFonts w:hint="eastAsia" w:ascii="黑体" w:hAnsi="黑体" w:eastAsia="黑体" w:cs="黑体"/>
          <w:spacing w:val="-41"/>
          <w:sz w:val="24"/>
          <w:szCs w:val="24"/>
        </w:rPr>
        <w:t xml:space="preserve"> </w:t>
      </w:r>
      <w:r>
        <w:rPr>
          <w:rFonts w:hint="eastAsia" w:ascii="黑体" w:hAnsi="黑体" w:eastAsia="黑体" w:cs="黑体"/>
          <w:spacing w:val="-15"/>
          <w:sz w:val="24"/>
          <w:szCs w:val="24"/>
        </w:rPr>
        <w:t>章</w:t>
      </w:r>
      <w:r>
        <w:rPr>
          <w:rFonts w:hint="eastAsia" w:ascii="黑体" w:hAnsi="黑体" w:eastAsia="黑体" w:cs="黑体"/>
          <w:spacing w:val="-47"/>
          <w:sz w:val="24"/>
          <w:szCs w:val="24"/>
        </w:rPr>
        <w:t xml:space="preserve"> </w:t>
      </w:r>
      <w:r>
        <w:rPr>
          <w:rFonts w:hint="eastAsia" w:ascii="黑体" w:hAnsi="黑体" w:eastAsia="黑体" w:cs="黑体"/>
          <w:spacing w:val="-15"/>
          <w:sz w:val="24"/>
          <w:szCs w:val="24"/>
        </w:rPr>
        <w:t>) :</w:t>
      </w:r>
      <w:r>
        <w:rPr>
          <w:rFonts w:hint="eastAsia" w:ascii="黑体" w:hAnsi="黑体" w:eastAsia="黑体" w:cs="黑体"/>
          <w:spacing w:val="62"/>
          <w:sz w:val="24"/>
          <w:szCs w:val="24"/>
        </w:rPr>
        <w:t xml:space="preserve"> </w:t>
      </w:r>
      <w:r>
        <w:rPr>
          <w:rFonts w:hint="eastAsia" w:ascii="黑体" w:hAnsi="黑体" w:eastAsia="黑体" w:cs="黑体"/>
          <w:sz w:val="24"/>
          <w:szCs w:val="24"/>
          <w:u w:val="single" w:color="auto"/>
        </w:rPr>
        <w:t xml:space="preserve">             </w:t>
      </w:r>
    </w:p>
    <w:p w14:paraId="7C04FB8E">
      <w:pPr>
        <w:spacing w:before="184" w:line="184" w:lineRule="auto"/>
        <w:ind w:firstLine="2090" w:firstLineChars="1100"/>
        <w:rPr>
          <w:rFonts w:hint="eastAsia" w:ascii="黑体" w:hAnsi="黑体" w:eastAsia="黑体" w:cs="黑体"/>
          <w:sz w:val="24"/>
          <w:szCs w:val="24"/>
          <w:u w:val="single" w:color="auto"/>
          <w:lang w:val="en-US" w:eastAsia="zh-CN"/>
        </w:rPr>
      </w:pPr>
      <w:r>
        <w:rPr>
          <w:rFonts w:hint="eastAsia" w:ascii="黑体" w:hAnsi="黑体" w:eastAsia="黑体" w:cs="黑体"/>
          <w:spacing w:val="-25"/>
          <w:sz w:val="24"/>
          <w:szCs w:val="24"/>
        </w:rPr>
        <w:t>日</w:t>
      </w:r>
      <w:r>
        <w:rPr>
          <w:rFonts w:hint="eastAsia" w:ascii="黑体" w:hAnsi="黑体" w:eastAsia="黑体" w:cs="黑体"/>
          <w:spacing w:val="-23"/>
          <w:sz w:val="24"/>
          <w:szCs w:val="24"/>
        </w:rPr>
        <w:t xml:space="preserve"> </w:t>
      </w:r>
      <w:r>
        <w:rPr>
          <w:rFonts w:hint="eastAsia" w:ascii="黑体" w:hAnsi="黑体" w:eastAsia="黑体" w:cs="黑体"/>
          <w:spacing w:val="-23"/>
          <w:sz w:val="24"/>
          <w:szCs w:val="24"/>
          <w:lang w:val="en-US" w:eastAsia="zh-CN"/>
        </w:rPr>
        <w:t xml:space="preserve">  </w:t>
      </w:r>
      <w:r>
        <w:rPr>
          <w:rFonts w:hint="eastAsia" w:ascii="黑体" w:hAnsi="黑体" w:eastAsia="黑体" w:cs="黑体"/>
          <w:spacing w:val="-25"/>
          <w:sz w:val="24"/>
          <w:szCs w:val="24"/>
        </w:rPr>
        <w:t>期 ：</w:t>
      </w:r>
      <w:r>
        <w:rPr>
          <w:rFonts w:hint="eastAsia" w:ascii="黑体" w:hAnsi="黑体" w:eastAsia="黑体" w:cs="黑体"/>
          <w:spacing w:val="-63"/>
          <w:sz w:val="24"/>
          <w:szCs w:val="24"/>
        </w:rPr>
        <w:t xml:space="preserve"> </w:t>
      </w:r>
      <w:r>
        <w:rPr>
          <w:rFonts w:hint="eastAsia" w:ascii="黑体" w:hAnsi="黑体" w:eastAsia="黑体" w:cs="黑体"/>
          <w:sz w:val="24"/>
          <w:szCs w:val="24"/>
          <w:u w:val="single" w:color="auto"/>
        </w:rPr>
        <w:t xml:space="preserve">            </w:t>
      </w:r>
      <w:r>
        <w:rPr>
          <w:rFonts w:hint="eastAsia" w:ascii="黑体" w:hAnsi="黑体" w:eastAsia="黑体" w:cs="黑体"/>
          <w:sz w:val="24"/>
          <w:szCs w:val="24"/>
          <w:u w:val="single" w:color="auto"/>
          <w:lang w:val="en-US" w:eastAsia="zh-CN"/>
        </w:rPr>
        <w:t xml:space="preserve">  </w:t>
      </w:r>
    </w:p>
    <w:p w14:paraId="2E21F8B6">
      <w:pPr>
        <w:pStyle w:val="14"/>
        <w:rPr>
          <w:rFonts w:hint="eastAsia" w:ascii="黑体" w:hAnsi="黑体" w:eastAsia="黑体" w:cs="黑体"/>
          <w:sz w:val="24"/>
          <w:szCs w:val="24"/>
          <w:u w:val="single" w:color="auto"/>
          <w:lang w:val="en-US" w:eastAsia="zh-CN"/>
        </w:rPr>
      </w:pPr>
    </w:p>
    <w:p w14:paraId="1229EE3E">
      <w:pPr>
        <w:pStyle w:val="14"/>
        <w:rPr>
          <w:rFonts w:hint="eastAsia" w:ascii="黑体" w:hAnsi="黑体" w:eastAsia="黑体" w:cs="黑体"/>
          <w:sz w:val="24"/>
          <w:szCs w:val="24"/>
          <w:u w:val="single" w:color="auto"/>
          <w:lang w:val="en-US" w:eastAsia="zh-CN"/>
        </w:rPr>
      </w:pPr>
    </w:p>
    <w:p w14:paraId="356A4CB4">
      <w:pPr>
        <w:pStyle w:val="14"/>
        <w:rPr>
          <w:rFonts w:hint="eastAsia" w:ascii="黑体" w:hAnsi="黑体" w:eastAsia="黑体" w:cs="黑体"/>
          <w:sz w:val="24"/>
          <w:szCs w:val="24"/>
          <w:u w:val="single" w:color="auto"/>
          <w:lang w:val="en-US" w:eastAsia="zh-CN"/>
        </w:rPr>
      </w:pPr>
    </w:p>
    <w:p w14:paraId="47E2CDDE">
      <w:pPr>
        <w:keepNext w:val="0"/>
        <w:keepLines w:val="0"/>
        <w:pageBreakBefore w:val="0"/>
        <w:widowControl/>
        <w:kinsoku w:val="0"/>
        <w:wordWrap/>
        <w:overflowPunct/>
        <w:topLinePunct w:val="0"/>
        <w:autoSpaceDE w:val="0"/>
        <w:autoSpaceDN w:val="0"/>
        <w:bidi w:val="0"/>
        <w:adjustRightInd w:val="0"/>
        <w:snapToGrid w:val="0"/>
        <w:spacing w:before="73" w:line="360" w:lineRule="auto"/>
        <w:textAlignment w:val="baseline"/>
        <w:rPr>
          <w:rFonts w:hint="eastAsia" w:ascii="黑体" w:hAnsi="黑体" w:eastAsia="黑体" w:cs="黑体"/>
          <w:spacing w:val="0"/>
          <w:position w:val="0"/>
          <w:sz w:val="24"/>
          <w:szCs w:val="24"/>
        </w:rPr>
        <w:sectPr>
          <w:footerReference r:id="rId18" w:type="default"/>
          <w:pgSz w:w="11906" w:h="16839"/>
          <w:pgMar w:top="1431" w:right="1014" w:bottom="1180" w:left="1097" w:header="0" w:footer="968" w:gutter="0"/>
          <w:pgBorders>
            <w:top w:val="none" w:sz="0" w:space="0"/>
            <w:left w:val="none" w:sz="0" w:space="0"/>
            <w:bottom w:val="none" w:sz="0" w:space="0"/>
            <w:right w:val="none" w:sz="0" w:space="0"/>
          </w:pgBorders>
          <w:pgNumType w:fmt="decimal"/>
          <w:cols w:space="720" w:num="1"/>
        </w:sectPr>
      </w:pP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注：从业人员、营业收入、资产总额填报上一年度数据，无上一年度数据的新成立企业可不填报；</w:t>
      </w:r>
    </w:p>
    <w:p w14:paraId="70C52A5E">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黑体" w:hAnsi="黑体" w:eastAsia="黑体" w:cs="黑体"/>
          <w:spacing w:val="0"/>
          <w:position w:val="0"/>
          <w:sz w:val="30"/>
          <w:szCs w:val="30"/>
        </w:rPr>
      </w:pPr>
      <w:r>
        <w:rPr>
          <w:rFonts w:hint="eastAsia" w:ascii="黑体" w:hAnsi="黑体" w:eastAsia="黑体" w:cs="黑体"/>
          <w:spacing w:val="0"/>
          <w:position w:val="0"/>
          <w:sz w:val="30"/>
          <w:szCs w:val="30"/>
          <w14:textOutline w14:w="5103" w14:cap="sq" w14:cmpd="sng">
            <w14:solidFill>
              <w14:srgbClr w14:val="000000"/>
            </w14:solidFill>
            <w14:prstDash w14:val="solid"/>
            <w14:bevel/>
          </w14:textOutline>
        </w:rPr>
        <w:t>残疾人福利性单位声明函</w:t>
      </w:r>
    </w:p>
    <w:p w14:paraId="29F308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1"/>
        </w:rPr>
      </w:pPr>
    </w:p>
    <w:p w14:paraId="3F67EF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74F175F3">
      <w:pPr>
        <w:keepNext w:val="0"/>
        <w:keepLines w:val="0"/>
        <w:pageBreakBefore w:val="0"/>
        <w:widowControl/>
        <w:kinsoku w:val="0"/>
        <w:wordWrap/>
        <w:overflowPunct/>
        <w:topLinePunct w:val="0"/>
        <w:autoSpaceDE w:val="0"/>
        <w:autoSpaceDN w:val="0"/>
        <w:bidi w:val="0"/>
        <w:adjustRightInd w:val="0"/>
        <w:snapToGrid w:val="0"/>
        <w:spacing w:before="75" w:line="360" w:lineRule="auto"/>
        <w:ind w:right="36" w:firstLine="479"/>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本单位郑重声明，根据《财政部 民政部 中国残疾人联合会关于促进残疾人就业政府采购 政策的通知》  (财库〔2017〕141 号) 的规定，本单位为符合条件的残疾人福利性单位，且本 单位参加</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 xml:space="preserve"> 单位的</w:t>
      </w:r>
      <w:r>
        <w:rPr>
          <w:rFonts w:hint="eastAsia" w:ascii="黑体" w:hAnsi="黑体" w:eastAsia="黑体" w:cs="黑体"/>
          <w:spacing w:val="0"/>
          <w:position w:val="0"/>
          <w:sz w:val="24"/>
          <w:szCs w:val="24"/>
          <w:u w:val="single" w:color="auto"/>
        </w:rPr>
        <w:t xml:space="preserve">           </w:t>
      </w:r>
      <w:r>
        <w:rPr>
          <w:rFonts w:hint="eastAsia" w:ascii="黑体" w:hAnsi="黑体" w:eastAsia="黑体" w:cs="黑体"/>
          <w:spacing w:val="0"/>
          <w:position w:val="0"/>
          <w:sz w:val="24"/>
          <w:szCs w:val="24"/>
        </w:rPr>
        <w:t xml:space="preserve"> 项目采购活动提供本单位制造的货物(由本单位承担工程/提供服务) ，或者提供其他残疾人福利性单位制造的货物 (不包括使用非残疾人福利性 单位注册商标的货物) 。</w:t>
      </w:r>
    </w:p>
    <w:p w14:paraId="2869453F">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本单位对上述声明的真实性负责。如有虚假，将依法承担相应责任。</w:t>
      </w:r>
    </w:p>
    <w:p w14:paraId="5DC3C4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19E995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783D4F52">
      <w:pPr>
        <w:keepNext w:val="0"/>
        <w:keepLines w:val="0"/>
        <w:pageBreakBefore w:val="0"/>
        <w:wordWrap/>
        <w:overflowPunct/>
        <w:topLinePunct w:val="0"/>
        <w:bidi w:val="0"/>
        <w:spacing w:before="82" w:line="360" w:lineRule="auto"/>
        <w:ind w:left="8" w:firstLine="2106" w:firstLineChars="900"/>
        <w:rPr>
          <w:rFonts w:hint="eastAsia" w:ascii="黑体" w:hAnsi="黑体" w:eastAsia="黑体" w:cs="黑体"/>
          <w:sz w:val="24"/>
          <w:szCs w:val="24"/>
        </w:rPr>
      </w:pPr>
      <w:r>
        <w:rPr>
          <w:rFonts w:hint="eastAsia" w:ascii="黑体" w:hAnsi="黑体" w:eastAsia="黑体" w:cs="黑体"/>
          <w:spacing w:val="-3"/>
          <w:sz w:val="24"/>
          <w:szCs w:val="24"/>
          <w:lang w:val="en-US" w:eastAsia="zh-CN"/>
        </w:rPr>
        <w:t>投标单位名称</w:t>
      </w:r>
      <w:r>
        <w:rPr>
          <w:rFonts w:hint="eastAsia" w:ascii="黑体" w:hAnsi="黑体" w:eastAsia="黑体" w:cs="黑体"/>
          <w:spacing w:val="-3"/>
          <w:sz w:val="24"/>
          <w:szCs w:val="24"/>
        </w:rPr>
        <w:t>：</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rPr>
        <w:t xml:space="preserve">  (加盖公章)</w:t>
      </w:r>
    </w:p>
    <w:p w14:paraId="7C12C171">
      <w:pPr>
        <w:keepNext w:val="0"/>
        <w:keepLines w:val="0"/>
        <w:pageBreakBefore w:val="0"/>
        <w:wordWrap/>
        <w:overflowPunct/>
        <w:topLinePunct w:val="0"/>
        <w:bidi w:val="0"/>
        <w:spacing w:before="222" w:line="360" w:lineRule="auto"/>
        <w:ind w:left="8" w:firstLine="2120" w:firstLineChars="1000"/>
        <w:rPr>
          <w:rFonts w:hint="eastAsia" w:ascii="黑体" w:hAnsi="黑体" w:eastAsia="黑体" w:cs="黑体"/>
          <w:sz w:val="24"/>
          <w:szCs w:val="24"/>
        </w:rPr>
      </w:pPr>
      <w:r>
        <w:rPr>
          <w:rFonts w:hint="eastAsia" w:ascii="黑体" w:hAnsi="黑体" w:eastAsia="黑体" w:cs="黑体"/>
          <w:spacing w:val="-14"/>
          <w:sz w:val="24"/>
          <w:szCs w:val="24"/>
        </w:rPr>
        <w:t>法</w:t>
      </w:r>
      <w:r>
        <w:rPr>
          <w:rFonts w:hint="eastAsia" w:ascii="黑体" w:hAnsi="黑体" w:eastAsia="黑体" w:cs="黑体"/>
          <w:spacing w:val="-43"/>
          <w:sz w:val="24"/>
          <w:szCs w:val="24"/>
        </w:rPr>
        <w:t xml:space="preserve"> </w:t>
      </w:r>
      <w:r>
        <w:rPr>
          <w:rFonts w:hint="eastAsia" w:ascii="黑体" w:hAnsi="黑体" w:eastAsia="黑体" w:cs="黑体"/>
          <w:spacing w:val="-14"/>
          <w:sz w:val="24"/>
          <w:szCs w:val="24"/>
        </w:rPr>
        <w:t>定</w:t>
      </w:r>
      <w:r>
        <w:rPr>
          <w:rFonts w:hint="eastAsia" w:ascii="黑体" w:hAnsi="黑体" w:eastAsia="黑体" w:cs="黑体"/>
          <w:spacing w:val="-50"/>
          <w:sz w:val="24"/>
          <w:szCs w:val="24"/>
        </w:rPr>
        <w:t xml:space="preserve"> </w:t>
      </w:r>
      <w:r>
        <w:rPr>
          <w:rFonts w:hint="eastAsia" w:ascii="黑体" w:hAnsi="黑体" w:eastAsia="黑体" w:cs="黑体"/>
          <w:spacing w:val="-14"/>
          <w:sz w:val="24"/>
          <w:szCs w:val="24"/>
        </w:rPr>
        <w:t>代</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表</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0"/>
          <w:sz w:val="24"/>
          <w:szCs w:val="24"/>
        </w:rPr>
        <w:t xml:space="preserve"> </w:t>
      </w:r>
      <w:r>
        <w:rPr>
          <w:rFonts w:hint="eastAsia" w:ascii="黑体" w:hAnsi="黑体" w:eastAsia="黑体" w:cs="黑体"/>
          <w:spacing w:val="-14"/>
          <w:sz w:val="24"/>
          <w:szCs w:val="24"/>
        </w:rPr>
        <w:t>负</w:t>
      </w:r>
      <w:r>
        <w:rPr>
          <w:rFonts w:hint="eastAsia" w:ascii="黑体" w:hAnsi="黑体" w:eastAsia="黑体" w:cs="黑体"/>
          <w:spacing w:val="-41"/>
          <w:sz w:val="24"/>
          <w:szCs w:val="24"/>
        </w:rPr>
        <w:t xml:space="preserve"> </w:t>
      </w:r>
      <w:r>
        <w:rPr>
          <w:rFonts w:hint="eastAsia" w:ascii="黑体" w:hAnsi="黑体" w:eastAsia="黑体" w:cs="黑体"/>
          <w:spacing w:val="-14"/>
          <w:sz w:val="24"/>
          <w:szCs w:val="24"/>
        </w:rPr>
        <w:t>责</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被</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授</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权</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签</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字</w:t>
      </w:r>
      <w:r>
        <w:rPr>
          <w:rFonts w:hint="eastAsia" w:ascii="黑体" w:hAnsi="黑体" w:eastAsia="黑体" w:cs="黑体"/>
          <w:spacing w:val="-45"/>
          <w:sz w:val="24"/>
          <w:szCs w:val="24"/>
        </w:rPr>
        <w:t xml:space="preserve"> </w:t>
      </w:r>
      <w:r>
        <w:rPr>
          <w:rFonts w:hint="eastAsia" w:ascii="黑体" w:hAnsi="黑体" w:eastAsia="黑体" w:cs="黑体"/>
          <w:spacing w:val="-15"/>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5"/>
          <w:sz w:val="24"/>
          <w:szCs w:val="24"/>
        </w:rPr>
        <w:t>盖</w:t>
      </w:r>
      <w:r>
        <w:rPr>
          <w:rFonts w:hint="eastAsia" w:ascii="黑体" w:hAnsi="黑体" w:eastAsia="黑体" w:cs="黑体"/>
          <w:spacing w:val="-41"/>
          <w:sz w:val="24"/>
          <w:szCs w:val="24"/>
        </w:rPr>
        <w:t xml:space="preserve"> </w:t>
      </w:r>
      <w:r>
        <w:rPr>
          <w:rFonts w:hint="eastAsia" w:ascii="黑体" w:hAnsi="黑体" w:eastAsia="黑体" w:cs="黑体"/>
          <w:spacing w:val="-15"/>
          <w:sz w:val="24"/>
          <w:szCs w:val="24"/>
        </w:rPr>
        <w:t>章</w:t>
      </w:r>
      <w:r>
        <w:rPr>
          <w:rFonts w:hint="eastAsia" w:ascii="黑体" w:hAnsi="黑体" w:eastAsia="黑体" w:cs="黑体"/>
          <w:spacing w:val="-47"/>
          <w:sz w:val="24"/>
          <w:szCs w:val="24"/>
        </w:rPr>
        <w:t xml:space="preserve"> </w:t>
      </w:r>
      <w:r>
        <w:rPr>
          <w:rFonts w:hint="eastAsia" w:ascii="黑体" w:hAnsi="黑体" w:eastAsia="黑体" w:cs="黑体"/>
          <w:spacing w:val="-15"/>
          <w:sz w:val="24"/>
          <w:szCs w:val="24"/>
        </w:rPr>
        <w:t>) :</w:t>
      </w:r>
      <w:r>
        <w:rPr>
          <w:rFonts w:hint="eastAsia" w:ascii="黑体" w:hAnsi="黑体" w:eastAsia="黑体" w:cs="黑体"/>
          <w:spacing w:val="62"/>
          <w:sz w:val="24"/>
          <w:szCs w:val="24"/>
        </w:rPr>
        <w:t xml:space="preserve"> </w:t>
      </w:r>
      <w:r>
        <w:rPr>
          <w:rFonts w:hint="eastAsia" w:ascii="黑体" w:hAnsi="黑体" w:eastAsia="黑体" w:cs="黑体"/>
          <w:sz w:val="24"/>
          <w:szCs w:val="24"/>
          <w:u w:val="single" w:color="auto"/>
        </w:rPr>
        <w:t xml:space="preserve">             </w:t>
      </w:r>
    </w:p>
    <w:p w14:paraId="4A371F9D">
      <w:pPr>
        <w:keepNext w:val="0"/>
        <w:keepLines w:val="0"/>
        <w:pageBreakBefore w:val="0"/>
        <w:widowControl/>
        <w:kinsoku w:val="0"/>
        <w:wordWrap/>
        <w:overflowPunct/>
        <w:topLinePunct w:val="0"/>
        <w:autoSpaceDE w:val="0"/>
        <w:autoSpaceDN w:val="0"/>
        <w:bidi w:val="0"/>
        <w:adjustRightInd w:val="0"/>
        <w:snapToGrid w:val="0"/>
        <w:spacing w:line="360" w:lineRule="auto"/>
        <w:ind w:firstLine="2090" w:firstLineChars="1100"/>
        <w:textAlignment w:val="baseline"/>
        <w:rPr>
          <w:rFonts w:hint="eastAsia" w:ascii="黑体" w:hAnsi="黑体" w:eastAsia="黑体" w:cs="黑体"/>
          <w:spacing w:val="0"/>
          <w:position w:val="0"/>
          <w:sz w:val="24"/>
          <w:szCs w:val="24"/>
        </w:rPr>
      </w:pPr>
      <w:r>
        <w:rPr>
          <w:rFonts w:hint="eastAsia" w:ascii="黑体" w:hAnsi="黑体" w:eastAsia="黑体" w:cs="黑体"/>
          <w:spacing w:val="-25"/>
          <w:sz w:val="24"/>
          <w:szCs w:val="24"/>
        </w:rPr>
        <w:t>日</w:t>
      </w:r>
      <w:r>
        <w:rPr>
          <w:rFonts w:hint="eastAsia" w:ascii="黑体" w:hAnsi="黑体" w:eastAsia="黑体" w:cs="黑体"/>
          <w:spacing w:val="-23"/>
          <w:sz w:val="24"/>
          <w:szCs w:val="24"/>
        </w:rPr>
        <w:t xml:space="preserve"> </w:t>
      </w:r>
      <w:r>
        <w:rPr>
          <w:rFonts w:hint="eastAsia" w:ascii="黑体" w:hAnsi="黑体" w:eastAsia="黑体" w:cs="黑体"/>
          <w:spacing w:val="-23"/>
          <w:sz w:val="24"/>
          <w:szCs w:val="24"/>
          <w:lang w:val="en-US" w:eastAsia="zh-CN"/>
        </w:rPr>
        <w:t xml:space="preserve">  </w:t>
      </w:r>
      <w:r>
        <w:rPr>
          <w:rFonts w:hint="eastAsia" w:ascii="黑体" w:hAnsi="黑体" w:eastAsia="黑体" w:cs="黑体"/>
          <w:spacing w:val="-25"/>
          <w:sz w:val="24"/>
          <w:szCs w:val="24"/>
        </w:rPr>
        <w:t>期 ：</w:t>
      </w:r>
      <w:r>
        <w:rPr>
          <w:rFonts w:hint="eastAsia" w:ascii="黑体" w:hAnsi="黑体" w:eastAsia="黑体" w:cs="黑体"/>
          <w:spacing w:val="-63"/>
          <w:sz w:val="24"/>
          <w:szCs w:val="24"/>
        </w:rPr>
        <w:t xml:space="preserve"> </w:t>
      </w:r>
      <w:r>
        <w:rPr>
          <w:rFonts w:hint="eastAsia" w:ascii="黑体" w:hAnsi="黑体" w:eastAsia="黑体" w:cs="黑体"/>
          <w:sz w:val="24"/>
          <w:szCs w:val="24"/>
          <w:u w:val="single" w:color="auto"/>
        </w:rPr>
        <w:t xml:space="preserve">             </w:t>
      </w:r>
    </w:p>
    <w:p w14:paraId="257FB7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5CF3ABDF">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pPr>
    </w:p>
    <w:p w14:paraId="50C7E7D8">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pPr>
    </w:p>
    <w:p w14:paraId="78E520C7">
      <w:pPr>
        <w:keepNext w:val="0"/>
        <w:keepLines w:val="0"/>
        <w:pageBreakBefore w:val="0"/>
        <w:widowControl/>
        <w:kinsoku w:val="0"/>
        <w:wordWrap/>
        <w:overflowPunct/>
        <w:topLinePunct w:val="0"/>
        <w:autoSpaceDE w:val="0"/>
        <w:autoSpaceDN w:val="0"/>
        <w:bidi w:val="0"/>
        <w:adjustRightInd w:val="0"/>
        <w:snapToGrid w:val="0"/>
        <w:spacing w:before="72" w:line="360" w:lineRule="auto"/>
        <w:ind w:left="10" w:firstLine="434"/>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注：1.供应商应仔细阅读《财政部</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民政部</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中国残疾人联合会关于促进残疾人就业政府采购政策</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的通知》，并如实填写本表，符合条件的供应商未按上述要求提供、填写的，评审时不予以考虑。</w:t>
      </w:r>
    </w:p>
    <w:p w14:paraId="281532CE">
      <w:pPr>
        <w:keepNext w:val="0"/>
        <w:keepLines w:val="0"/>
        <w:pageBreakBefore w:val="0"/>
        <w:widowControl/>
        <w:kinsoku w:val="0"/>
        <w:wordWrap/>
        <w:overflowPunct/>
        <w:topLinePunct w:val="0"/>
        <w:autoSpaceDE w:val="0"/>
        <w:autoSpaceDN w:val="0"/>
        <w:bidi w:val="0"/>
        <w:adjustRightInd w:val="0"/>
        <w:snapToGrid w:val="0"/>
        <w:spacing w:before="1" w:line="360" w:lineRule="auto"/>
        <w:ind w:left="435"/>
        <w:textAlignment w:val="baseline"/>
        <w:rPr>
          <w:rFonts w:hint="eastAsia" w:ascii="黑体" w:hAnsi="黑体" w:eastAsia="黑体" w:cs="黑体"/>
          <w:spacing w:val="0"/>
          <w:position w:val="0"/>
          <w:sz w:val="24"/>
          <w:szCs w:val="24"/>
        </w:rPr>
        <w:sectPr>
          <w:footerReference r:id="rId19" w:type="default"/>
          <w:pgSz w:w="11906" w:h="16839"/>
          <w:pgMar w:top="1431" w:right="1045" w:bottom="1180" w:left="1099" w:header="0" w:footer="968" w:gutter="0"/>
          <w:pgBorders>
            <w:top w:val="none" w:sz="0" w:space="0"/>
            <w:left w:val="none" w:sz="0" w:space="0"/>
            <w:bottom w:val="none" w:sz="0" w:space="0"/>
            <w:right w:val="none" w:sz="0" w:space="0"/>
          </w:pgBorders>
          <w:pgNumType w:fmt="decimal"/>
          <w:cols w:space="720" w:num="1"/>
        </w:sectPr>
      </w:pP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2.如不是该类企业则不需提供此声明函</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(可删除此页)</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013" w14:cap="sq" w14:cmpd="sng">
            <w14:solidFill>
              <w14:srgbClr w14:val="000000"/>
            </w14:solidFill>
            <w14:prstDash w14:val="solid"/>
            <w14:bevel/>
          </w14:textOutline>
        </w:rPr>
        <w:t>。</w:t>
      </w:r>
    </w:p>
    <w:p w14:paraId="10AEBDEB">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黑体" w:hAnsi="黑体" w:eastAsia="黑体" w:cs="黑体"/>
          <w:spacing w:val="0"/>
          <w:position w:val="0"/>
          <w:sz w:val="30"/>
          <w:szCs w:val="30"/>
        </w:rPr>
      </w:pPr>
      <w:r>
        <w:rPr>
          <w:rFonts w:hint="eastAsia" w:ascii="黑体" w:hAnsi="黑体" w:eastAsia="黑体" w:cs="黑体"/>
          <w:spacing w:val="0"/>
          <w:position w:val="0"/>
          <w:sz w:val="30"/>
          <w:szCs w:val="30"/>
          <w14:textOutline w14:w="5103" w14:cap="sq" w14:cmpd="sng">
            <w14:solidFill>
              <w14:srgbClr w14:val="000000"/>
            </w14:solidFill>
            <w14:prstDash w14:val="solid"/>
            <w14:bevel/>
          </w14:textOutline>
        </w:rPr>
        <w:t>监狱企业证明文件</w:t>
      </w:r>
    </w:p>
    <w:p w14:paraId="6398CE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1"/>
        </w:rPr>
      </w:pPr>
    </w:p>
    <w:p w14:paraId="5E6E6F03">
      <w:pPr>
        <w:keepNext w:val="0"/>
        <w:keepLines w:val="0"/>
        <w:pageBreakBefore w:val="0"/>
        <w:widowControl/>
        <w:kinsoku w:val="0"/>
        <w:wordWrap/>
        <w:overflowPunct/>
        <w:topLinePunct w:val="0"/>
        <w:autoSpaceDE w:val="0"/>
        <w:autoSpaceDN w:val="0"/>
        <w:bidi w:val="0"/>
        <w:adjustRightInd w:val="0"/>
        <w:snapToGrid w:val="0"/>
        <w:spacing w:before="75" w:line="360" w:lineRule="auto"/>
        <w:ind w:firstLine="486"/>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根据财政部、司法部《关于政府采购支持监狱企业发展有关问题的通知》(财库〔2014〕 68 号) 的规定，监狱企业是指由司法部认定的为罪犯、戒毒人员提供生产项目和劳动对象，且全部产权属于司法部监狱管理局、戒毒管理局、直属煤矿管理局，各省、 自治区、直辖市监狱管理局、戒毒管理局，各地 (设区的市) 监狱、强制隔离戒毒所、戒毒康复所，以及新疆生产建设兵团监狱管理局、戒毒管理局的企业。</w:t>
      </w:r>
    </w:p>
    <w:p w14:paraId="1E8E3152">
      <w:pPr>
        <w:keepNext w:val="0"/>
        <w:keepLines w:val="0"/>
        <w:pageBreakBefore w:val="0"/>
        <w:widowControl/>
        <w:kinsoku w:val="0"/>
        <w:wordWrap/>
        <w:overflowPunct/>
        <w:topLinePunct w:val="0"/>
        <w:autoSpaceDE w:val="0"/>
        <w:autoSpaceDN w:val="0"/>
        <w:bidi w:val="0"/>
        <w:adjustRightInd w:val="0"/>
        <w:snapToGrid w:val="0"/>
        <w:spacing w:line="360" w:lineRule="auto"/>
        <w:ind w:left="7" w:right="54" w:firstLine="484"/>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监狱企业参加政府采购活动时，应当提供由省级以上监狱管理局、戒毒管理局 (含新疆生 产建设兵团) 出具的属于监狱企业的证明文件。</w:t>
      </w:r>
    </w:p>
    <w:p w14:paraId="6BE199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6B5890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3D91E6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355AC878">
      <w:pPr>
        <w:keepNext w:val="0"/>
        <w:keepLines w:val="0"/>
        <w:pageBreakBefore w:val="0"/>
        <w:wordWrap/>
        <w:overflowPunct/>
        <w:topLinePunct w:val="0"/>
        <w:bidi w:val="0"/>
        <w:spacing w:before="82" w:line="360" w:lineRule="auto"/>
        <w:ind w:left="8" w:firstLine="2106" w:firstLineChars="900"/>
        <w:rPr>
          <w:rFonts w:hint="eastAsia" w:ascii="黑体" w:hAnsi="黑体" w:eastAsia="黑体" w:cs="黑体"/>
          <w:sz w:val="24"/>
          <w:szCs w:val="24"/>
        </w:rPr>
      </w:pPr>
      <w:r>
        <w:rPr>
          <w:rFonts w:hint="eastAsia" w:ascii="黑体" w:hAnsi="黑体" w:eastAsia="黑体" w:cs="黑体"/>
          <w:spacing w:val="-3"/>
          <w:sz w:val="24"/>
          <w:szCs w:val="24"/>
          <w:lang w:val="en-US" w:eastAsia="zh-CN"/>
        </w:rPr>
        <w:t>投标单位名称</w:t>
      </w:r>
      <w:r>
        <w:rPr>
          <w:rFonts w:hint="eastAsia" w:ascii="黑体" w:hAnsi="黑体" w:eastAsia="黑体" w:cs="黑体"/>
          <w:spacing w:val="-3"/>
          <w:sz w:val="24"/>
          <w:szCs w:val="24"/>
        </w:rPr>
        <w:t>：</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rPr>
        <w:t xml:space="preserve">  (加盖公章)</w:t>
      </w:r>
    </w:p>
    <w:p w14:paraId="07AB0DB9">
      <w:pPr>
        <w:keepNext w:val="0"/>
        <w:keepLines w:val="0"/>
        <w:pageBreakBefore w:val="0"/>
        <w:wordWrap/>
        <w:overflowPunct/>
        <w:topLinePunct w:val="0"/>
        <w:bidi w:val="0"/>
        <w:spacing w:before="222" w:line="360" w:lineRule="auto"/>
        <w:ind w:left="8" w:firstLine="2120" w:firstLineChars="1000"/>
        <w:rPr>
          <w:rFonts w:hint="eastAsia" w:ascii="黑体" w:hAnsi="黑体" w:eastAsia="黑体" w:cs="黑体"/>
          <w:sz w:val="24"/>
          <w:szCs w:val="24"/>
        </w:rPr>
      </w:pPr>
      <w:r>
        <w:rPr>
          <w:rFonts w:hint="eastAsia" w:ascii="黑体" w:hAnsi="黑体" w:eastAsia="黑体" w:cs="黑体"/>
          <w:spacing w:val="-14"/>
          <w:sz w:val="24"/>
          <w:szCs w:val="24"/>
        </w:rPr>
        <w:t>法</w:t>
      </w:r>
      <w:r>
        <w:rPr>
          <w:rFonts w:hint="eastAsia" w:ascii="黑体" w:hAnsi="黑体" w:eastAsia="黑体" w:cs="黑体"/>
          <w:spacing w:val="-43"/>
          <w:sz w:val="24"/>
          <w:szCs w:val="24"/>
        </w:rPr>
        <w:t xml:space="preserve"> </w:t>
      </w:r>
      <w:r>
        <w:rPr>
          <w:rFonts w:hint="eastAsia" w:ascii="黑体" w:hAnsi="黑体" w:eastAsia="黑体" w:cs="黑体"/>
          <w:spacing w:val="-14"/>
          <w:sz w:val="24"/>
          <w:szCs w:val="24"/>
        </w:rPr>
        <w:t>定</w:t>
      </w:r>
      <w:r>
        <w:rPr>
          <w:rFonts w:hint="eastAsia" w:ascii="黑体" w:hAnsi="黑体" w:eastAsia="黑体" w:cs="黑体"/>
          <w:spacing w:val="-50"/>
          <w:sz w:val="24"/>
          <w:szCs w:val="24"/>
        </w:rPr>
        <w:t xml:space="preserve"> </w:t>
      </w:r>
      <w:r>
        <w:rPr>
          <w:rFonts w:hint="eastAsia" w:ascii="黑体" w:hAnsi="黑体" w:eastAsia="黑体" w:cs="黑体"/>
          <w:spacing w:val="-14"/>
          <w:sz w:val="24"/>
          <w:szCs w:val="24"/>
        </w:rPr>
        <w:t>代</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表</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0"/>
          <w:sz w:val="24"/>
          <w:szCs w:val="24"/>
        </w:rPr>
        <w:t xml:space="preserve"> </w:t>
      </w:r>
      <w:r>
        <w:rPr>
          <w:rFonts w:hint="eastAsia" w:ascii="黑体" w:hAnsi="黑体" w:eastAsia="黑体" w:cs="黑体"/>
          <w:spacing w:val="-14"/>
          <w:sz w:val="24"/>
          <w:szCs w:val="24"/>
        </w:rPr>
        <w:t>负</w:t>
      </w:r>
      <w:r>
        <w:rPr>
          <w:rFonts w:hint="eastAsia" w:ascii="黑体" w:hAnsi="黑体" w:eastAsia="黑体" w:cs="黑体"/>
          <w:spacing w:val="-41"/>
          <w:sz w:val="24"/>
          <w:szCs w:val="24"/>
        </w:rPr>
        <w:t xml:space="preserve"> </w:t>
      </w:r>
      <w:r>
        <w:rPr>
          <w:rFonts w:hint="eastAsia" w:ascii="黑体" w:hAnsi="黑体" w:eastAsia="黑体" w:cs="黑体"/>
          <w:spacing w:val="-14"/>
          <w:sz w:val="24"/>
          <w:szCs w:val="24"/>
        </w:rPr>
        <w:t>责</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被</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授</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权</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签</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字</w:t>
      </w:r>
      <w:r>
        <w:rPr>
          <w:rFonts w:hint="eastAsia" w:ascii="黑体" w:hAnsi="黑体" w:eastAsia="黑体" w:cs="黑体"/>
          <w:spacing w:val="-45"/>
          <w:sz w:val="24"/>
          <w:szCs w:val="24"/>
        </w:rPr>
        <w:t xml:space="preserve"> </w:t>
      </w:r>
      <w:r>
        <w:rPr>
          <w:rFonts w:hint="eastAsia" w:ascii="黑体" w:hAnsi="黑体" w:eastAsia="黑体" w:cs="黑体"/>
          <w:spacing w:val="-15"/>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5"/>
          <w:sz w:val="24"/>
          <w:szCs w:val="24"/>
        </w:rPr>
        <w:t>盖</w:t>
      </w:r>
      <w:r>
        <w:rPr>
          <w:rFonts w:hint="eastAsia" w:ascii="黑体" w:hAnsi="黑体" w:eastAsia="黑体" w:cs="黑体"/>
          <w:spacing w:val="-41"/>
          <w:sz w:val="24"/>
          <w:szCs w:val="24"/>
        </w:rPr>
        <w:t xml:space="preserve"> </w:t>
      </w:r>
      <w:r>
        <w:rPr>
          <w:rFonts w:hint="eastAsia" w:ascii="黑体" w:hAnsi="黑体" w:eastAsia="黑体" w:cs="黑体"/>
          <w:spacing w:val="-15"/>
          <w:sz w:val="24"/>
          <w:szCs w:val="24"/>
        </w:rPr>
        <w:t>章</w:t>
      </w:r>
      <w:r>
        <w:rPr>
          <w:rFonts w:hint="eastAsia" w:ascii="黑体" w:hAnsi="黑体" w:eastAsia="黑体" w:cs="黑体"/>
          <w:spacing w:val="-47"/>
          <w:sz w:val="24"/>
          <w:szCs w:val="24"/>
        </w:rPr>
        <w:t xml:space="preserve"> </w:t>
      </w:r>
      <w:r>
        <w:rPr>
          <w:rFonts w:hint="eastAsia" w:ascii="黑体" w:hAnsi="黑体" w:eastAsia="黑体" w:cs="黑体"/>
          <w:spacing w:val="-15"/>
          <w:sz w:val="24"/>
          <w:szCs w:val="24"/>
        </w:rPr>
        <w:t>) :</w:t>
      </w:r>
      <w:r>
        <w:rPr>
          <w:rFonts w:hint="eastAsia" w:ascii="黑体" w:hAnsi="黑体" w:eastAsia="黑体" w:cs="黑体"/>
          <w:spacing w:val="62"/>
          <w:sz w:val="24"/>
          <w:szCs w:val="24"/>
        </w:rPr>
        <w:t xml:space="preserve"> </w:t>
      </w:r>
      <w:r>
        <w:rPr>
          <w:rFonts w:hint="eastAsia" w:ascii="黑体" w:hAnsi="黑体" w:eastAsia="黑体" w:cs="黑体"/>
          <w:sz w:val="24"/>
          <w:szCs w:val="24"/>
          <w:u w:val="single" w:color="auto"/>
        </w:rPr>
        <w:t xml:space="preserve">             </w:t>
      </w:r>
    </w:p>
    <w:p w14:paraId="1136F72F">
      <w:pPr>
        <w:keepNext w:val="0"/>
        <w:keepLines w:val="0"/>
        <w:pageBreakBefore w:val="0"/>
        <w:widowControl/>
        <w:kinsoku w:val="0"/>
        <w:wordWrap/>
        <w:overflowPunct/>
        <w:topLinePunct w:val="0"/>
        <w:autoSpaceDE w:val="0"/>
        <w:autoSpaceDN w:val="0"/>
        <w:bidi w:val="0"/>
        <w:adjustRightInd w:val="0"/>
        <w:snapToGrid w:val="0"/>
        <w:spacing w:line="360" w:lineRule="auto"/>
        <w:ind w:firstLine="2090" w:firstLineChars="1100"/>
        <w:textAlignment w:val="baseline"/>
        <w:rPr>
          <w:rFonts w:hint="eastAsia" w:ascii="黑体" w:hAnsi="黑体" w:eastAsia="黑体" w:cs="黑体"/>
          <w:spacing w:val="0"/>
          <w:position w:val="0"/>
          <w:sz w:val="24"/>
          <w:szCs w:val="24"/>
        </w:rPr>
      </w:pPr>
      <w:r>
        <w:rPr>
          <w:rFonts w:hint="eastAsia" w:ascii="黑体" w:hAnsi="黑体" w:eastAsia="黑体" w:cs="黑体"/>
          <w:spacing w:val="-25"/>
          <w:sz w:val="24"/>
          <w:szCs w:val="24"/>
        </w:rPr>
        <w:t>日</w:t>
      </w:r>
      <w:r>
        <w:rPr>
          <w:rFonts w:hint="eastAsia" w:ascii="黑体" w:hAnsi="黑体" w:eastAsia="黑体" w:cs="黑体"/>
          <w:spacing w:val="-23"/>
          <w:sz w:val="24"/>
          <w:szCs w:val="24"/>
        </w:rPr>
        <w:t xml:space="preserve"> </w:t>
      </w:r>
      <w:r>
        <w:rPr>
          <w:rFonts w:hint="eastAsia" w:ascii="黑体" w:hAnsi="黑体" w:eastAsia="黑体" w:cs="黑体"/>
          <w:spacing w:val="-23"/>
          <w:sz w:val="24"/>
          <w:szCs w:val="24"/>
          <w:lang w:val="en-US" w:eastAsia="zh-CN"/>
        </w:rPr>
        <w:t xml:space="preserve">  </w:t>
      </w:r>
      <w:r>
        <w:rPr>
          <w:rFonts w:hint="eastAsia" w:ascii="黑体" w:hAnsi="黑体" w:eastAsia="黑体" w:cs="黑体"/>
          <w:spacing w:val="-25"/>
          <w:sz w:val="24"/>
          <w:szCs w:val="24"/>
        </w:rPr>
        <w:t>期 ：</w:t>
      </w:r>
      <w:r>
        <w:rPr>
          <w:rFonts w:hint="eastAsia" w:ascii="黑体" w:hAnsi="黑体" w:eastAsia="黑体" w:cs="黑体"/>
          <w:spacing w:val="-63"/>
          <w:sz w:val="24"/>
          <w:szCs w:val="24"/>
        </w:rPr>
        <w:t xml:space="preserve"> </w:t>
      </w:r>
      <w:r>
        <w:rPr>
          <w:rFonts w:hint="eastAsia" w:ascii="黑体" w:hAnsi="黑体" w:eastAsia="黑体" w:cs="黑体"/>
          <w:sz w:val="24"/>
          <w:szCs w:val="24"/>
          <w:u w:val="single" w:color="auto"/>
        </w:rPr>
        <w:t xml:space="preserve">             </w:t>
      </w:r>
    </w:p>
    <w:p w14:paraId="4BB332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7DC6A2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p w14:paraId="00E43910">
      <w:pPr>
        <w:keepNext w:val="0"/>
        <w:keepLines w:val="0"/>
        <w:pageBreakBefore w:val="0"/>
        <w:widowControl/>
        <w:kinsoku w:val="0"/>
        <w:wordWrap/>
        <w:overflowPunct/>
        <w:topLinePunct w:val="0"/>
        <w:autoSpaceDE w:val="0"/>
        <w:autoSpaceDN w:val="0"/>
        <w:bidi w:val="0"/>
        <w:adjustRightInd w:val="0"/>
        <w:snapToGrid w:val="0"/>
        <w:spacing w:before="75" w:line="360" w:lineRule="auto"/>
        <w:ind w:left="6"/>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说明：</w:t>
      </w:r>
    </w:p>
    <w:p w14:paraId="18073433">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1.如不是该类企业则不需提供证明文件</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(可删除此页)</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w:t>
      </w:r>
    </w:p>
    <w:p w14:paraId="7F0430CD">
      <w:pPr>
        <w:rPr>
          <w:rFonts w:hint="eastAsia" w:ascii="黑体" w:hAnsi="黑体" w:eastAsia="黑体" w:cs="黑体"/>
          <w:sz w:val="24"/>
          <w:szCs w:val="24"/>
        </w:rPr>
      </w:pPr>
    </w:p>
    <w:p w14:paraId="49458534">
      <w:pPr>
        <w:numPr>
          <w:ilvl w:val="0"/>
          <w:numId w:val="0"/>
        </w:numPr>
        <w:ind w:firstLine="2891" w:firstLineChars="900"/>
        <w:jc w:val="both"/>
        <w:rPr>
          <w:rFonts w:hint="eastAsia" w:ascii="黑体" w:hAnsi="黑体" w:eastAsia="黑体" w:cs="黑体"/>
          <w:b/>
          <w:bCs/>
          <w:color w:val="auto"/>
          <w:sz w:val="32"/>
          <w:szCs w:val="32"/>
          <w:lang w:val="en-US" w:eastAsia="zh-CN"/>
        </w:rPr>
      </w:pPr>
    </w:p>
    <w:p w14:paraId="6B296933">
      <w:pPr>
        <w:pStyle w:val="14"/>
        <w:rPr>
          <w:rFonts w:hint="eastAsia" w:ascii="黑体" w:hAnsi="黑体" w:eastAsia="黑体" w:cs="黑体"/>
          <w:b/>
          <w:bCs/>
          <w:color w:val="auto"/>
          <w:sz w:val="32"/>
          <w:szCs w:val="32"/>
          <w:lang w:val="en-US" w:eastAsia="zh-CN"/>
        </w:rPr>
      </w:pPr>
    </w:p>
    <w:p w14:paraId="4E00C2FE">
      <w:pPr>
        <w:pStyle w:val="14"/>
        <w:rPr>
          <w:rFonts w:hint="eastAsia" w:ascii="黑体" w:hAnsi="黑体" w:eastAsia="黑体" w:cs="黑体"/>
          <w:b/>
          <w:bCs/>
          <w:color w:val="auto"/>
          <w:sz w:val="32"/>
          <w:szCs w:val="32"/>
          <w:lang w:val="en-US" w:eastAsia="zh-CN"/>
        </w:rPr>
      </w:pPr>
    </w:p>
    <w:p w14:paraId="054BC822">
      <w:pPr>
        <w:pStyle w:val="14"/>
        <w:rPr>
          <w:rFonts w:hint="eastAsia" w:ascii="黑体" w:hAnsi="黑体" w:eastAsia="黑体" w:cs="黑体"/>
          <w:b/>
          <w:bCs/>
          <w:color w:val="auto"/>
          <w:sz w:val="32"/>
          <w:szCs w:val="32"/>
          <w:lang w:val="en-US" w:eastAsia="zh-CN"/>
        </w:rPr>
      </w:pPr>
    </w:p>
    <w:p w14:paraId="3D4C4F2A">
      <w:pPr>
        <w:pStyle w:val="14"/>
        <w:rPr>
          <w:rFonts w:hint="eastAsia" w:ascii="黑体" w:hAnsi="黑体" w:eastAsia="黑体" w:cs="黑体"/>
          <w:b/>
          <w:bCs/>
          <w:color w:val="auto"/>
          <w:sz w:val="32"/>
          <w:szCs w:val="32"/>
          <w:lang w:val="en-US" w:eastAsia="zh-CN"/>
        </w:rPr>
      </w:pPr>
    </w:p>
    <w:p w14:paraId="3AB3FEE7">
      <w:pPr>
        <w:pStyle w:val="14"/>
        <w:rPr>
          <w:rFonts w:hint="eastAsia" w:ascii="黑体" w:hAnsi="黑体" w:eastAsia="黑体" w:cs="黑体"/>
          <w:b/>
          <w:bCs/>
          <w:color w:val="auto"/>
          <w:sz w:val="32"/>
          <w:szCs w:val="32"/>
          <w:lang w:val="en-US" w:eastAsia="zh-CN"/>
        </w:rPr>
      </w:pPr>
    </w:p>
    <w:p w14:paraId="47A13A5C">
      <w:pPr>
        <w:numPr>
          <w:ilvl w:val="0"/>
          <w:numId w:val="0"/>
        </w:numPr>
        <w:jc w:val="both"/>
        <w:rPr>
          <w:rFonts w:hint="eastAsia" w:ascii="黑体" w:hAnsi="黑体" w:eastAsia="黑体" w:cs="黑体"/>
          <w:b/>
          <w:bCs/>
          <w:color w:val="auto"/>
          <w:sz w:val="32"/>
          <w:szCs w:val="32"/>
          <w:lang w:val="en-US" w:eastAsia="zh-CN"/>
        </w:rPr>
      </w:pPr>
    </w:p>
    <w:p w14:paraId="4C329FC8">
      <w:pPr>
        <w:numPr>
          <w:ilvl w:val="0"/>
          <w:numId w:val="0"/>
        </w:numPr>
        <w:ind w:firstLine="2891" w:firstLineChars="900"/>
        <w:jc w:val="both"/>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四、服务响应</w:t>
      </w:r>
      <w:r>
        <w:rPr>
          <w:rFonts w:hint="eastAsia" w:ascii="黑体" w:hAnsi="黑体" w:eastAsia="黑体" w:cs="黑体"/>
          <w:b/>
          <w:bCs/>
          <w:color w:val="auto"/>
          <w:sz w:val="32"/>
          <w:szCs w:val="32"/>
        </w:rPr>
        <w:t>偏离表</w:t>
      </w:r>
    </w:p>
    <w:p w14:paraId="5241EA5F">
      <w:pPr>
        <w:pStyle w:val="2"/>
        <w:rPr>
          <w:rFonts w:hint="eastAsia" w:ascii="黑体" w:hAnsi="黑体" w:eastAsia="黑体" w:cs="黑体"/>
        </w:rPr>
      </w:pPr>
    </w:p>
    <w:tbl>
      <w:tblPr>
        <w:tblStyle w:val="22"/>
        <w:tblW w:w="9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36"/>
        <w:gridCol w:w="3266"/>
        <w:gridCol w:w="3599"/>
        <w:gridCol w:w="1062"/>
        <w:gridCol w:w="1087"/>
      </w:tblGrid>
      <w:tr w14:paraId="2447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37" w:hRule="atLeast"/>
          <w:jc w:val="center"/>
        </w:trPr>
        <w:tc>
          <w:tcPr>
            <w:tcW w:w="836" w:type="dxa"/>
            <w:noWrap w:val="0"/>
            <w:vAlign w:val="center"/>
          </w:tcPr>
          <w:p w14:paraId="1A920F4A">
            <w:pPr>
              <w:spacing w:line="360" w:lineRule="auto"/>
              <w:jc w:val="center"/>
              <w:rPr>
                <w:rFonts w:hint="eastAsia" w:ascii="黑体" w:hAnsi="黑体" w:eastAsia="黑体" w:cs="黑体"/>
                <w:b/>
                <w:sz w:val="24"/>
              </w:rPr>
            </w:pPr>
            <w:r>
              <w:rPr>
                <w:rFonts w:hint="eastAsia" w:ascii="黑体" w:hAnsi="黑体" w:eastAsia="黑体" w:cs="黑体"/>
                <w:b/>
                <w:sz w:val="24"/>
              </w:rPr>
              <w:t>序号</w:t>
            </w:r>
          </w:p>
        </w:tc>
        <w:tc>
          <w:tcPr>
            <w:tcW w:w="3266" w:type="dxa"/>
            <w:noWrap w:val="0"/>
            <w:vAlign w:val="center"/>
          </w:tcPr>
          <w:p w14:paraId="5615030D">
            <w:pPr>
              <w:spacing w:line="360" w:lineRule="auto"/>
              <w:jc w:val="center"/>
              <w:rPr>
                <w:rFonts w:hint="eastAsia" w:ascii="黑体" w:hAnsi="黑体" w:eastAsia="黑体" w:cs="黑体"/>
                <w:b/>
                <w:sz w:val="24"/>
              </w:rPr>
            </w:pPr>
            <w:r>
              <w:rPr>
                <w:rFonts w:hint="eastAsia" w:ascii="黑体" w:hAnsi="黑体" w:eastAsia="黑体" w:cs="黑体"/>
                <w:b/>
                <w:sz w:val="24"/>
                <w:lang w:val="en-US" w:eastAsia="zh-CN"/>
              </w:rPr>
              <w:t>招标</w:t>
            </w:r>
            <w:r>
              <w:rPr>
                <w:rFonts w:hint="eastAsia" w:ascii="黑体" w:hAnsi="黑体" w:eastAsia="黑体" w:cs="黑体"/>
                <w:b/>
                <w:sz w:val="24"/>
              </w:rPr>
              <w:t>文件</w:t>
            </w:r>
            <w:r>
              <w:rPr>
                <w:rFonts w:hint="eastAsia" w:ascii="黑体" w:hAnsi="黑体" w:eastAsia="黑体" w:cs="黑体"/>
                <w:b/>
                <w:sz w:val="24"/>
                <w:lang w:val="en-US" w:eastAsia="zh-CN"/>
              </w:rPr>
              <w:t>服务</w:t>
            </w:r>
            <w:r>
              <w:rPr>
                <w:rFonts w:hint="eastAsia" w:ascii="黑体" w:hAnsi="黑体" w:eastAsia="黑体" w:cs="黑体"/>
                <w:b/>
                <w:sz w:val="24"/>
              </w:rPr>
              <w:t>要求</w:t>
            </w:r>
          </w:p>
        </w:tc>
        <w:tc>
          <w:tcPr>
            <w:tcW w:w="3599" w:type="dxa"/>
            <w:noWrap w:val="0"/>
            <w:vAlign w:val="center"/>
          </w:tcPr>
          <w:p w14:paraId="2133D8E7">
            <w:pPr>
              <w:spacing w:line="360" w:lineRule="auto"/>
              <w:jc w:val="center"/>
              <w:rPr>
                <w:rFonts w:hint="eastAsia" w:ascii="黑体" w:hAnsi="黑体" w:eastAsia="黑体" w:cs="黑体"/>
                <w:b/>
                <w:sz w:val="24"/>
              </w:rPr>
            </w:pPr>
            <w:r>
              <w:rPr>
                <w:rFonts w:hint="eastAsia" w:ascii="黑体" w:hAnsi="黑体" w:eastAsia="黑体" w:cs="黑体"/>
                <w:b/>
                <w:sz w:val="24"/>
                <w:lang w:val="en-US" w:eastAsia="zh-CN"/>
              </w:rPr>
              <w:t>投标</w:t>
            </w:r>
            <w:r>
              <w:rPr>
                <w:rFonts w:hint="eastAsia" w:ascii="黑体" w:hAnsi="黑体" w:eastAsia="黑体" w:cs="黑体"/>
                <w:b/>
                <w:sz w:val="24"/>
              </w:rPr>
              <w:t>文件</w:t>
            </w:r>
            <w:r>
              <w:rPr>
                <w:rFonts w:hint="eastAsia" w:ascii="黑体" w:hAnsi="黑体" w:eastAsia="黑体" w:cs="黑体"/>
                <w:b/>
                <w:sz w:val="24"/>
                <w:lang w:val="en-US" w:eastAsia="zh-CN"/>
              </w:rPr>
              <w:t>服务</w:t>
            </w:r>
            <w:r>
              <w:rPr>
                <w:rFonts w:hint="eastAsia" w:ascii="黑体" w:hAnsi="黑体" w:eastAsia="黑体" w:cs="黑体"/>
                <w:b/>
                <w:sz w:val="24"/>
              </w:rPr>
              <w:t>响应</w:t>
            </w:r>
          </w:p>
        </w:tc>
        <w:tc>
          <w:tcPr>
            <w:tcW w:w="1062" w:type="dxa"/>
            <w:noWrap w:val="0"/>
            <w:vAlign w:val="center"/>
          </w:tcPr>
          <w:p w14:paraId="5AED50BC">
            <w:pPr>
              <w:spacing w:line="360" w:lineRule="auto"/>
              <w:jc w:val="center"/>
              <w:rPr>
                <w:rFonts w:hint="eastAsia" w:ascii="黑体" w:hAnsi="黑体" w:eastAsia="黑体" w:cs="黑体"/>
                <w:b/>
                <w:sz w:val="24"/>
              </w:rPr>
            </w:pPr>
            <w:r>
              <w:rPr>
                <w:rFonts w:hint="eastAsia" w:ascii="黑体" w:hAnsi="黑体" w:eastAsia="黑体" w:cs="黑体"/>
                <w:b/>
                <w:sz w:val="24"/>
              </w:rPr>
              <w:t>偏离情况</w:t>
            </w:r>
          </w:p>
        </w:tc>
        <w:tc>
          <w:tcPr>
            <w:tcW w:w="1087" w:type="dxa"/>
            <w:noWrap w:val="0"/>
            <w:vAlign w:val="center"/>
          </w:tcPr>
          <w:p w14:paraId="49479BF8">
            <w:pPr>
              <w:spacing w:line="360" w:lineRule="auto"/>
              <w:jc w:val="center"/>
              <w:rPr>
                <w:rFonts w:hint="eastAsia" w:ascii="黑体" w:hAnsi="黑体" w:eastAsia="黑体" w:cs="黑体"/>
                <w:b/>
                <w:sz w:val="24"/>
              </w:rPr>
            </w:pPr>
            <w:r>
              <w:rPr>
                <w:rFonts w:hint="eastAsia" w:ascii="黑体" w:hAnsi="黑体" w:eastAsia="黑体" w:cs="黑体"/>
                <w:b/>
                <w:sz w:val="24"/>
              </w:rPr>
              <w:t>响应说明</w:t>
            </w:r>
          </w:p>
        </w:tc>
      </w:tr>
      <w:tr w14:paraId="7690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08E814F3">
            <w:pPr>
              <w:spacing w:line="360" w:lineRule="auto"/>
              <w:jc w:val="center"/>
              <w:rPr>
                <w:rFonts w:hint="eastAsia" w:ascii="黑体" w:hAnsi="黑体" w:eastAsia="黑体" w:cs="黑体"/>
                <w:sz w:val="24"/>
              </w:rPr>
            </w:pPr>
          </w:p>
        </w:tc>
        <w:tc>
          <w:tcPr>
            <w:tcW w:w="3266" w:type="dxa"/>
            <w:noWrap w:val="0"/>
            <w:vAlign w:val="center"/>
          </w:tcPr>
          <w:p w14:paraId="7DC5256D">
            <w:pPr>
              <w:spacing w:line="360" w:lineRule="auto"/>
              <w:jc w:val="center"/>
              <w:rPr>
                <w:rFonts w:hint="eastAsia" w:ascii="黑体" w:hAnsi="黑体" w:eastAsia="黑体" w:cs="黑体"/>
                <w:sz w:val="24"/>
              </w:rPr>
            </w:pPr>
          </w:p>
        </w:tc>
        <w:tc>
          <w:tcPr>
            <w:tcW w:w="3599" w:type="dxa"/>
            <w:noWrap w:val="0"/>
            <w:vAlign w:val="center"/>
          </w:tcPr>
          <w:p w14:paraId="0918B280">
            <w:pPr>
              <w:spacing w:line="360" w:lineRule="auto"/>
              <w:jc w:val="center"/>
              <w:rPr>
                <w:rFonts w:hint="eastAsia" w:ascii="黑体" w:hAnsi="黑体" w:eastAsia="黑体" w:cs="黑体"/>
                <w:sz w:val="24"/>
              </w:rPr>
            </w:pPr>
          </w:p>
        </w:tc>
        <w:tc>
          <w:tcPr>
            <w:tcW w:w="1062" w:type="dxa"/>
            <w:noWrap w:val="0"/>
            <w:vAlign w:val="center"/>
          </w:tcPr>
          <w:p w14:paraId="3E45F937">
            <w:pPr>
              <w:spacing w:line="360" w:lineRule="auto"/>
              <w:jc w:val="center"/>
              <w:rPr>
                <w:rFonts w:hint="eastAsia" w:ascii="黑体" w:hAnsi="黑体" w:eastAsia="黑体" w:cs="黑体"/>
                <w:sz w:val="24"/>
              </w:rPr>
            </w:pPr>
          </w:p>
        </w:tc>
        <w:tc>
          <w:tcPr>
            <w:tcW w:w="1087" w:type="dxa"/>
            <w:noWrap w:val="0"/>
            <w:vAlign w:val="center"/>
          </w:tcPr>
          <w:p w14:paraId="73873E26">
            <w:pPr>
              <w:spacing w:line="360" w:lineRule="auto"/>
              <w:jc w:val="center"/>
              <w:rPr>
                <w:rFonts w:hint="eastAsia" w:ascii="黑体" w:hAnsi="黑体" w:eastAsia="黑体" w:cs="黑体"/>
                <w:sz w:val="24"/>
              </w:rPr>
            </w:pPr>
          </w:p>
        </w:tc>
      </w:tr>
      <w:tr w14:paraId="27E24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2B6BDE4B">
            <w:pPr>
              <w:spacing w:line="360" w:lineRule="auto"/>
              <w:jc w:val="center"/>
              <w:rPr>
                <w:rFonts w:hint="eastAsia" w:ascii="黑体" w:hAnsi="黑体" w:eastAsia="黑体" w:cs="黑体"/>
                <w:sz w:val="24"/>
              </w:rPr>
            </w:pPr>
          </w:p>
        </w:tc>
        <w:tc>
          <w:tcPr>
            <w:tcW w:w="3266" w:type="dxa"/>
            <w:noWrap w:val="0"/>
            <w:vAlign w:val="center"/>
          </w:tcPr>
          <w:p w14:paraId="74C9CD89">
            <w:pPr>
              <w:spacing w:line="360" w:lineRule="auto"/>
              <w:jc w:val="center"/>
              <w:rPr>
                <w:rFonts w:hint="eastAsia" w:ascii="黑体" w:hAnsi="黑体" w:eastAsia="黑体" w:cs="黑体"/>
                <w:sz w:val="24"/>
              </w:rPr>
            </w:pPr>
          </w:p>
        </w:tc>
        <w:tc>
          <w:tcPr>
            <w:tcW w:w="3599" w:type="dxa"/>
            <w:noWrap w:val="0"/>
            <w:vAlign w:val="center"/>
          </w:tcPr>
          <w:p w14:paraId="02C2C403">
            <w:pPr>
              <w:spacing w:line="360" w:lineRule="auto"/>
              <w:jc w:val="center"/>
              <w:rPr>
                <w:rFonts w:hint="eastAsia" w:ascii="黑体" w:hAnsi="黑体" w:eastAsia="黑体" w:cs="黑体"/>
                <w:sz w:val="24"/>
              </w:rPr>
            </w:pPr>
          </w:p>
        </w:tc>
        <w:tc>
          <w:tcPr>
            <w:tcW w:w="1062" w:type="dxa"/>
            <w:noWrap w:val="0"/>
            <w:vAlign w:val="center"/>
          </w:tcPr>
          <w:p w14:paraId="15B2940E">
            <w:pPr>
              <w:spacing w:line="360" w:lineRule="auto"/>
              <w:jc w:val="center"/>
              <w:rPr>
                <w:rFonts w:hint="eastAsia" w:ascii="黑体" w:hAnsi="黑体" w:eastAsia="黑体" w:cs="黑体"/>
                <w:sz w:val="24"/>
              </w:rPr>
            </w:pPr>
          </w:p>
        </w:tc>
        <w:tc>
          <w:tcPr>
            <w:tcW w:w="1087" w:type="dxa"/>
            <w:noWrap w:val="0"/>
            <w:vAlign w:val="center"/>
          </w:tcPr>
          <w:p w14:paraId="15BF6F0A">
            <w:pPr>
              <w:spacing w:line="360" w:lineRule="auto"/>
              <w:jc w:val="center"/>
              <w:rPr>
                <w:rFonts w:hint="eastAsia" w:ascii="黑体" w:hAnsi="黑体" w:eastAsia="黑体" w:cs="黑体"/>
                <w:sz w:val="24"/>
              </w:rPr>
            </w:pPr>
          </w:p>
        </w:tc>
      </w:tr>
      <w:tr w14:paraId="77D9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03C3317A">
            <w:pPr>
              <w:spacing w:line="360" w:lineRule="auto"/>
              <w:jc w:val="center"/>
              <w:rPr>
                <w:rFonts w:hint="eastAsia" w:ascii="黑体" w:hAnsi="黑体" w:eastAsia="黑体" w:cs="黑体"/>
                <w:sz w:val="24"/>
              </w:rPr>
            </w:pPr>
          </w:p>
        </w:tc>
        <w:tc>
          <w:tcPr>
            <w:tcW w:w="3266" w:type="dxa"/>
            <w:noWrap w:val="0"/>
            <w:vAlign w:val="center"/>
          </w:tcPr>
          <w:p w14:paraId="4A901EFB">
            <w:pPr>
              <w:spacing w:line="360" w:lineRule="auto"/>
              <w:jc w:val="center"/>
              <w:rPr>
                <w:rFonts w:hint="eastAsia" w:ascii="黑体" w:hAnsi="黑体" w:eastAsia="黑体" w:cs="黑体"/>
                <w:sz w:val="24"/>
              </w:rPr>
            </w:pPr>
          </w:p>
        </w:tc>
        <w:tc>
          <w:tcPr>
            <w:tcW w:w="3599" w:type="dxa"/>
            <w:noWrap w:val="0"/>
            <w:vAlign w:val="center"/>
          </w:tcPr>
          <w:p w14:paraId="1FFAB9FF">
            <w:pPr>
              <w:spacing w:line="360" w:lineRule="auto"/>
              <w:jc w:val="center"/>
              <w:rPr>
                <w:rFonts w:hint="eastAsia" w:ascii="黑体" w:hAnsi="黑体" w:eastAsia="黑体" w:cs="黑体"/>
                <w:sz w:val="24"/>
              </w:rPr>
            </w:pPr>
          </w:p>
        </w:tc>
        <w:tc>
          <w:tcPr>
            <w:tcW w:w="1062" w:type="dxa"/>
            <w:noWrap w:val="0"/>
            <w:vAlign w:val="center"/>
          </w:tcPr>
          <w:p w14:paraId="20531C6E">
            <w:pPr>
              <w:spacing w:line="360" w:lineRule="auto"/>
              <w:jc w:val="center"/>
              <w:rPr>
                <w:rFonts w:hint="eastAsia" w:ascii="黑体" w:hAnsi="黑体" w:eastAsia="黑体" w:cs="黑体"/>
                <w:sz w:val="24"/>
              </w:rPr>
            </w:pPr>
          </w:p>
        </w:tc>
        <w:tc>
          <w:tcPr>
            <w:tcW w:w="1087" w:type="dxa"/>
            <w:noWrap w:val="0"/>
            <w:vAlign w:val="center"/>
          </w:tcPr>
          <w:p w14:paraId="370CB072">
            <w:pPr>
              <w:spacing w:line="360" w:lineRule="auto"/>
              <w:jc w:val="center"/>
              <w:rPr>
                <w:rFonts w:hint="eastAsia" w:ascii="黑体" w:hAnsi="黑体" w:eastAsia="黑体" w:cs="黑体"/>
                <w:sz w:val="24"/>
              </w:rPr>
            </w:pPr>
          </w:p>
        </w:tc>
      </w:tr>
      <w:tr w14:paraId="55AB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BC8EEE5">
            <w:pPr>
              <w:spacing w:line="360" w:lineRule="auto"/>
              <w:jc w:val="center"/>
              <w:rPr>
                <w:rFonts w:hint="eastAsia" w:ascii="黑体" w:hAnsi="黑体" w:eastAsia="黑体" w:cs="黑体"/>
                <w:sz w:val="24"/>
              </w:rPr>
            </w:pPr>
          </w:p>
        </w:tc>
        <w:tc>
          <w:tcPr>
            <w:tcW w:w="3266" w:type="dxa"/>
            <w:noWrap w:val="0"/>
            <w:vAlign w:val="center"/>
          </w:tcPr>
          <w:p w14:paraId="2454BEAA">
            <w:pPr>
              <w:spacing w:line="360" w:lineRule="auto"/>
              <w:jc w:val="center"/>
              <w:rPr>
                <w:rFonts w:hint="eastAsia" w:ascii="黑体" w:hAnsi="黑体" w:eastAsia="黑体" w:cs="黑体"/>
                <w:sz w:val="24"/>
              </w:rPr>
            </w:pPr>
          </w:p>
        </w:tc>
        <w:tc>
          <w:tcPr>
            <w:tcW w:w="3599" w:type="dxa"/>
            <w:noWrap w:val="0"/>
            <w:vAlign w:val="center"/>
          </w:tcPr>
          <w:p w14:paraId="6BB8E387">
            <w:pPr>
              <w:spacing w:line="360" w:lineRule="auto"/>
              <w:jc w:val="center"/>
              <w:rPr>
                <w:rFonts w:hint="eastAsia" w:ascii="黑体" w:hAnsi="黑体" w:eastAsia="黑体" w:cs="黑体"/>
                <w:sz w:val="24"/>
              </w:rPr>
            </w:pPr>
          </w:p>
        </w:tc>
        <w:tc>
          <w:tcPr>
            <w:tcW w:w="1062" w:type="dxa"/>
            <w:noWrap w:val="0"/>
            <w:vAlign w:val="center"/>
          </w:tcPr>
          <w:p w14:paraId="688C0FA5">
            <w:pPr>
              <w:spacing w:line="360" w:lineRule="auto"/>
              <w:jc w:val="center"/>
              <w:rPr>
                <w:rFonts w:hint="eastAsia" w:ascii="黑体" w:hAnsi="黑体" w:eastAsia="黑体" w:cs="黑体"/>
                <w:sz w:val="24"/>
              </w:rPr>
            </w:pPr>
          </w:p>
        </w:tc>
        <w:tc>
          <w:tcPr>
            <w:tcW w:w="1087" w:type="dxa"/>
            <w:noWrap w:val="0"/>
            <w:vAlign w:val="center"/>
          </w:tcPr>
          <w:p w14:paraId="55D2C942">
            <w:pPr>
              <w:spacing w:line="360" w:lineRule="auto"/>
              <w:jc w:val="center"/>
              <w:rPr>
                <w:rFonts w:hint="eastAsia" w:ascii="黑体" w:hAnsi="黑体" w:eastAsia="黑体" w:cs="黑体"/>
                <w:sz w:val="24"/>
              </w:rPr>
            </w:pPr>
          </w:p>
        </w:tc>
      </w:tr>
      <w:tr w14:paraId="6D40C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1504A587">
            <w:pPr>
              <w:spacing w:line="360" w:lineRule="auto"/>
              <w:jc w:val="center"/>
              <w:rPr>
                <w:rFonts w:hint="eastAsia" w:ascii="黑体" w:hAnsi="黑体" w:eastAsia="黑体" w:cs="黑体"/>
                <w:sz w:val="24"/>
              </w:rPr>
            </w:pPr>
          </w:p>
        </w:tc>
        <w:tc>
          <w:tcPr>
            <w:tcW w:w="3266" w:type="dxa"/>
            <w:noWrap w:val="0"/>
            <w:vAlign w:val="center"/>
          </w:tcPr>
          <w:p w14:paraId="65F55CDC">
            <w:pPr>
              <w:spacing w:line="360" w:lineRule="auto"/>
              <w:jc w:val="center"/>
              <w:rPr>
                <w:rFonts w:hint="eastAsia" w:ascii="黑体" w:hAnsi="黑体" w:eastAsia="黑体" w:cs="黑体"/>
                <w:sz w:val="24"/>
              </w:rPr>
            </w:pPr>
          </w:p>
        </w:tc>
        <w:tc>
          <w:tcPr>
            <w:tcW w:w="3599" w:type="dxa"/>
            <w:noWrap w:val="0"/>
            <w:vAlign w:val="center"/>
          </w:tcPr>
          <w:p w14:paraId="051A97C7">
            <w:pPr>
              <w:spacing w:line="360" w:lineRule="auto"/>
              <w:jc w:val="center"/>
              <w:rPr>
                <w:rFonts w:hint="eastAsia" w:ascii="黑体" w:hAnsi="黑体" w:eastAsia="黑体" w:cs="黑体"/>
                <w:sz w:val="24"/>
              </w:rPr>
            </w:pPr>
          </w:p>
        </w:tc>
        <w:tc>
          <w:tcPr>
            <w:tcW w:w="1062" w:type="dxa"/>
            <w:noWrap w:val="0"/>
            <w:vAlign w:val="center"/>
          </w:tcPr>
          <w:p w14:paraId="102F777B">
            <w:pPr>
              <w:spacing w:line="360" w:lineRule="auto"/>
              <w:jc w:val="center"/>
              <w:rPr>
                <w:rFonts w:hint="eastAsia" w:ascii="黑体" w:hAnsi="黑体" w:eastAsia="黑体" w:cs="黑体"/>
                <w:sz w:val="24"/>
              </w:rPr>
            </w:pPr>
          </w:p>
        </w:tc>
        <w:tc>
          <w:tcPr>
            <w:tcW w:w="1087" w:type="dxa"/>
            <w:noWrap w:val="0"/>
            <w:vAlign w:val="center"/>
          </w:tcPr>
          <w:p w14:paraId="5597F4EE">
            <w:pPr>
              <w:spacing w:line="360" w:lineRule="auto"/>
              <w:jc w:val="center"/>
              <w:rPr>
                <w:rFonts w:hint="eastAsia" w:ascii="黑体" w:hAnsi="黑体" w:eastAsia="黑体" w:cs="黑体"/>
                <w:sz w:val="24"/>
              </w:rPr>
            </w:pPr>
          </w:p>
        </w:tc>
      </w:tr>
      <w:tr w14:paraId="4B7C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2997A4B2">
            <w:pPr>
              <w:spacing w:line="360" w:lineRule="auto"/>
              <w:jc w:val="center"/>
              <w:rPr>
                <w:rFonts w:hint="eastAsia" w:ascii="黑体" w:hAnsi="黑体" w:eastAsia="黑体" w:cs="黑体"/>
                <w:sz w:val="24"/>
              </w:rPr>
            </w:pPr>
          </w:p>
        </w:tc>
        <w:tc>
          <w:tcPr>
            <w:tcW w:w="3266" w:type="dxa"/>
            <w:noWrap w:val="0"/>
            <w:vAlign w:val="center"/>
          </w:tcPr>
          <w:p w14:paraId="14E4F515">
            <w:pPr>
              <w:spacing w:line="360" w:lineRule="auto"/>
              <w:jc w:val="center"/>
              <w:rPr>
                <w:rFonts w:hint="eastAsia" w:ascii="黑体" w:hAnsi="黑体" w:eastAsia="黑体" w:cs="黑体"/>
                <w:sz w:val="24"/>
              </w:rPr>
            </w:pPr>
          </w:p>
        </w:tc>
        <w:tc>
          <w:tcPr>
            <w:tcW w:w="3599" w:type="dxa"/>
            <w:noWrap w:val="0"/>
            <w:vAlign w:val="center"/>
          </w:tcPr>
          <w:p w14:paraId="152BE023">
            <w:pPr>
              <w:spacing w:line="360" w:lineRule="auto"/>
              <w:jc w:val="center"/>
              <w:rPr>
                <w:rFonts w:hint="eastAsia" w:ascii="黑体" w:hAnsi="黑体" w:eastAsia="黑体" w:cs="黑体"/>
                <w:sz w:val="24"/>
              </w:rPr>
            </w:pPr>
          </w:p>
        </w:tc>
        <w:tc>
          <w:tcPr>
            <w:tcW w:w="1062" w:type="dxa"/>
            <w:noWrap w:val="0"/>
            <w:vAlign w:val="center"/>
          </w:tcPr>
          <w:p w14:paraId="4A8AD167">
            <w:pPr>
              <w:spacing w:line="360" w:lineRule="auto"/>
              <w:jc w:val="center"/>
              <w:rPr>
                <w:rFonts w:hint="eastAsia" w:ascii="黑体" w:hAnsi="黑体" w:eastAsia="黑体" w:cs="黑体"/>
                <w:sz w:val="24"/>
              </w:rPr>
            </w:pPr>
          </w:p>
        </w:tc>
        <w:tc>
          <w:tcPr>
            <w:tcW w:w="1087" w:type="dxa"/>
            <w:noWrap w:val="0"/>
            <w:vAlign w:val="center"/>
          </w:tcPr>
          <w:p w14:paraId="04BA30BB">
            <w:pPr>
              <w:spacing w:line="360" w:lineRule="auto"/>
              <w:jc w:val="center"/>
              <w:rPr>
                <w:rFonts w:hint="eastAsia" w:ascii="黑体" w:hAnsi="黑体" w:eastAsia="黑体" w:cs="黑体"/>
                <w:sz w:val="24"/>
              </w:rPr>
            </w:pPr>
          </w:p>
        </w:tc>
      </w:tr>
      <w:tr w14:paraId="63E9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5CDBE10">
            <w:pPr>
              <w:spacing w:line="360" w:lineRule="auto"/>
              <w:jc w:val="center"/>
              <w:rPr>
                <w:rFonts w:hint="eastAsia" w:ascii="黑体" w:hAnsi="黑体" w:eastAsia="黑体" w:cs="黑体"/>
                <w:sz w:val="24"/>
              </w:rPr>
            </w:pPr>
          </w:p>
        </w:tc>
        <w:tc>
          <w:tcPr>
            <w:tcW w:w="3266" w:type="dxa"/>
            <w:noWrap w:val="0"/>
            <w:vAlign w:val="center"/>
          </w:tcPr>
          <w:p w14:paraId="203A4E32">
            <w:pPr>
              <w:spacing w:line="360" w:lineRule="auto"/>
              <w:jc w:val="center"/>
              <w:rPr>
                <w:rFonts w:hint="eastAsia" w:ascii="黑体" w:hAnsi="黑体" w:eastAsia="黑体" w:cs="黑体"/>
                <w:sz w:val="24"/>
              </w:rPr>
            </w:pPr>
          </w:p>
        </w:tc>
        <w:tc>
          <w:tcPr>
            <w:tcW w:w="3599" w:type="dxa"/>
            <w:noWrap w:val="0"/>
            <w:vAlign w:val="center"/>
          </w:tcPr>
          <w:p w14:paraId="49A50CB7">
            <w:pPr>
              <w:spacing w:line="360" w:lineRule="auto"/>
              <w:jc w:val="center"/>
              <w:rPr>
                <w:rFonts w:hint="eastAsia" w:ascii="黑体" w:hAnsi="黑体" w:eastAsia="黑体" w:cs="黑体"/>
                <w:sz w:val="24"/>
              </w:rPr>
            </w:pPr>
          </w:p>
        </w:tc>
        <w:tc>
          <w:tcPr>
            <w:tcW w:w="1062" w:type="dxa"/>
            <w:noWrap w:val="0"/>
            <w:vAlign w:val="center"/>
          </w:tcPr>
          <w:p w14:paraId="1D78BF1C">
            <w:pPr>
              <w:spacing w:line="360" w:lineRule="auto"/>
              <w:jc w:val="center"/>
              <w:rPr>
                <w:rFonts w:hint="eastAsia" w:ascii="黑体" w:hAnsi="黑体" w:eastAsia="黑体" w:cs="黑体"/>
                <w:sz w:val="24"/>
              </w:rPr>
            </w:pPr>
          </w:p>
        </w:tc>
        <w:tc>
          <w:tcPr>
            <w:tcW w:w="1087" w:type="dxa"/>
            <w:noWrap w:val="0"/>
            <w:vAlign w:val="center"/>
          </w:tcPr>
          <w:p w14:paraId="5DA9A4F8">
            <w:pPr>
              <w:spacing w:line="360" w:lineRule="auto"/>
              <w:jc w:val="center"/>
              <w:rPr>
                <w:rFonts w:hint="eastAsia" w:ascii="黑体" w:hAnsi="黑体" w:eastAsia="黑体" w:cs="黑体"/>
                <w:sz w:val="24"/>
              </w:rPr>
            </w:pPr>
          </w:p>
        </w:tc>
      </w:tr>
      <w:tr w14:paraId="5D84B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728026E4">
            <w:pPr>
              <w:spacing w:line="360" w:lineRule="auto"/>
              <w:jc w:val="center"/>
              <w:rPr>
                <w:rFonts w:hint="eastAsia" w:ascii="黑体" w:hAnsi="黑体" w:eastAsia="黑体" w:cs="黑体"/>
                <w:sz w:val="24"/>
              </w:rPr>
            </w:pPr>
          </w:p>
        </w:tc>
        <w:tc>
          <w:tcPr>
            <w:tcW w:w="3266" w:type="dxa"/>
            <w:noWrap w:val="0"/>
            <w:vAlign w:val="center"/>
          </w:tcPr>
          <w:p w14:paraId="30D59516">
            <w:pPr>
              <w:spacing w:line="360" w:lineRule="auto"/>
              <w:jc w:val="center"/>
              <w:rPr>
                <w:rFonts w:hint="eastAsia" w:ascii="黑体" w:hAnsi="黑体" w:eastAsia="黑体" w:cs="黑体"/>
                <w:sz w:val="24"/>
              </w:rPr>
            </w:pPr>
          </w:p>
        </w:tc>
        <w:tc>
          <w:tcPr>
            <w:tcW w:w="3599" w:type="dxa"/>
            <w:noWrap w:val="0"/>
            <w:vAlign w:val="center"/>
          </w:tcPr>
          <w:p w14:paraId="64F6641E">
            <w:pPr>
              <w:spacing w:line="360" w:lineRule="auto"/>
              <w:jc w:val="center"/>
              <w:rPr>
                <w:rFonts w:hint="eastAsia" w:ascii="黑体" w:hAnsi="黑体" w:eastAsia="黑体" w:cs="黑体"/>
                <w:sz w:val="24"/>
              </w:rPr>
            </w:pPr>
          </w:p>
        </w:tc>
        <w:tc>
          <w:tcPr>
            <w:tcW w:w="1062" w:type="dxa"/>
            <w:noWrap w:val="0"/>
            <w:vAlign w:val="center"/>
          </w:tcPr>
          <w:p w14:paraId="02790ADA">
            <w:pPr>
              <w:spacing w:line="360" w:lineRule="auto"/>
              <w:jc w:val="center"/>
              <w:rPr>
                <w:rFonts w:hint="eastAsia" w:ascii="黑体" w:hAnsi="黑体" w:eastAsia="黑体" w:cs="黑体"/>
                <w:sz w:val="24"/>
              </w:rPr>
            </w:pPr>
          </w:p>
        </w:tc>
        <w:tc>
          <w:tcPr>
            <w:tcW w:w="1087" w:type="dxa"/>
            <w:noWrap w:val="0"/>
            <w:vAlign w:val="center"/>
          </w:tcPr>
          <w:p w14:paraId="40B8D35E">
            <w:pPr>
              <w:spacing w:line="360" w:lineRule="auto"/>
              <w:jc w:val="center"/>
              <w:rPr>
                <w:rFonts w:hint="eastAsia" w:ascii="黑体" w:hAnsi="黑体" w:eastAsia="黑体" w:cs="黑体"/>
                <w:sz w:val="24"/>
              </w:rPr>
            </w:pPr>
          </w:p>
        </w:tc>
      </w:tr>
      <w:tr w14:paraId="27DBE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1A8A2D0">
            <w:pPr>
              <w:spacing w:line="360" w:lineRule="auto"/>
              <w:jc w:val="center"/>
              <w:rPr>
                <w:rFonts w:hint="eastAsia" w:ascii="黑体" w:hAnsi="黑体" w:eastAsia="黑体" w:cs="黑体"/>
                <w:sz w:val="24"/>
              </w:rPr>
            </w:pPr>
          </w:p>
        </w:tc>
        <w:tc>
          <w:tcPr>
            <w:tcW w:w="3266" w:type="dxa"/>
            <w:noWrap w:val="0"/>
            <w:vAlign w:val="center"/>
          </w:tcPr>
          <w:p w14:paraId="37D69727">
            <w:pPr>
              <w:spacing w:line="360" w:lineRule="auto"/>
              <w:jc w:val="center"/>
              <w:rPr>
                <w:rFonts w:hint="eastAsia" w:ascii="黑体" w:hAnsi="黑体" w:eastAsia="黑体" w:cs="黑体"/>
                <w:sz w:val="24"/>
              </w:rPr>
            </w:pPr>
          </w:p>
        </w:tc>
        <w:tc>
          <w:tcPr>
            <w:tcW w:w="3599" w:type="dxa"/>
            <w:noWrap w:val="0"/>
            <w:vAlign w:val="center"/>
          </w:tcPr>
          <w:p w14:paraId="607BA288">
            <w:pPr>
              <w:spacing w:line="360" w:lineRule="auto"/>
              <w:jc w:val="center"/>
              <w:rPr>
                <w:rFonts w:hint="eastAsia" w:ascii="黑体" w:hAnsi="黑体" w:eastAsia="黑体" w:cs="黑体"/>
                <w:sz w:val="24"/>
              </w:rPr>
            </w:pPr>
          </w:p>
        </w:tc>
        <w:tc>
          <w:tcPr>
            <w:tcW w:w="1062" w:type="dxa"/>
            <w:noWrap w:val="0"/>
            <w:vAlign w:val="center"/>
          </w:tcPr>
          <w:p w14:paraId="3E3248E7">
            <w:pPr>
              <w:spacing w:line="360" w:lineRule="auto"/>
              <w:jc w:val="center"/>
              <w:rPr>
                <w:rFonts w:hint="eastAsia" w:ascii="黑体" w:hAnsi="黑体" w:eastAsia="黑体" w:cs="黑体"/>
                <w:sz w:val="24"/>
              </w:rPr>
            </w:pPr>
          </w:p>
        </w:tc>
        <w:tc>
          <w:tcPr>
            <w:tcW w:w="1087" w:type="dxa"/>
            <w:noWrap w:val="0"/>
            <w:vAlign w:val="center"/>
          </w:tcPr>
          <w:p w14:paraId="610E7E92">
            <w:pPr>
              <w:spacing w:line="360" w:lineRule="auto"/>
              <w:jc w:val="center"/>
              <w:rPr>
                <w:rFonts w:hint="eastAsia" w:ascii="黑体" w:hAnsi="黑体" w:eastAsia="黑体" w:cs="黑体"/>
                <w:sz w:val="24"/>
              </w:rPr>
            </w:pPr>
          </w:p>
        </w:tc>
      </w:tr>
      <w:tr w14:paraId="48B6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115F813">
            <w:pPr>
              <w:spacing w:line="360" w:lineRule="auto"/>
              <w:jc w:val="center"/>
              <w:rPr>
                <w:rFonts w:hint="eastAsia" w:ascii="黑体" w:hAnsi="黑体" w:eastAsia="黑体" w:cs="黑体"/>
                <w:sz w:val="24"/>
              </w:rPr>
            </w:pPr>
          </w:p>
        </w:tc>
        <w:tc>
          <w:tcPr>
            <w:tcW w:w="3266" w:type="dxa"/>
            <w:noWrap w:val="0"/>
            <w:vAlign w:val="center"/>
          </w:tcPr>
          <w:p w14:paraId="1CF2FE9C">
            <w:pPr>
              <w:spacing w:line="360" w:lineRule="auto"/>
              <w:jc w:val="center"/>
              <w:rPr>
                <w:rFonts w:hint="eastAsia" w:ascii="黑体" w:hAnsi="黑体" w:eastAsia="黑体" w:cs="黑体"/>
                <w:sz w:val="24"/>
              </w:rPr>
            </w:pPr>
          </w:p>
        </w:tc>
        <w:tc>
          <w:tcPr>
            <w:tcW w:w="3599" w:type="dxa"/>
            <w:noWrap w:val="0"/>
            <w:vAlign w:val="center"/>
          </w:tcPr>
          <w:p w14:paraId="1F3B934B">
            <w:pPr>
              <w:spacing w:line="360" w:lineRule="auto"/>
              <w:jc w:val="center"/>
              <w:rPr>
                <w:rFonts w:hint="eastAsia" w:ascii="黑体" w:hAnsi="黑体" w:eastAsia="黑体" w:cs="黑体"/>
                <w:sz w:val="24"/>
              </w:rPr>
            </w:pPr>
          </w:p>
        </w:tc>
        <w:tc>
          <w:tcPr>
            <w:tcW w:w="1062" w:type="dxa"/>
            <w:noWrap w:val="0"/>
            <w:vAlign w:val="center"/>
          </w:tcPr>
          <w:p w14:paraId="52CA4717">
            <w:pPr>
              <w:spacing w:line="360" w:lineRule="auto"/>
              <w:jc w:val="center"/>
              <w:rPr>
                <w:rFonts w:hint="eastAsia" w:ascii="黑体" w:hAnsi="黑体" w:eastAsia="黑体" w:cs="黑体"/>
                <w:sz w:val="24"/>
              </w:rPr>
            </w:pPr>
          </w:p>
        </w:tc>
        <w:tc>
          <w:tcPr>
            <w:tcW w:w="1087" w:type="dxa"/>
            <w:noWrap w:val="0"/>
            <w:vAlign w:val="center"/>
          </w:tcPr>
          <w:p w14:paraId="755BA558">
            <w:pPr>
              <w:spacing w:line="360" w:lineRule="auto"/>
              <w:jc w:val="center"/>
              <w:rPr>
                <w:rFonts w:hint="eastAsia" w:ascii="黑体" w:hAnsi="黑体" w:eastAsia="黑体" w:cs="黑体"/>
                <w:sz w:val="24"/>
              </w:rPr>
            </w:pPr>
          </w:p>
        </w:tc>
      </w:tr>
      <w:tr w14:paraId="7B7B1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7" w:hRule="atLeast"/>
          <w:jc w:val="center"/>
        </w:trPr>
        <w:tc>
          <w:tcPr>
            <w:tcW w:w="836" w:type="dxa"/>
            <w:noWrap w:val="0"/>
            <w:vAlign w:val="center"/>
          </w:tcPr>
          <w:p w14:paraId="52047EF4">
            <w:pPr>
              <w:spacing w:line="360" w:lineRule="auto"/>
              <w:jc w:val="center"/>
              <w:rPr>
                <w:rFonts w:hint="eastAsia" w:ascii="黑体" w:hAnsi="黑体" w:eastAsia="黑体" w:cs="黑体"/>
                <w:sz w:val="24"/>
              </w:rPr>
            </w:pPr>
          </w:p>
        </w:tc>
        <w:tc>
          <w:tcPr>
            <w:tcW w:w="3266" w:type="dxa"/>
            <w:noWrap w:val="0"/>
            <w:vAlign w:val="center"/>
          </w:tcPr>
          <w:p w14:paraId="7E0E0BCC">
            <w:pPr>
              <w:spacing w:line="360" w:lineRule="auto"/>
              <w:jc w:val="center"/>
              <w:rPr>
                <w:rFonts w:hint="eastAsia" w:ascii="黑体" w:hAnsi="黑体" w:eastAsia="黑体" w:cs="黑体"/>
                <w:sz w:val="24"/>
              </w:rPr>
            </w:pPr>
          </w:p>
        </w:tc>
        <w:tc>
          <w:tcPr>
            <w:tcW w:w="3599" w:type="dxa"/>
            <w:noWrap w:val="0"/>
            <w:vAlign w:val="center"/>
          </w:tcPr>
          <w:p w14:paraId="752D02CA">
            <w:pPr>
              <w:spacing w:line="360" w:lineRule="auto"/>
              <w:jc w:val="center"/>
              <w:rPr>
                <w:rFonts w:hint="eastAsia" w:ascii="黑体" w:hAnsi="黑体" w:eastAsia="黑体" w:cs="黑体"/>
                <w:sz w:val="24"/>
              </w:rPr>
            </w:pPr>
          </w:p>
        </w:tc>
        <w:tc>
          <w:tcPr>
            <w:tcW w:w="1062" w:type="dxa"/>
            <w:noWrap w:val="0"/>
            <w:vAlign w:val="center"/>
          </w:tcPr>
          <w:p w14:paraId="59F377A6">
            <w:pPr>
              <w:spacing w:line="360" w:lineRule="auto"/>
              <w:jc w:val="center"/>
              <w:rPr>
                <w:rFonts w:hint="eastAsia" w:ascii="黑体" w:hAnsi="黑体" w:eastAsia="黑体" w:cs="黑体"/>
                <w:sz w:val="24"/>
              </w:rPr>
            </w:pPr>
          </w:p>
        </w:tc>
        <w:tc>
          <w:tcPr>
            <w:tcW w:w="1087" w:type="dxa"/>
            <w:noWrap w:val="0"/>
            <w:vAlign w:val="center"/>
          </w:tcPr>
          <w:p w14:paraId="6C78703B">
            <w:pPr>
              <w:spacing w:line="360" w:lineRule="auto"/>
              <w:jc w:val="center"/>
              <w:rPr>
                <w:rFonts w:hint="eastAsia" w:ascii="黑体" w:hAnsi="黑体" w:eastAsia="黑体" w:cs="黑体"/>
                <w:sz w:val="24"/>
              </w:rPr>
            </w:pPr>
          </w:p>
        </w:tc>
      </w:tr>
    </w:tbl>
    <w:p w14:paraId="7B0301A5">
      <w:pPr>
        <w:adjustRightInd w:val="0"/>
        <w:snapToGrid w:val="0"/>
        <w:spacing w:line="360" w:lineRule="auto"/>
        <w:rPr>
          <w:rFonts w:hint="eastAsia" w:ascii="黑体" w:hAnsi="黑体" w:eastAsia="黑体" w:cs="黑体"/>
          <w:sz w:val="24"/>
        </w:rPr>
      </w:pPr>
      <w:r>
        <w:rPr>
          <w:rFonts w:hint="eastAsia" w:ascii="黑体" w:hAnsi="黑体" w:eastAsia="黑体" w:cs="黑体"/>
          <w:sz w:val="24"/>
        </w:rPr>
        <w:t xml:space="preserve"> </w:t>
      </w:r>
    </w:p>
    <w:p w14:paraId="734DF6CD">
      <w:pPr>
        <w:adjustRightInd w:val="0"/>
        <w:snapToGrid w:val="0"/>
        <w:spacing w:line="360" w:lineRule="auto"/>
        <w:rPr>
          <w:rFonts w:hint="eastAsia" w:ascii="黑体" w:hAnsi="黑体" w:eastAsia="黑体" w:cs="黑体"/>
          <w:sz w:val="24"/>
        </w:rPr>
      </w:pPr>
      <w:r>
        <w:rPr>
          <w:rFonts w:hint="eastAsia" w:ascii="黑体" w:hAnsi="黑体" w:eastAsia="黑体" w:cs="黑体"/>
          <w:b/>
          <w:bCs/>
          <w:sz w:val="24"/>
        </w:rPr>
        <w:t>说明：</w:t>
      </w:r>
    </w:p>
    <w:p w14:paraId="1FC9B567">
      <w:pPr>
        <w:pStyle w:val="13"/>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投标文件根据</w:t>
      </w:r>
      <w:r>
        <w:rPr>
          <w:rFonts w:hint="eastAsia" w:ascii="黑体" w:hAnsi="黑体" w:eastAsia="黑体" w:cs="黑体"/>
          <w:color w:val="000000"/>
          <w:sz w:val="24"/>
          <w:szCs w:val="24"/>
          <w:lang w:val="en-US" w:eastAsia="zh-CN"/>
        </w:rPr>
        <w:t>招标</w:t>
      </w:r>
      <w:r>
        <w:rPr>
          <w:rFonts w:hint="eastAsia" w:ascii="黑体" w:hAnsi="黑体" w:eastAsia="黑体" w:cs="黑体"/>
          <w:color w:val="000000"/>
          <w:sz w:val="24"/>
          <w:szCs w:val="24"/>
        </w:rPr>
        <w:t>文件</w:t>
      </w:r>
      <w:r>
        <w:rPr>
          <w:rFonts w:hint="eastAsia" w:ascii="黑体" w:hAnsi="黑体" w:eastAsia="黑体" w:cs="黑体"/>
          <w:color w:val="000000"/>
          <w:sz w:val="24"/>
          <w:szCs w:val="24"/>
          <w:lang w:val="en-US" w:eastAsia="zh-CN"/>
        </w:rPr>
        <w:t>服务</w:t>
      </w:r>
      <w:r>
        <w:rPr>
          <w:rFonts w:hint="eastAsia" w:ascii="黑体" w:hAnsi="黑体" w:eastAsia="黑体" w:cs="黑体"/>
          <w:color w:val="000000"/>
          <w:sz w:val="24"/>
          <w:szCs w:val="24"/>
        </w:rPr>
        <w:t>要求填写</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除本商务偏离表中所列的偏离项目外，其他所有</w:t>
      </w:r>
      <w:r>
        <w:rPr>
          <w:rFonts w:hint="eastAsia" w:ascii="黑体" w:hAnsi="黑体" w:eastAsia="黑体" w:cs="黑体"/>
          <w:color w:val="000000"/>
          <w:sz w:val="24"/>
          <w:szCs w:val="24"/>
          <w:lang w:val="en-US" w:eastAsia="zh-CN"/>
        </w:rPr>
        <w:t>服务要求</w:t>
      </w:r>
      <w:r>
        <w:rPr>
          <w:rFonts w:hint="eastAsia" w:ascii="黑体" w:hAnsi="黑体" w:eastAsia="黑体" w:cs="黑体"/>
          <w:color w:val="000000"/>
          <w:sz w:val="24"/>
          <w:szCs w:val="24"/>
        </w:rPr>
        <w:t>均完全响应“招标文件”中的要求。</w:t>
      </w:r>
    </w:p>
    <w:p w14:paraId="60C70116">
      <w:pPr>
        <w:pStyle w:val="13"/>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偏离情况填写：正偏离、无偏离、负偏离。</w:t>
      </w:r>
    </w:p>
    <w:p w14:paraId="3FA6D128">
      <w:pPr>
        <w:spacing w:line="360" w:lineRule="auto"/>
        <w:ind w:firstLine="720" w:firstLineChars="300"/>
        <w:rPr>
          <w:rFonts w:hint="eastAsia" w:ascii="黑体" w:hAnsi="黑体" w:eastAsia="黑体" w:cs="黑体"/>
          <w:sz w:val="24"/>
        </w:rPr>
      </w:pPr>
    </w:p>
    <w:p w14:paraId="047D0155">
      <w:pPr>
        <w:spacing w:before="82" w:line="219" w:lineRule="auto"/>
        <w:ind w:left="8" w:firstLine="2106" w:firstLineChars="900"/>
        <w:rPr>
          <w:rFonts w:hint="eastAsia" w:ascii="黑体" w:hAnsi="黑体" w:eastAsia="黑体" w:cs="黑体"/>
          <w:sz w:val="24"/>
          <w:szCs w:val="24"/>
        </w:rPr>
      </w:pPr>
      <w:r>
        <w:rPr>
          <w:rFonts w:hint="eastAsia" w:ascii="黑体" w:hAnsi="黑体" w:eastAsia="黑体" w:cs="黑体"/>
          <w:spacing w:val="-3"/>
          <w:sz w:val="24"/>
          <w:szCs w:val="24"/>
          <w:lang w:val="en-US" w:eastAsia="zh-CN"/>
        </w:rPr>
        <w:t>投标单位名称</w:t>
      </w:r>
      <w:r>
        <w:rPr>
          <w:rFonts w:hint="eastAsia" w:ascii="黑体" w:hAnsi="黑体" w:eastAsia="黑体" w:cs="黑体"/>
          <w:spacing w:val="-3"/>
          <w:sz w:val="24"/>
          <w:szCs w:val="24"/>
        </w:rPr>
        <w:t>：</w:t>
      </w:r>
      <w:r>
        <w:rPr>
          <w:rFonts w:hint="eastAsia" w:ascii="黑体" w:hAnsi="黑体" w:eastAsia="黑体" w:cs="黑体"/>
          <w:spacing w:val="-3"/>
          <w:sz w:val="24"/>
          <w:szCs w:val="24"/>
          <w:u w:val="single"/>
        </w:rPr>
        <w:t xml:space="preserve">                       </w:t>
      </w:r>
      <w:r>
        <w:rPr>
          <w:rFonts w:hint="eastAsia" w:ascii="黑体" w:hAnsi="黑体" w:eastAsia="黑体" w:cs="黑体"/>
          <w:spacing w:val="-3"/>
          <w:sz w:val="24"/>
          <w:szCs w:val="24"/>
        </w:rPr>
        <w:t xml:space="preserve">  (加盖公章)</w:t>
      </w:r>
    </w:p>
    <w:p w14:paraId="1A3D76D9">
      <w:pPr>
        <w:spacing w:before="222" w:line="219" w:lineRule="auto"/>
        <w:ind w:left="8" w:firstLine="2120" w:firstLineChars="1000"/>
        <w:rPr>
          <w:rFonts w:hint="eastAsia" w:ascii="黑体" w:hAnsi="黑体" w:eastAsia="黑体" w:cs="黑体"/>
          <w:sz w:val="24"/>
          <w:szCs w:val="24"/>
        </w:rPr>
      </w:pPr>
      <w:r>
        <w:rPr>
          <w:rFonts w:hint="eastAsia" w:ascii="黑体" w:hAnsi="黑体" w:eastAsia="黑体" w:cs="黑体"/>
          <w:spacing w:val="-14"/>
          <w:sz w:val="24"/>
          <w:szCs w:val="24"/>
        </w:rPr>
        <w:t>法</w:t>
      </w:r>
      <w:r>
        <w:rPr>
          <w:rFonts w:hint="eastAsia" w:ascii="黑体" w:hAnsi="黑体" w:eastAsia="黑体" w:cs="黑体"/>
          <w:spacing w:val="-43"/>
          <w:sz w:val="24"/>
          <w:szCs w:val="24"/>
        </w:rPr>
        <w:t xml:space="preserve"> </w:t>
      </w:r>
      <w:r>
        <w:rPr>
          <w:rFonts w:hint="eastAsia" w:ascii="黑体" w:hAnsi="黑体" w:eastAsia="黑体" w:cs="黑体"/>
          <w:spacing w:val="-14"/>
          <w:sz w:val="24"/>
          <w:szCs w:val="24"/>
        </w:rPr>
        <w:t>定</w:t>
      </w:r>
      <w:r>
        <w:rPr>
          <w:rFonts w:hint="eastAsia" w:ascii="黑体" w:hAnsi="黑体" w:eastAsia="黑体" w:cs="黑体"/>
          <w:spacing w:val="-50"/>
          <w:sz w:val="24"/>
          <w:szCs w:val="24"/>
        </w:rPr>
        <w:t xml:space="preserve"> </w:t>
      </w:r>
      <w:r>
        <w:rPr>
          <w:rFonts w:hint="eastAsia" w:ascii="黑体" w:hAnsi="黑体" w:eastAsia="黑体" w:cs="黑体"/>
          <w:spacing w:val="-14"/>
          <w:sz w:val="24"/>
          <w:szCs w:val="24"/>
        </w:rPr>
        <w:t>代</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表</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0"/>
          <w:sz w:val="24"/>
          <w:szCs w:val="24"/>
        </w:rPr>
        <w:t xml:space="preserve"> </w:t>
      </w:r>
      <w:r>
        <w:rPr>
          <w:rFonts w:hint="eastAsia" w:ascii="黑体" w:hAnsi="黑体" w:eastAsia="黑体" w:cs="黑体"/>
          <w:spacing w:val="-14"/>
          <w:sz w:val="24"/>
          <w:szCs w:val="24"/>
        </w:rPr>
        <w:t>负</w:t>
      </w:r>
      <w:r>
        <w:rPr>
          <w:rFonts w:hint="eastAsia" w:ascii="黑体" w:hAnsi="黑体" w:eastAsia="黑体" w:cs="黑体"/>
          <w:spacing w:val="-41"/>
          <w:sz w:val="24"/>
          <w:szCs w:val="24"/>
        </w:rPr>
        <w:t xml:space="preserve"> </w:t>
      </w:r>
      <w:r>
        <w:rPr>
          <w:rFonts w:hint="eastAsia" w:ascii="黑体" w:hAnsi="黑体" w:eastAsia="黑体" w:cs="黑体"/>
          <w:spacing w:val="-14"/>
          <w:sz w:val="24"/>
          <w:szCs w:val="24"/>
        </w:rPr>
        <w:t>责</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w:t>
      </w:r>
      <w:r>
        <w:rPr>
          <w:rFonts w:hint="eastAsia" w:ascii="黑体" w:hAnsi="黑体" w:eastAsia="黑体" w:cs="黑体"/>
          <w:spacing w:val="-46"/>
          <w:sz w:val="24"/>
          <w:szCs w:val="24"/>
        </w:rPr>
        <w:t xml:space="preserve"> </w:t>
      </w:r>
      <w:r>
        <w:rPr>
          <w:rFonts w:hint="eastAsia" w:ascii="黑体" w:hAnsi="黑体" w:eastAsia="黑体" w:cs="黑体"/>
          <w:spacing w:val="-14"/>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被</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授</w:t>
      </w:r>
      <w:r>
        <w:rPr>
          <w:rFonts w:hint="eastAsia" w:ascii="黑体" w:hAnsi="黑体" w:eastAsia="黑体" w:cs="黑体"/>
          <w:spacing w:val="-49"/>
          <w:sz w:val="24"/>
          <w:szCs w:val="24"/>
        </w:rPr>
        <w:t xml:space="preserve"> </w:t>
      </w:r>
      <w:r>
        <w:rPr>
          <w:rFonts w:hint="eastAsia" w:ascii="黑体" w:hAnsi="黑体" w:eastAsia="黑体" w:cs="黑体"/>
          <w:spacing w:val="-14"/>
          <w:sz w:val="24"/>
          <w:szCs w:val="24"/>
        </w:rPr>
        <w:t>权</w:t>
      </w:r>
      <w:r>
        <w:rPr>
          <w:rFonts w:hint="eastAsia" w:ascii="黑体" w:hAnsi="黑体" w:eastAsia="黑体" w:cs="黑体"/>
          <w:spacing w:val="-47"/>
          <w:sz w:val="24"/>
          <w:szCs w:val="24"/>
        </w:rPr>
        <w:t xml:space="preserve"> </w:t>
      </w:r>
      <w:r>
        <w:rPr>
          <w:rFonts w:hint="eastAsia" w:ascii="黑体" w:hAnsi="黑体" w:eastAsia="黑体" w:cs="黑体"/>
          <w:spacing w:val="-14"/>
          <w:sz w:val="24"/>
          <w:szCs w:val="24"/>
        </w:rPr>
        <w:t>人 (</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签</w:t>
      </w:r>
      <w:r>
        <w:rPr>
          <w:rFonts w:hint="eastAsia" w:ascii="黑体" w:hAnsi="黑体" w:eastAsia="黑体" w:cs="黑体"/>
          <w:spacing w:val="-48"/>
          <w:sz w:val="24"/>
          <w:szCs w:val="24"/>
        </w:rPr>
        <w:t xml:space="preserve"> </w:t>
      </w:r>
      <w:r>
        <w:rPr>
          <w:rFonts w:hint="eastAsia" w:ascii="黑体" w:hAnsi="黑体" w:eastAsia="黑体" w:cs="黑体"/>
          <w:spacing w:val="-14"/>
          <w:sz w:val="24"/>
          <w:szCs w:val="24"/>
        </w:rPr>
        <w:t>字</w:t>
      </w:r>
      <w:r>
        <w:rPr>
          <w:rFonts w:hint="eastAsia" w:ascii="黑体" w:hAnsi="黑体" w:eastAsia="黑体" w:cs="黑体"/>
          <w:spacing w:val="-45"/>
          <w:sz w:val="24"/>
          <w:szCs w:val="24"/>
        </w:rPr>
        <w:t xml:space="preserve"> </w:t>
      </w:r>
      <w:r>
        <w:rPr>
          <w:rFonts w:hint="eastAsia" w:ascii="黑体" w:hAnsi="黑体" w:eastAsia="黑体" w:cs="黑体"/>
          <w:spacing w:val="-15"/>
          <w:sz w:val="24"/>
          <w:szCs w:val="24"/>
        </w:rPr>
        <w:t>或</w:t>
      </w:r>
      <w:r>
        <w:rPr>
          <w:rFonts w:hint="eastAsia" w:ascii="黑体" w:hAnsi="黑体" w:eastAsia="黑体" w:cs="黑体"/>
          <w:spacing w:val="-48"/>
          <w:sz w:val="24"/>
          <w:szCs w:val="24"/>
        </w:rPr>
        <w:t xml:space="preserve"> </w:t>
      </w:r>
      <w:r>
        <w:rPr>
          <w:rFonts w:hint="eastAsia" w:ascii="黑体" w:hAnsi="黑体" w:eastAsia="黑体" w:cs="黑体"/>
          <w:spacing w:val="-15"/>
          <w:sz w:val="24"/>
          <w:szCs w:val="24"/>
        </w:rPr>
        <w:t>盖</w:t>
      </w:r>
      <w:r>
        <w:rPr>
          <w:rFonts w:hint="eastAsia" w:ascii="黑体" w:hAnsi="黑体" w:eastAsia="黑体" w:cs="黑体"/>
          <w:spacing w:val="-41"/>
          <w:sz w:val="24"/>
          <w:szCs w:val="24"/>
        </w:rPr>
        <w:t xml:space="preserve"> </w:t>
      </w:r>
      <w:r>
        <w:rPr>
          <w:rFonts w:hint="eastAsia" w:ascii="黑体" w:hAnsi="黑体" w:eastAsia="黑体" w:cs="黑体"/>
          <w:spacing w:val="-15"/>
          <w:sz w:val="24"/>
          <w:szCs w:val="24"/>
        </w:rPr>
        <w:t>章</w:t>
      </w:r>
      <w:r>
        <w:rPr>
          <w:rFonts w:hint="eastAsia" w:ascii="黑体" w:hAnsi="黑体" w:eastAsia="黑体" w:cs="黑体"/>
          <w:spacing w:val="-47"/>
          <w:sz w:val="24"/>
          <w:szCs w:val="24"/>
        </w:rPr>
        <w:t xml:space="preserve"> </w:t>
      </w:r>
      <w:r>
        <w:rPr>
          <w:rFonts w:hint="eastAsia" w:ascii="黑体" w:hAnsi="黑体" w:eastAsia="黑体" w:cs="黑体"/>
          <w:spacing w:val="-15"/>
          <w:sz w:val="24"/>
          <w:szCs w:val="24"/>
        </w:rPr>
        <w:t>) :</w:t>
      </w:r>
      <w:r>
        <w:rPr>
          <w:rFonts w:hint="eastAsia" w:ascii="黑体" w:hAnsi="黑体" w:eastAsia="黑体" w:cs="黑体"/>
          <w:spacing w:val="62"/>
          <w:sz w:val="24"/>
          <w:szCs w:val="24"/>
        </w:rPr>
        <w:t xml:space="preserve"> </w:t>
      </w:r>
      <w:r>
        <w:rPr>
          <w:rFonts w:hint="eastAsia" w:ascii="黑体" w:hAnsi="黑体" w:eastAsia="黑体" w:cs="黑体"/>
          <w:sz w:val="24"/>
          <w:szCs w:val="24"/>
          <w:u w:val="single" w:color="auto"/>
        </w:rPr>
        <w:t xml:space="preserve">             </w:t>
      </w:r>
    </w:p>
    <w:p w14:paraId="5F7B569A">
      <w:pPr>
        <w:spacing w:before="184" w:line="184" w:lineRule="auto"/>
        <w:ind w:firstLine="2090" w:firstLineChars="1100"/>
        <w:rPr>
          <w:rFonts w:hint="eastAsia" w:ascii="黑体" w:hAnsi="黑体" w:eastAsia="黑体" w:cs="黑体"/>
          <w:sz w:val="24"/>
          <w:szCs w:val="24"/>
        </w:rPr>
      </w:pPr>
      <w:r>
        <w:rPr>
          <w:rFonts w:hint="eastAsia" w:ascii="黑体" w:hAnsi="黑体" w:eastAsia="黑体" w:cs="黑体"/>
          <w:spacing w:val="-25"/>
          <w:sz w:val="24"/>
          <w:szCs w:val="24"/>
        </w:rPr>
        <w:t>日</w:t>
      </w:r>
      <w:r>
        <w:rPr>
          <w:rFonts w:hint="eastAsia" w:ascii="黑体" w:hAnsi="黑体" w:eastAsia="黑体" w:cs="黑体"/>
          <w:spacing w:val="-23"/>
          <w:sz w:val="24"/>
          <w:szCs w:val="24"/>
        </w:rPr>
        <w:t xml:space="preserve"> </w:t>
      </w:r>
      <w:r>
        <w:rPr>
          <w:rFonts w:hint="eastAsia" w:ascii="黑体" w:hAnsi="黑体" w:eastAsia="黑体" w:cs="黑体"/>
          <w:spacing w:val="-23"/>
          <w:sz w:val="24"/>
          <w:szCs w:val="24"/>
          <w:lang w:val="en-US" w:eastAsia="zh-CN"/>
        </w:rPr>
        <w:t xml:space="preserve">  </w:t>
      </w:r>
      <w:r>
        <w:rPr>
          <w:rFonts w:hint="eastAsia" w:ascii="黑体" w:hAnsi="黑体" w:eastAsia="黑体" w:cs="黑体"/>
          <w:spacing w:val="-25"/>
          <w:sz w:val="24"/>
          <w:szCs w:val="24"/>
        </w:rPr>
        <w:t>期 ：</w:t>
      </w:r>
      <w:r>
        <w:rPr>
          <w:rFonts w:hint="eastAsia" w:ascii="黑体" w:hAnsi="黑体" w:eastAsia="黑体" w:cs="黑体"/>
          <w:spacing w:val="-63"/>
          <w:sz w:val="24"/>
          <w:szCs w:val="24"/>
        </w:rPr>
        <w:t xml:space="preserve"> </w:t>
      </w:r>
      <w:r>
        <w:rPr>
          <w:rFonts w:hint="eastAsia" w:ascii="黑体" w:hAnsi="黑体" w:eastAsia="黑体" w:cs="黑体"/>
          <w:sz w:val="24"/>
          <w:szCs w:val="24"/>
          <w:u w:val="single" w:color="auto"/>
        </w:rPr>
        <w:t xml:space="preserve">             </w:t>
      </w:r>
    </w:p>
    <w:p w14:paraId="0C51C153">
      <w:pPr>
        <w:spacing w:line="184" w:lineRule="auto"/>
        <w:rPr>
          <w:rFonts w:hint="eastAsia" w:ascii="黑体" w:hAnsi="黑体" w:eastAsia="黑体" w:cs="黑体"/>
          <w:sz w:val="24"/>
          <w:szCs w:val="24"/>
        </w:rPr>
        <w:sectPr>
          <w:pgSz w:w="11910" w:h="16840"/>
          <w:pgMar w:top="1064" w:right="1385" w:bottom="1281" w:left="1381" w:header="854" w:footer="1032" w:gutter="0"/>
          <w:pgNumType w:fmt="decimal"/>
          <w:cols w:equalWidth="0" w:num="1">
            <w:col w:w="9144"/>
          </w:cols>
        </w:sectPr>
      </w:pPr>
    </w:p>
    <w:p w14:paraId="5E04420F">
      <w:pPr>
        <w:numPr>
          <w:ilvl w:val="0"/>
          <w:numId w:val="0"/>
        </w:numPr>
        <w:spacing w:line="440" w:lineRule="exact"/>
        <w:ind w:firstLine="3855" w:firstLineChars="1200"/>
        <w:jc w:val="both"/>
        <w:outlineLvl w:val="1"/>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五、投标</w:t>
      </w:r>
      <w:r>
        <w:rPr>
          <w:rFonts w:hint="eastAsia" w:ascii="黑体" w:hAnsi="黑体" w:eastAsia="黑体" w:cs="黑体"/>
          <w:b/>
          <w:bCs/>
          <w:color w:val="auto"/>
          <w:sz w:val="32"/>
          <w:szCs w:val="32"/>
        </w:rPr>
        <w:t>方案</w:t>
      </w:r>
    </w:p>
    <w:p w14:paraId="15516E3D">
      <w:pPr>
        <w:numPr>
          <w:ilvl w:val="0"/>
          <w:numId w:val="0"/>
        </w:numPr>
        <w:spacing w:line="440" w:lineRule="exact"/>
        <w:ind w:leftChars="200" w:firstLine="960" w:firstLineChars="400"/>
        <w:jc w:val="both"/>
        <w:outlineLvl w:val="1"/>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（投标人根据采购内容及评审因素自行编制，格式自拟）</w:t>
      </w:r>
    </w:p>
    <w:p w14:paraId="04EC8636">
      <w:pPr>
        <w:tabs>
          <w:tab w:val="left" w:pos="720"/>
          <w:tab w:val="left" w:pos="8364"/>
        </w:tabs>
        <w:adjustRightInd w:val="0"/>
        <w:snapToGrid w:val="0"/>
        <w:ind w:firstLine="3780" w:firstLineChars="1800"/>
        <w:rPr>
          <w:rFonts w:hint="eastAsia" w:ascii="黑体" w:hAnsi="黑体" w:eastAsia="黑体" w:cs="黑体"/>
          <w:color w:val="auto"/>
          <w:sz w:val="21"/>
          <w:szCs w:val="21"/>
          <w:lang w:eastAsia="zh-CN"/>
        </w:rPr>
      </w:pPr>
    </w:p>
    <w:p w14:paraId="0F006D69">
      <w:pPr>
        <w:pStyle w:val="39"/>
        <w:keepNext w:val="0"/>
        <w:keepLines w:val="0"/>
        <w:pageBreakBefore w:val="0"/>
        <w:widowControl w:val="0"/>
        <w:numPr>
          <w:ilvl w:val="0"/>
          <w:numId w:val="0"/>
        </w:numPr>
        <w:kinsoku/>
        <w:wordWrap/>
        <w:overflowPunct/>
        <w:topLinePunct w:val="0"/>
        <w:autoSpaceDE/>
        <w:autoSpaceDN/>
        <w:bidi w:val="0"/>
        <w:spacing w:line="480" w:lineRule="auto"/>
        <w:textAlignment w:val="auto"/>
        <w:rPr>
          <w:rFonts w:hint="eastAsia" w:ascii="黑体" w:hAnsi="黑体" w:eastAsia="黑体" w:cs="黑体"/>
          <w:color w:val="auto"/>
          <w:sz w:val="24"/>
          <w:szCs w:val="24"/>
          <w:lang w:val="en-US" w:eastAsia="zh-CN"/>
        </w:rPr>
      </w:pPr>
    </w:p>
    <w:p w14:paraId="6589FF37">
      <w:pPr>
        <w:keepNext w:val="0"/>
        <w:keepLines w:val="0"/>
        <w:pageBreakBefore w:val="0"/>
        <w:widowControl w:val="0"/>
        <w:tabs>
          <w:tab w:val="left" w:pos="720"/>
          <w:tab w:val="left" w:pos="8364"/>
        </w:tabs>
        <w:kinsoku/>
        <w:wordWrap/>
        <w:overflowPunct/>
        <w:topLinePunct w:val="0"/>
        <w:autoSpaceDE/>
        <w:autoSpaceDN/>
        <w:bidi w:val="0"/>
        <w:adjustRightInd w:val="0"/>
        <w:snapToGrid w:val="0"/>
        <w:spacing w:line="360" w:lineRule="auto"/>
        <w:ind w:firstLine="5880" w:firstLineChars="2100"/>
        <w:textAlignment w:val="auto"/>
        <w:rPr>
          <w:rFonts w:hint="eastAsia" w:ascii="黑体" w:hAnsi="黑体" w:eastAsia="黑体" w:cs="黑体"/>
          <w:color w:val="auto"/>
          <w:sz w:val="28"/>
          <w:szCs w:val="28"/>
        </w:rPr>
      </w:pPr>
    </w:p>
    <w:p w14:paraId="62A6468F">
      <w:pPr>
        <w:rPr>
          <w:rFonts w:hint="eastAsia" w:ascii="黑体" w:hAnsi="黑体" w:eastAsia="黑体" w:cs="黑体"/>
          <w:color w:val="auto"/>
          <w:sz w:val="24"/>
        </w:rPr>
      </w:pPr>
    </w:p>
    <w:p w14:paraId="256E337D">
      <w:pPr>
        <w:spacing w:line="480" w:lineRule="auto"/>
        <w:ind w:firstLine="2409" w:firstLineChars="1000"/>
        <w:rPr>
          <w:rFonts w:hint="eastAsia" w:ascii="黑体" w:hAnsi="黑体" w:eastAsia="黑体" w:cs="黑体"/>
          <w:b/>
          <w:color w:val="auto"/>
          <w:sz w:val="24"/>
        </w:rPr>
      </w:pPr>
    </w:p>
    <w:p w14:paraId="1235F1FF">
      <w:pPr>
        <w:spacing w:line="480" w:lineRule="auto"/>
        <w:ind w:firstLine="2409" w:firstLineChars="1000"/>
        <w:rPr>
          <w:rFonts w:hint="eastAsia" w:ascii="黑体" w:hAnsi="黑体" w:eastAsia="黑体" w:cs="黑体"/>
          <w:b/>
          <w:color w:val="auto"/>
          <w:sz w:val="24"/>
        </w:rPr>
      </w:pPr>
    </w:p>
    <w:p w14:paraId="64E66F37">
      <w:pPr>
        <w:spacing w:line="480" w:lineRule="auto"/>
        <w:rPr>
          <w:rFonts w:hint="eastAsia" w:ascii="黑体" w:hAnsi="黑体" w:eastAsia="黑体" w:cs="黑体"/>
          <w:b/>
          <w:color w:val="auto"/>
          <w:sz w:val="24"/>
        </w:rPr>
      </w:pPr>
    </w:p>
    <w:p w14:paraId="2EAE1583">
      <w:pPr>
        <w:pStyle w:val="39"/>
        <w:rPr>
          <w:rFonts w:hint="eastAsia" w:ascii="黑体" w:hAnsi="黑体" w:eastAsia="黑体" w:cs="黑体"/>
          <w:color w:val="auto"/>
        </w:rPr>
      </w:pPr>
    </w:p>
    <w:p w14:paraId="7A3919B9">
      <w:pPr>
        <w:pStyle w:val="39"/>
        <w:rPr>
          <w:rFonts w:hint="eastAsia" w:ascii="黑体" w:hAnsi="黑体" w:eastAsia="黑体" w:cs="黑体"/>
          <w:color w:val="auto"/>
        </w:rPr>
      </w:pPr>
    </w:p>
    <w:p w14:paraId="764CBC34">
      <w:pPr>
        <w:pStyle w:val="39"/>
        <w:rPr>
          <w:rFonts w:hint="eastAsia" w:ascii="黑体" w:hAnsi="黑体" w:eastAsia="黑体" w:cs="黑体"/>
          <w:color w:val="auto"/>
        </w:rPr>
      </w:pPr>
    </w:p>
    <w:p w14:paraId="03BCDFC0">
      <w:pPr>
        <w:pStyle w:val="39"/>
        <w:rPr>
          <w:rFonts w:hint="eastAsia" w:ascii="黑体" w:hAnsi="黑体" w:eastAsia="黑体" w:cs="黑体"/>
          <w:color w:val="auto"/>
        </w:rPr>
      </w:pPr>
    </w:p>
    <w:p w14:paraId="70C1101A">
      <w:pPr>
        <w:keepNext/>
        <w:spacing w:line="360" w:lineRule="auto"/>
        <w:rPr>
          <w:rFonts w:hint="eastAsia" w:ascii="黑体" w:hAnsi="黑体" w:eastAsia="黑体" w:cs="黑体"/>
          <w:b/>
          <w:bCs/>
          <w:color w:val="auto"/>
          <w:sz w:val="32"/>
          <w:szCs w:val="32"/>
        </w:rPr>
      </w:pPr>
    </w:p>
    <w:p w14:paraId="4FB69417">
      <w:pPr>
        <w:pStyle w:val="2"/>
        <w:rPr>
          <w:rFonts w:hint="eastAsia" w:ascii="黑体" w:hAnsi="黑体" w:eastAsia="黑体" w:cs="黑体"/>
          <w:b/>
          <w:bCs/>
          <w:color w:val="auto"/>
          <w:sz w:val="32"/>
          <w:szCs w:val="32"/>
        </w:rPr>
      </w:pPr>
    </w:p>
    <w:p w14:paraId="08F7A0E5">
      <w:pPr>
        <w:widowControl/>
        <w:jc w:val="center"/>
        <w:rPr>
          <w:rFonts w:hint="eastAsia" w:ascii="黑体" w:hAnsi="黑体" w:eastAsia="黑体" w:cs="黑体"/>
          <w:color w:val="auto"/>
          <w:sz w:val="24"/>
        </w:rPr>
      </w:pPr>
    </w:p>
    <w:p w14:paraId="62099022">
      <w:pPr>
        <w:widowControl/>
        <w:ind w:firstLine="964" w:firstLineChars="300"/>
        <w:rPr>
          <w:rFonts w:hint="eastAsia" w:ascii="黑体" w:hAnsi="黑体" w:eastAsia="黑体" w:cs="黑体"/>
          <w:b/>
          <w:bCs/>
          <w:color w:val="auto"/>
          <w:sz w:val="32"/>
          <w:szCs w:val="32"/>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cs="黑体"/>
          <w:b/>
          <w:bCs/>
          <w:color w:val="auto"/>
          <w:sz w:val="32"/>
          <w:szCs w:val="32"/>
          <w:lang w:val="en-US" w:eastAsia="zh-CN"/>
        </w:rPr>
        <w:t xml:space="preserve">           </w:t>
      </w:r>
    </w:p>
    <w:p w14:paraId="597E0DD7">
      <w:pPr>
        <w:pStyle w:val="4"/>
        <w:numPr>
          <w:ilvl w:val="1"/>
          <w:numId w:val="0"/>
        </w:numPr>
        <w:ind w:left="575" w:leftChars="0" w:firstLine="2891" w:firstLineChars="900"/>
        <w:jc w:val="both"/>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六、业绩一览表</w:t>
      </w:r>
    </w:p>
    <w:tbl>
      <w:tblPr>
        <w:tblStyle w:val="103"/>
        <w:tblW w:w="9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3721"/>
        <w:gridCol w:w="3889"/>
      </w:tblGrid>
      <w:tr w14:paraId="723FD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789" w:type="dxa"/>
            <w:vAlign w:val="top"/>
          </w:tcPr>
          <w:p w14:paraId="4F3E011B">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72" w:firstLine="240" w:firstLineChars="100"/>
              <w:textAlignment w:val="baseline"/>
              <w:rPr>
                <w:rFonts w:hint="eastAsia" w:ascii="黑体" w:hAnsi="黑体" w:eastAsia="黑体" w:cs="黑体"/>
                <w:spacing w:val="0"/>
                <w:position w:val="0"/>
                <w:sz w:val="24"/>
                <w:szCs w:val="24"/>
                <w:lang w:val="en-US" w:eastAsia="zh-CN"/>
              </w:rPr>
            </w:pPr>
            <w:r>
              <w:rPr>
                <w:rFonts w:hint="eastAsia" w:ascii="黑体" w:hAnsi="黑体" w:eastAsia="黑体" w:cs="黑体"/>
                <w:spacing w:val="0"/>
                <w:position w:val="0"/>
                <w:sz w:val="24"/>
                <w:szCs w:val="24"/>
                <w:lang w:val="en-US" w:eastAsia="zh-CN"/>
                <w14:textOutline w14:w="4358" w14:cap="sq" w14:cmpd="sng">
                  <w14:solidFill>
                    <w14:srgbClr w14:val="000000"/>
                  </w14:solidFill>
                  <w14:prstDash w14:val="solid"/>
                  <w14:bevel/>
                </w14:textOutline>
              </w:rPr>
              <w:t>时间</w:t>
            </w:r>
          </w:p>
        </w:tc>
        <w:tc>
          <w:tcPr>
            <w:tcW w:w="3721" w:type="dxa"/>
            <w:vAlign w:val="top"/>
          </w:tcPr>
          <w:p w14:paraId="43BF2BFB">
            <w:pPr>
              <w:keepNext w:val="0"/>
              <w:keepLines w:val="0"/>
              <w:pageBreakBefore w:val="0"/>
              <w:widowControl/>
              <w:kinsoku w:val="0"/>
              <w:wordWrap/>
              <w:overflowPunct/>
              <w:topLinePunct w:val="0"/>
              <w:autoSpaceDE w:val="0"/>
              <w:autoSpaceDN w:val="0"/>
              <w:bidi w:val="0"/>
              <w:adjustRightInd w:val="0"/>
              <w:snapToGrid w:val="0"/>
              <w:spacing w:before="295" w:line="360" w:lineRule="auto"/>
              <w:ind w:left="550" w:firstLine="1200" w:firstLineChars="5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项目名称</w:t>
            </w:r>
          </w:p>
        </w:tc>
        <w:tc>
          <w:tcPr>
            <w:tcW w:w="3889" w:type="dxa"/>
            <w:vAlign w:val="top"/>
          </w:tcPr>
          <w:p w14:paraId="0EFEE780">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42" w:firstLine="720" w:firstLineChars="300"/>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合同金额</w:t>
            </w:r>
            <w:r>
              <w:rPr>
                <w:rFonts w:hint="eastAsia" w:ascii="黑体" w:hAnsi="黑体" w:eastAsia="黑体" w:cs="黑体"/>
                <w:spacing w:val="0"/>
                <w:position w:val="0"/>
                <w:sz w:val="24"/>
                <w:szCs w:val="24"/>
              </w:rPr>
              <w:t xml:space="preserve"> </w:t>
            </w:r>
            <w: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t>(元)</w:t>
            </w:r>
          </w:p>
        </w:tc>
      </w:tr>
      <w:tr w14:paraId="59129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6DBFC2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3711BA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4E10C4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271FD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5B1D0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1B8713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00B8A7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6B6CF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6F7CE3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4C407B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0407A9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6F58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0B7EC40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0182C9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591927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39F73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789" w:type="dxa"/>
            <w:vAlign w:val="top"/>
          </w:tcPr>
          <w:p w14:paraId="3004ED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6FAADC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10A7DE7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2383D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3B8916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409838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546A22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52915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0BB7BD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1404B4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7F401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5E41F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24DB06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639AE8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317EA9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05A11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709E52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459A21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76B828D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17584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789" w:type="dxa"/>
            <w:vAlign w:val="top"/>
          </w:tcPr>
          <w:p w14:paraId="5DBABC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1357226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3CA50B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r w14:paraId="001EC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1789" w:type="dxa"/>
            <w:vAlign w:val="top"/>
          </w:tcPr>
          <w:p w14:paraId="15CF22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721" w:type="dxa"/>
            <w:vAlign w:val="top"/>
          </w:tcPr>
          <w:p w14:paraId="4F4B1F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c>
          <w:tcPr>
            <w:tcW w:w="3889" w:type="dxa"/>
            <w:vAlign w:val="top"/>
          </w:tcPr>
          <w:p w14:paraId="42A55D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黑体" w:hAnsi="黑体" w:eastAsia="黑体" w:cs="黑体"/>
                <w:spacing w:val="0"/>
                <w:position w:val="0"/>
                <w:sz w:val="24"/>
                <w:szCs w:val="24"/>
              </w:rPr>
            </w:pPr>
          </w:p>
        </w:tc>
      </w:tr>
    </w:tbl>
    <w:p w14:paraId="454E55CD">
      <w:pPr>
        <w:numPr>
          <w:ilvl w:val="0"/>
          <w:numId w:val="0"/>
        </w:numP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66612CE7">
      <w:pPr>
        <w:numPr>
          <w:ilvl w:val="0"/>
          <w:numId w:val="0"/>
        </w:numP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1AC5A53D">
      <w:pPr>
        <w:numPr>
          <w:ilvl w:val="0"/>
          <w:numId w:val="0"/>
        </w:numP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5FA40814">
      <w:pPr>
        <w:pStyle w:val="14"/>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59E6B1A2">
      <w:pPr>
        <w:pStyle w:val="14"/>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2110ACFB">
      <w:pPr>
        <w:pStyle w:val="14"/>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7F162F8D">
      <w:pPr>
        <w:pStyle w:val="14"/>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11C4631D">
      <w:pPr>
        <w:numPr>
          <w:ilvl w:val="0"/>
          <w:numId w:val="0"/>
        </w:numPr>
        <w:rPr>
          <w:rFonts w:hint="eastAsia" w:ascii="黑体" w:hAnsi="黑体" w:eastAsia="黑体" w:cs="黑体"/>
          <w:spacing w:val="0"/>
          <w:position w:val="0"/>
          <w:sz w:val="24"/>
          <w:szCs w:val="24"/>
          <w14:textOutline w14:w="4358" w14:cap="sq" w14:cmpd="sng">
            <w14:solidFill>
              <w14:srgbClr w14:val="000000"/>
            </w14:solidFill>
            <w14:prstDash w14:val="solid"/>
            <w14:bevel/>
          </w14:textOutline>
        </w:rPr>
      </w:pPr>
    </w:p>
    <w:p w14:paraId="2FF4AAE8">
      <w:pPr>
        <w:numPr>
          <w:ilvl w:val="0"/>
          <w:numId w:val="0"/>
        </w:numPr>
        <w:ind w:firstLine="964" w:firstLineChars="300"/>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val="en-US" w:eastAsia="zh-CN"/>
        </w:rPr>
        <w:t>七、</w:t>
      </w:r>
      <w:r>
        <w:rPr>
          <w:rFonts w:hint="eastAsia" w:ascii="黑体" w:hAnsi="黑体" w:eastAsia="黑体" w:cs="黑体"/>
          <w:b/>
          <w:bCs/>
          <w:color w:val="auto"/>
          <w:sz w:val="32"/>
          <w:szCs w:val="32"/>
        </w:rPr>
        <w:t>投标人拒绝政府采购领域商业贿赂承诺书</w:t>
      </w:r>
    </w:p>
    <w:p w14:paraId="74183656">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为响应党中央、国务院关于治理政府采购领域商业贿赂行为的号召，我单位在此庄严承诺： </w:t>
      </w:r>
    </w:p>
    <w:p w14:paraId="0C0201FC">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1、在参与政府采购活动中遵纪守法、诚信经营、公平竞标。 </w:t>
      </w:r>
    </w:p>
    <w:p w14:paraId="7EA89BEC">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2、不向政府采购人、采购代理机构和政府采购评审专家进行任何形式的商业贿赂以谋取交易机会。 </w:t>
      </w:r>
    </w:p>
    <w:p w14:paraId="61F5D0B8">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3、不向政府采购代理机构和采购人提供虚假资质文件或采用虚假应标方式参与政府采购市场竞争并谋取中标、成交。 </w:t>
      </w:r>
    </w:p>
    <w:p w14:paraId="3BA26484">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4、不采取“围标、陪标”等商业欺诈手段获得政府采购定单。 </w:t>
      </w:r>
    </w:p>
    <w:p w14:paraId="4927B86D">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5、不采取不正当手段低毁、排挤其他供应商。 </w:t>
      </w:r>
    </w:p>
    <w:p w14:paraId="5203CB6B">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6、不在提供商品和服务时“偷梁换柱、以次充好”损害采购人的合法权益。 </w:t>
      </w:r>
    </w:p>
    <w:p w14:paraId="30B088EB">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7、不与采购人、采购代理机构政府采购评审专家或其它供应商恶意串通，进行质疑和投诉，维护政府采购市场秩序。 </w:t>
      </w:r>
    </w:p>
    <w:p w14:paraId="5636FF7C">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8、尊重和接受政府采购监督管理部门的监督和政府采购代理机构招标采购要求，承担因违约行为给采购人造成的损失。 </w:t>
      </w:r>
    </w:p>
    <w:p w14:paraId="4D368B2C">
      <w:pPr>
        <w:widowControl/>
        <w:spacing w:line="520" w:lineRule="exact"/>
        <w:ind w:firstLine="480" w:firstLineChars="200"/>
        <w:jc w:val="left"/>
        <w:rPr>
          <w:rFonts w:hint="eastAsia" w:ascii="黑体" w:hAnsi="黑体" w:eastAsia="黑体" w:cs="黑体"/>
          <w:color w:val="auto"/>
          <w:kern w:val="0"/>
          <w:sz w:val="24"/>
          <w:lang w:eastAsia="zh-CN"/>
        </w:rPr>
      </w:pPr>
      <w:r>
        <w:rPr>
          <w:rFonts w:hint="eastAsia" w:ascii="黑体" w:hAnsi="黑体" w:eastAsia="黑体" w:cs="黑体"/>
          <w:color w:val="auto"/>
          <w:kern w:val="0"/>
          <w:sz w:val="24"/>
        </w:rPr>
        <w:t xml:space="preserve">　　9、不发生其他有悖于政府采购公开、公平、公正和诚信原则的行为。 </w:t>
      </w:r>
    </w:p>
    <w:p w14:paraId="3865EE8A">
      <w:pPr>
        <w:widowControl/>
        <w:spacing w:line="520" w:lineRule="exact"/>
        <w:ind w:firstLine="480" w:firstLineChars="200"/>
        <w:jc w:val="left"/>
        <w:rPr>
          <w:rFonts w:hint="eastAsia" w:ascii="黑体" w:hAnsi="黑体" w:eastAsia="黑体" w:cs="黑体"/>
          <w:color w:val="auto"/>
          <w:kern w:val="0"/>
          <w:sz w:val="24"/>
        </w:rPr>
      </w:pPr>
      <w:r>
        <w:rPr>
          <w:rFonts w:hint="eastAsia" w:ascii="黑体" w:hAnsi="黑体" w:eastAsia="黑体" w:cs="黑体"/>
          <w:color w:val="auto"/>
          <w:kern w:val="0"/>
          <w:sz w:val="24"/>
        </w:rPr>
        <w:t>    </w:t>
      </w:r>
    </w:p>
    <w:p w14:paraId="607342AC">
      <w:pPr>
        <w:widowControl/>
        <w:spacing w:line="520" w:lineRule="exact"/>
        <w:ind w:firstLine="720" w:firstLineChars="300"/>
        <w:jc w:val="left"/>
        <w:rPr>
          <w:rFonts w:hint="eastAsia" w:ascii="黑体" w:hAnsi="黑体" w:eastAsia="黑体" w:cs="黑体"/>
          <w:color w:val="auto"/>
          <w:kern w:val="0"/>
          <w:sz w:val="24"/>
        </w:rPr>
      </w:pPr>
      <w:r>
        <w:rPr>
          <w:rFonts w:hint="eastAsia" w:ascii="黑体" w:hAnsi="黑体" w:eastAsia="黑体" w:cs="黑体"/>
          <w:color w:val="auto"/>
          <w:kern w:val="0"/>
          <w:sz w:val="24"/>
        </w:rPr>
        <w:t>承诺单位：</w:t>
      </w:r>
      <w:r>
        <w:rPr>
          <w:rFonts w:hint="eastAsia" w:ascii="黑体" w:hAnsi="黑体" w:eastAsia="黑体" w:cs="黑体"/>
          <w:color w:val="auto"/>
          <w:kern w:val="0"/>
          <w:sz w:val="24"/>
          <w:u w:val="single"/>
        </w:rPr>
        <w:t>　　                        　</w:t>
      </w:r>
      <w:r>
        <w:rPr>
          <w:rFonts w:hint="eastAsia" w:ascii="黑体" w:hAnsi="黑体" w:eastAsia="黑体" w:cs="黑体"/>
          <w:color w:val="auto"/>
          <w:kern w:val="0"/>
          <w:sz w:val="24"/>
        </w:rPr>
        <w:t>（盖章）</w:t>
      </w:r>
    </w:p>
    <w:p w14:paraId="52A26E09">
      <w:pPr>
        <w:widowControl/>
        <w:spacing w:line="520" w:lineRule="exact"/>
        <w:ind w:firstLine="720" w:firstLineChars="300"/>
        <w:jc w:val="left"/>
        <w:rPr>
          <w:rFonts w:hint="eastAsia" w:ascii="黑体" w:hAnsi="黑体" w:eastAsia="黑体" w:cs="黑体"/>
          <w:color w:val="auto"/>
          <w:kern w:val="0"/>
          <w:sz w:val="24"/>
        </w:rPr>
      </w:pPr>
      <w:r>
        <w:rPr>
          <w:rFonts w:hint="eastAsia" w:ascii="黑体" w:hAnsi="黑体" w:eastAsia="黑体" w:cs="黑体"/>
          <w:color w:val="auto"/>
          <w:kern w:val="0"/>
          <w:sz w:val="24"/>
        </w:rPr>
        <w:t>全权代表：</w:t>
      </w:r>
      <w:r>
        <w:rPr>
          <w:rFonts w:hint="eastAsia" w:ascii="黑体" w:hAnsi="黑体" w:eastAsia="黑体" w:cs="黑体"/>
          <w:color w:val="auto"/>
          <w:kern w:val="0"/>
          <w:sz w:val="24"/>
          <w:u w:val="single"/>
        </w:rPr>
        <w:t>　　　　　     　　　       　</w:t>
      </w:r>
      <w:r>
        <w:rPr>
          <w:rFonts w:hint="eastAsia" w:ascii="黑体" w:hAnsi="黑体" w:eastAsia="黑体" w:cs="黑体"/>
          <w:color w:val="auto"/>
          <w:kern w:val="0"/>
          <w:sz w:val="24"/>
        </w:rPr>
        <w:t>（签字）</w:t>
      </w:r>
    </w:p>
    <w:p w14:paraId="7CB2E61B">
      <w:pPr>
        <w:widowControl/>
        <w:spacing w:line="520" w:lineRule="exact"/>
        <w:ind w:firstLine="720" w:firstLineChars="300"/>
        <w:jc w:val="left"/>
        <w:rPr>
          <w:rFonts w:hint="eastAsia" w:ascii="黑体" w:hAnsi="黑体" w:eastAsia="黑体" w:cs="黑体"/>
          <w:color w:val="auto"/>
          <w:kern w:val="0"/>
          <w:sz w:val="24"/>
          <w:u w:val="single"/>
        </w:rPr>
      </w:pPr>
      <w:r>
        <w:rPr>
          <w:rFonts w:hint="eastAsia" w:ascii="黑体" w:hAnsi="黑体" w:eastAsia="黑体" w:cs="黑体"/>
          <w:color w:val="auto"/>
          <w:kern w:val="0"/>
          <w:sz w:val="24"/>
        </w:rPr>
        <w:t>地　　址：</w:t>
      </w:r>
      <w:r>
        <w:rPr>
          <w:rFonts w:hint="eastAsia" w:ascii="黑体" w:hAnsi="黑体" w:eastAsia="黑体" w:cs="黑体"/>
          <w:color w:val="auto"/>
          <w:kern w:val="0"/>
          <w:sz w:val="24"/>
          <w:u w:val="single"/>
        </w:rPr>
        <w:t xml:space="preserve">                              </w:t>
      </w:r>
    </w:p>
    <w:p w14:paraId="5C8CFBBB">
      <w:pPr>
        <w:widowControl/>
        <w:spacing w:line="520" w:lineRule="exact"/>
        <w:ind w:firstLine="720" w:firstLineChars="300"/>
        <w:jc w:val="left"/>
        <w:rPr>
          <w:rFonts w:hint="eastAsia" w:ascii="黑体" w:hAnsi="黑体" w:eastAsia="黑体" w:cs="黑体"/>
          <w:color w:val="auto"/>
          <w:kern w:val="0"/>
          <w:sz w:val="24"/>
          <w:u w:val="single"/>
        </w:rPr>
      </w:pPr>
      <w:r>
        <w:rPr>
          <w:rFonts w:hint="eastAsia" w:ascii="黑体" w:hAnsi="黑体" w:eastAsia="黑体" w:cs="黑体"/>
          <w:color w:val="auto"/>
          <w:kern w:val="0"/>
          <w:sz w:val="24"/>
        </w:rPr>
        <w:t>邮    编：</w:t>
      </w:r>
      <w:r>
        <w:rPr>
          <w:rFonts w:hint="eastAsia" w:ascii="黑体" w:hAnsi="黑体" w:eastAsia="黑体" w:cs="黑体"/>
          <w:color w:val="auto"/>
          <w:kern w:val="0"/>
          <w:sz w:val="24"/>
          <w:u w:val="single"/>
        </w:rPr>
        <w:t xml:space="preserve">　　                     　　 </w:t>
      </w:r>
    </w:p>
    <w:p w14:paraId="5A23774C">
      <w:pPr>
        <w:widowControl/>
        <w:spacing w:line="520" w:lineRule="exact"/>
        <w:ind w:firstLine="720" w:firstLineChars="300"/>
        <w:jc w:val="left"/>
        <w:rPr>
          <w:rFonts w:hint="eastAsia" w:ascii="黑体" w:hAnsi="黑体" w:eastAsia="黑体" w:cs="黑体"/>
          <w:color w:val="auto"/>
          <w:kern w:val="0"/>
          <w:sz w:val="24"/>
          <w:u w:val="single"/>
          <w:lang w:eastAsia="zh-CN"/>
        </w:rPr>
      </w:pPr>
      <w:r>
        <w:rPr>
          <w:rFonts w:hint="eastAsia" w:ascii="黑体" w:hAnsi="黑体" w:eastAsia="黑体" w:cs="黑体"/>
          <w:color w:val="auto"/>
          <w:kern w:val="0"/>
          <w:sz w:val="24"/>
        </w:rPr>
        <w:t>电　　话：</w:t>
      </w:r>
      <w:r>
        <w:rPr>
          <w:rFonts w:hint="eastAsia" w:ascii="黑体" w:hAnsi="黑体" w:eastAsia="黑体" w:cs="黑体"/>
          <w:color w:val="auto"/>
          <w:kern w:val="0"/>
          <w:sz w:val="24"/>
          <w:u w:val="single"/>
        </w:rPr>
        <w:t>　　　                　　　　</w:t>
      </w:r>
    </w:p>
    <w:p w14:paraId="19056C68">
      <w:pPr>
        <w:widowControl/>
        <w:spacing w:line="520" w:lineRule="exact"/>
        <w:ind w:firstLine="720" w:firstLineChars="300"/>
        <w:jc w:val="left"/>
        <w:rPr>
          <w:rFonts w:hint="eastAsia" w:ascii="黑体" w:hAnsi="黑体" w:eastAsia="黑体" w:cs="黑体"/>
          <w:color w:val="auto"/>
          <w:kern w:val="0"/>
          <w:sz w:val="24"/>
        </w:rPr>
      </w:pPr>
      <w:r>
        <w:rPr>
          <w:rFonts w:hint="eastAsia" w:ascii="黑体" w:hAnsi="黑体" w:eastAsia="黑体" w:cs="黑体"/>
          <w:color w:val="auto"/>
          <w:kern w:val="0"/>
          <w:sz w:val="24"/>
        </w:rPr>
        <w:t xml:space="preserve">　　　　                                    </w:t>
      </w:r>
    </w:p>
    <w:p w14:paraId="08A65AB2">
      <w:pPr>
        <w:widowControl/>
        <w:spacing w:line="520" w:lineRule="exact"/>
        <w:ind w:firstLine="720" w:firstLineChars="300"/>
        <w:jc w:val="right"/>
        <w:rPr>
          <w:rFonts w:hint="eastAsia" w:ascii="黑体" w:hAnsi="黑体" w:eastAsia="黑体" w:cs="黑体"/>
          <w:color w:val="auto"/>
          <w:kern w:val="0"/>
          <w:sz w:val="28"/>
          <w:szCs w:val="28"/>
        </w:rPr>
      </w:pPr>
      <w:r>
        <w:rPr>
          <w:rFonts w:hint="eastAsia" w:ascii="黑体" w:hAnsi="黑体" w:eastAsia="黑体" w:cs="黑体"/>
          <w:color w:val="auto"/>
          <w:kern w:val="0"/>
          <w:sz w:val="24"/>
        </w:rPr>
        <w:t xml:space="preserve">  年　　月　　日   </w:t>
      </w:r>
      <w:r>
        <w:rPr>
          <w:rFonts w:hint="eastAsia" w:ascii="黑体" w:hAnsi="黑体" w:eastAsia="黑体" w:cs="黑体"/>
          <w:color w:val="auto"/>
          <w:kern w:val="0"/>
          <w:sz w:val="28"/>
          <w:szCs w:val="28"/>
        </w:rPr>
        <w:t xml:space="preserve">     </w:t>
      </w:r>
    </w:p>
    <w:p w14:paraId="0783726A">
      <w:pPr>
        <w:rPr>
          <w:rFonts w:hint="eastAsia" w:ascii="黑体" w:hAnsi="黑体" w:eastAsia="黑体" w:cs="黑体"/>
          <w:color w:val="auto"/>
        </w:rPr>
      </w:pPr>
    </w:p>
    <w:p w14:paraId="27231080">
      <w:pPr>
        <w:spacing w:line="360" w:lineRule="auto"/>
        <w:jc w:val="both"/>
        <w:outlineLvl w:val="1"/>
        <w:rPr>
          <w:rFonts w:hint="eastAsia" w:ascii="黑体" w:hAnsi="黑体" w:eastAsia="黑体" w:cs="黑体"/>
          <w:b/>
          <w:color w:val="auto"/>
          <w:sz w:val="32"/>
          <w:szCs w:val="32"/>
          <w:lang w:val="en-US" w:eastAsia="zh-CN"/>
        </w:rPr>
      </w:pPr>
      <w:bookmarkStart w:id="141" w:name="_Toc25732"/>
      <w:bookmarkStart w:id="142" w:name="_Toc23423"/>
      <w:bookmarkStart w:id="143" w:name="_Toc29982"/>
      <w:bookmarkStart w:id="144" w:name="_Toc7502"/>
      <w:bookmarkStart w:id="145" w:name="_Toc1084"/>
    </w:p>
    <w:p w14:paraId="0BE40313">
      <w:pPr>
        <w:numPr>
          <w:ilvl w:val="0"/>
          <w:numId w:val="0"/>
        </w:numPr>
        <w:spacing w:line="360" w:lineRule="auto"/>
        <w:ind w:firstLine="1606" w:firstLineChars="500"/>
        <w:jc w:val="both"/>
        <w:outlineLvl w:val="1"/>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八、供应商认为有必要提供的其他材料</w:t>
      </w:r>
    </w:p>
    <w:p w14:paraId="78608B34">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12BC6875">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4A403CB4">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7851B1B4">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00EBF437">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2F0DB571">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37EDF213">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08848133">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4FBF7609">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01DEB1D9">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16A5A653">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0A3CDA5E">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60D3811D">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0E7129C8">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3F39CBDD">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487EC114">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670D0111">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538105E0">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5E338208">
      <w:pPr>
        <w:numPr>
          <w:ilvl w:val="0"/>
          <w:numId w:val="0"/>
        </w:numPr>
        <w:spacing w:line="360" w:lineRule="auto"/>
        <w:jc w:val="both"/>
        <w:outlineLvl w:val="1"/>
        <w:rPr>
          <w:rFonts w:hint="eastAsia" w:ascii="黑体" w:hAnsi="黑体" w:eastAsia="黑体" w:cs="黑体"/>
          <w:b/>
          <w:color w:val="auto"/>
          <w:sz w:val="32"/>
          <w:szCs w:val="32"/>
          <w:lang w:val="en-US" w:eastAsia="zh-CN"/>
        </w:rPr>
      </w:pPr>
    </w:p>
    <w:p w14:paraId="7D689904">
      <w:pPr>
        <w:numPr>
          <w:ilvl w:val="0"/>
          <w:numId w:val="0"/>
        </w:numPr>
        <w:spacing w:line="360" w:lineRule="auto"/>
        <w:jc w:val="both"/>
        <w:outlineLvl w:val="1"/>
        <w:rPr>
          <w:rFonts w:hint="eastAsia" w:ascii="黑体" w:hAnsi="黑体" w:eastAsia="黑体" w:cs="黑体"/>
          <w:b/>
          <w:color w:val="auto"/>
          <w:sz w:val="32"/>
          <w:szCs w:val="32"/>
          <w:lang w:val="en-US" w:eastAsia="zh-CN"/>
        </w:rPr>
      </w:pPr>
    </w:p>
    <w:bookmarkEnd w:id="141"/>
    <w:bookmarkEnd w:id="142"/>
    <w:bookmarkEnd w:id="143"/>
    <w:bookmarkEnd w:id="144"/>
    <w:bookmarkEnd w:id="145"/>
    <w:p w14:paraId="7C82B343">
      <w:pPr>
        <w:pStyle w:val="15"/>
        <w:rPr>
          <w:rFonts w:hint="eastAsia" w:ascii="黑体" w:hAnsi="黑体" w:eastAsia="黑体" w:cs="黑体"/>
          <w:bCs/>
          <w:color w:val="auto"/>
          <w:sz w:val="24"/>
        </w:rPr>
      </w:pPr>
    </w:p>
    <w:sectPr>
      <w:footerReference r:id="rId2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60101010101"/>
    <w:charset w:val="86"/>
    <w:family w:val="modern"/>
    <w:pitch w:val="default"/>
    <w:sig w:usb0="00000000" w:usb1="00000000"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GYXIQ+Frutiger-Cn">
    <w:altName w:val="宋体"/>
    <w:panose1 w:val="00000000000000000000"/>
    <w:charset w:val="86"/>
    <w:family w:val="swiss"/>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9F8A">
    <w:pPr>
      <w:spacing w:line="230" w:lineRule="auto"/>
      <w:ind w:left="3713"/>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CED7">
    <w:pPr>
      <w:spacing w:line="230" w:lineRule="auto"/>
      <w:ind w:left="409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2A54D">
                          <w:pPr>
                            <w:pStyle w:val="1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82A54D">
                    <w:pPr>
                      <w:pStyle w:val="1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BFC1">
    <w:pPr>
      <w:pStyle w:val="15"/>
      <w:ind w:right="360"/>
      <w:rPr>
        <w:rFonts w:ascii="宋体" w:hAnsi="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F0E87">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2EF0E87">
                    <w:pPr>
                      <w:pStyle w:val="15"/>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FD9E">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FC0DB">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FFC0DB">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17A5A">
    <w:pPr>
      <w:pStyle w:val="15"/>
      <w:ind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AA67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1AA67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7407">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99077">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899077">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CDBA">
    <w:pPr>
      <w:spacing w:line="210" w:lineRule="auto"/>
      <w:ind w:left="3798"/>
      <w:rPr>
        <w:rFonts w:ascii="宋体" w:hAnsi="宋体" w:eastAsia="宋体" w:cs="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6C6FE">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4A6C6FE">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484A6">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F168F">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ECF168F">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AF86">
    <w:pPr>
      <w:spacing w:line="280" w:lineRule="exact"/>
      <w:jc w:val="center"/>
      <w:rPr>
        <w:rFonts w:ascii="仿宋" w:hAnsi="仿宋" w:eastAsia="仿宋"/>
        <w:b/>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8DDD4">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F08DDD4">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4ED2">
    <w:pPr>
      <w:spacing w:line="210" w:lineRule="auto"/>
      <w:ind w:left="3808"/>
      <w:rPr>
        <w:rFonts w:ascii="宋体" w:hAnsi="宋体" w:eastAsia="宋体" w:cs="宋体"/>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850B1">
                          <w:pPr>
                            <w:pStyle w:val="1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3850B1">
                    <w:pPr>
                      <w:pStyle w:val="1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018C">
    <w:pPr>
      <w:spacing w:line="230" w:lineRule="auto"/>
      <w:ind w:left="4095"/>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F786B">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08F786B">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6EF7A">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10E2">
    <w:pPr>
      <w:pStyle w:val="17"/>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623F">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7F5C">
    <w:pPr>
      <w:tabs>
        <w:tab w:val="left" w:pos="3244"/>
      </w:tabs>
      <w:spacing w:line="175" w:lineRule="auto"/>
      <w:ind w:left="11"/>
      <w:rPr>
        <w:rFonts w:ascii="宋体" w:hAnsi="宋体" w:eastAsia="宋体" w:cs="宋体"/>
        <w:sz w:val="21"/>
        <w:szCs w:val="21"/>
      </w:rPr>
    </w:pPr>
    <w:r>
      <mc:AlternateContent>
        <mc:Choice Requires="wps">
          <w:drawing>
            <wp:anchor distT="0" distB="0" distL="114300" distR="114300" simplePos="0" relativeHeight="251659264" behindDoc="0" locked="0" layoutInCell="1" allowOverlap="1">
              <wp:simplePos x="0" y="0"/>
              <wp:positionH relativeFrom="column">
                <wp:posOffset>5005070</wp:posOffset>
              </wp:positionH>
              <wp:positionV relativeFrom="paragraph">
                <wp:posOffset>-5715</wp:posOffset>
              </wp:positionV>
              <wp:extent cx="706120" cy="168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6120" cy="168910"/>
                      </a:xfrm>
                      <a:prstGeom prst="rect">
                        <a:avLst/>
                      </a:prstGeom>
                      <a:noFill/>
                      <a:ln>
                        <a:noFill/>
                      </a:ln>
                    </wps:spPr>
                    <wps:txbx>
                      <w:txbxContent>
                        <w:p w14:paraId="0CEF2C25">
                          <w:pPr>
                            <w:spacing w:before="20" w:line="219" w:lineRule="auto"/>
                            <w:ind w:left="20"/>
                            <w:rPr>
                              <w:rFonts w:ascii="宋体" w:hAnsi="宋体" w:eastAsia="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394.1pt;margin-top:-0.45pt;height:13.3pt;width:55.6pt;z-index:251659264;mso-width-relative:page;mso-height-relative:page;" filled="f" stroked="f" coordsize="21600,21600" o:gfxdata="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ruFG2AAAAAgBAAAPAAAAAAAAAAEAIAAAACIAAABkcnMvZG93bnJldi54bWxQSwECFAAU&#10;AAAACACHTuJA+GpVgLgBAABxAwAADgAAAAAAAAABACAAAAAnAQAAZHJzL2Uyb0RvYy54bWxQSwUG&#10;AAAAAAYABgBZAQAAUQUAAAAA&#10;">
              <v:fill on="f" focussize="0,0"/>
              <v:stroke on="f"/>
              <v:imagedata o:title=""/>
              <o:lock v:ext="edit" aspectratio="f"/>
              <v:textbox inset="0mm,0mm,0mm,0mm">
                <w:txbxContent>
                  <w:p w14:paraId="0CEF2C25">
                    <w:pPr>
                      <w:spacing w:before="20" w:line="219" w:lineRule="auto"/>
                      <w:ind w:left="20"/>
                      <w:rPr>
                        <w:rFonts w:ascii="宋体" w:hAnsi="宋体" w:eastAsia="宋体" w:cs="宋体"/>
                        <w:sz w:val="19"/>
                        <w:szCs w:val="19"/>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CC35">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A36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AB28">
    <w:pPr>
      <w:tabs>
        <w:tab w:val="left" w:pos="6366"/>
      </w:tabs>
      <w:spacing w:line="175" w:lineRule="auto"/>
      <w:rPr>
        <w:rFonts w:ascii="宋体" w:hAnsi="宋体" w:eastAsia="宋体" w:cs="宋体"/>
        <w:sz w:val="21"/>
        <w:szCs w:val="21"/>
      </w:rPr>
    </w:pPr>
    <w:r>
      <mc:AlternateContent>
        <mc:Choice Requires="wps">
          <w:drawing>
            <wp:anchor distT="0" distB="0" distL="114300" distR="114300" simplePos="0" relativeHeight="251661312" behindDoc="0" locked="0" layoutInCell="1" allowOverlap="1">
              <wp:simplePos x="0" y="0"/>
              <wp:positionH relativeFrom="column">
                <wp:posOffset>5011420</wp:posOffset>
              </wp:positionH>
              <wp:positionV relativeFrom="paragraph">
                <wp:posOffset>-5715</wp:posOffset>
              </wp:positionV>
              <wp:extent cx="706120" cy="1689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06120" cy="168910"/>
                      </a:xfrm>
                      <a:prstGeom prst="rect">
                        <a:avLst/>
                      </a:prstGeom>
                      <a:noFill/>
                      <a:ln>
                        <a:noFill/>
                      </a:ln>
                    </wps:spPr>
                    <wps:txbx>
                      <w:txbxContent>
                        <w:p w14:paraId="369F2080">
                          <w:pPr>
                            <w:spacing w:before="20" w:line="219" w:lineRule="auto"/>
                            <w:ind w:left="20"/>
                            <w:rPr>
                              <w:rFonts w:ascii="宋体" w:hAnsi="宋体" w:eastAsia="宋体" w:cs="宋体"/>
                              <w:sz w:val="19"/>
                              <w:szCs w:val="19"/>
                            </w:rPr>
                          </w:pPr>
                        </w:p>
                      </w:txbxContent>
                    </wps:txbx>
                    <wps:bodyPr lIns="0" tIns="0" rIns="0" bIns="0" upright="1"/>
                  </wps:wsp>
                </a:graphicData>
              </a:graphic>
            </wp:anchor>
          </w:drawing>
        </mc:Choice>
        <mc:Fallback>
          <w:pict>
            <v:shape id="_x0000_s1026" o:spid="_x0000_s1026" o:spt="202" type="#_x0000_t202" style="position:absolute;left:0pt;margin-left:394.6pt;margin-top:-0.45pt;height:13.3pt;width:55.6pt;z-index:251661312;mso-width-relative:page;mso-height-relative:page;" filled="f" stroked="f" coordsize="21600,21600" o:gfxdata="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8aJHYAAAACAEAAA8AAAAAAAAAAQAgAAAAIgAAAGRycy9kb3ducmV2LnhtbFBLAQIU&#10;ABQAAAAIAIdO4kDvp2FhugEAAHEDAAAOAAAAAAAAAAEAIAAAACcBAABkcnMvZTJvRG9jLnhtbFBL&#10;BQYAAAAABgAGAFkBAABTBQAAAAA=&#10;">
              <v:fill on="f" focussize="0,0"/>
              <v:stroke on="f"/>
              <v:imagedata o:title=""/>
              <o:lock v:ext="edit" aspectratio="f"/>
              <v:textbox inset="0mm,0mm,0mm,0mm">
                <w:txbxContent>
                  <w:p w14:paraId="369F2080">
                    <w:pPr>
                      <w:spacing w:before="20" w:line="219" w:lineRule="auto"/>
                      <w:ind w:left="20"/>
                      <w:rPr>
                        <w:rFonts w:ascii="宋体" w:hAnsi="宋体" w:eastAsia="宋体" w:cs="宋体"/>
                        <w:sz w:val="19"/>
                        <w:szCs w:val="19"/>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E4A55"/>
    <w:multiLevelType w:val="singleLevel"/>
    <w:tmpl w:val="C33E4A55"/>
    <w:lvl w:ilvl="0" w:tentative="0">
      <w:start w:val="1"/>
      <w:numFmt w:val="chineseCounting"/>
      <w:suff w:val="space"/>
      <w:lvlText w:val="第%1章"/>
      <w:lvlJc w:val="left"/>
      <w:rPr>
        <w:rFonts w:hint="eastAsia"/>
      </w:rPr>
    </w:lvl>
  </w:abstractNum>
  <w:abstractNum w:abstractNumId="1">
    <w:nsid w:val="C5F12313"/>
    <w:multiLevelType w:val="singleLevel"/>
    <w:tmpl w:val="C5F12313"/>
    <w:lvl w:ilvl="0" w:tentative="0">
      <w:start w:val="8"/>
      <w:numFmt w:val="decimal"/>
      <w:suff w:val="nothing"/>
      <w:lvlText w:val="%1、"/>
      <w:lvlJc w:val="left"/>
    </w:lvl>
  </w:abstractNum>
  <w:abstractNum w:abstractNumId="2">
    <w:nsid w:val="C8CE0548"/>
    <w:multiLevelType w:val="singleLevel"/>
    <w:tmpl w:val="C8CE0548"/>
    <w:lvl w:ilvl="0" w:tentative="0">
      <w:start w:val="1"/>
      <w:numFmt w:val="decimal"/>
      <w:suff w:val="nothing"/>
      <w:lvlText w:val="%1、"/>
      <w:lvlJc w:val="left"/>
    </w:lvl>
  </w:abstractNum>
  <w:abstractNum w:abstractNumId="3">
    <w:nsid w:val="F587233A"/>
    <w:multiLevelType w:val="singleLevel"/>
    <w:tmpl w:val="F587233A"/>
    <w:lvl w:ilvl="0" w:tentative="0">
      <w:start w:val="3"/>
      <w:numFmt w:val="decimal"/>
      <w:suff w:val="nothing"/>
      <w:lvlText w:val="%1、"/>
      <w:lvlJc w:val="left"/>
    </w:lvl>
  </w:abstractNum>
  <w:abstractNum w:abstractNumId="4">
    <w:nsid w:val="0000000D"/>
    <w:multiLevelType w:val="singleLevel"/>
    <w:tmpl w:val="0000000D"/>
    <w:lvl w:ilvl="0" w:tentative="0">
      <w:start w:val="1"/>
      <w:numFmt w:val="bullet"/>
      <w:lvlText w:val=""/>
      <w:lvlJc w:val="left"/>
      <w:pPr>
        <w:tabs>
          <w:tab w:val="left" w:pos="1200"/>
        </w:tabs>
        <w:ind w:left="1200" w:hanging="360"/>
      </w:pPr>
      <w:rPr>
        <w:rFonts w:hint="default" w:ascii="Wingdings" w:hAnsi="Wingdings"/>
      </w:rPr>
    </w:lvl>
  </w:abstractNum>
  <w:abstractNum w:abstractNumId="5">
    <w:nsid w:val="0B0BAA12"/>
    <w:multiLevelType w:val="singleLevel"/>
    <w:tmpl w:val="0B0BAA12"/>
    <w:lvl w:ilvl="0" w:tentative="0">
      <w:start w:val="1"/>
      <w:numFmt w:val="decimal"/>
      <w:suff w:val="nothing"/>
      <w:lvlText w:val="（%1）"/>
      <w:lvlJc w:val="left"/>
    </w:lvl>
  </w:abstractNum>
  <w:abstractNum w:abstractNumId="6">
    <w:nsid w:val="16880328"/>
    <w:multiLevelType w:val="singleLevel"/>
    <w:tmpl w:val="16880328"/>
    <w:lvl w:ilvl="0" w:tentative="0">
      <w:start w:val="1"/>
      <w:numFmt w:val="decimal"/>
      <w:suff w:val="nothing"/>
      <w:lvlText w:val="（%1）"/>
      <w:lvlJc w:val="left"/>
    </w:lvl>
  </w:abstractNum>
  <w:abstractNum w:abstractNumId="7">
    <w:nsid w:val="2DA69E8B"/>
    <w:multiLevelType w:val="singleLevel"/>
    <w:tmpl w:val="2DA69E8B"/>
    <w:lvl w:ilvl="0" w:tentative="0">
      <w:start w:val="1"/>
      <w:numFmt w:val="chineseCounting"/>
      <w:suff w:val="nothing"/>
      <w:lvlText w:val="%1、"/>
      <w:lvlJc w:val="left"/>
      <w:rPr>
        <w:rFonts w:hint="eastAsia"/>
      </w:rPr>
    </w:lvl>
  </w:abstractNum>
  <w:abstractNum w:abstractNumId="8">
    <w:nsid w:val="41D58E7F"/>
    <w:multiLevelType w:val="singleLevel"/>
    <w:tmpl w:val="41D58E7F"/>
    <w:lvl w:ilvl="0" w:tentative="0">
      <w:start w:val="1"/>
      <w:numFmt w:val="decimal"/>
      <w:lvlText w:val="%1."/>
      <w:lvlJc w:val="left"/>
      <w:pPr>
        <w:tabs>
          <w:tab w:val="left" w:pos="312"/>
        </w:tabs>
      </w:pPr>
    </w:lvl>
  </w:abstractNum>
  <w:abstractNum w:abstractNumId="9">
    <w:nsid w:val="46B853D5"/>
    <w:multiLevelType w:val="multilevel"/>
    <w:tmpl w:val="46B853D5"/>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4C334737"/>
    <w:multiLevelType w:val="singleLevel"/>
    <w:tmpl w:val="4C334737"/>
    <w:lvl w:ilvl="0" w:tentative="0">
      <w:start w:val="4"/>
      <w:numFmt w:val="decimal"/>
      <w:suff w:val="nothing"/>
      <w:lvlText w:val="%1、"/>
      <w:lvlJc w:val="left"/>
    </w:lvl>
  </w:abstractNum>
  <w:num w:numId="1">
    <w:abstractNumId w:val="9"/>
  </w:num>
  <w:num w:numId="2">
    <w:abstractNumId w:val="4"/>
  </w:num>
  <w:num w:numId="3">
    <w:abstractNumId w:val="10"/>
  </w:num>
  <w:num w:numId="4">
    <w:abstractNumId w:val="0"/>
  </w:num>
  <w:num w:numId="5">
    <w:abstractNumId w:val="6"/>
  </w:num>
  <w:num w:numId="6">
    <w:abstractNumId w:val="8"/>
  </w:num>
  <w:num w:numId="7">
    <w:abstractNumId w:val="5"/>
  </w:num>
  <w:num w:numId="8">
    <w:abstractNumId w:val="7"/>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ZGE0YjFkZTg3NDkwNGUxMTAxOGUwODU0MDg2MWEifQ=="/>
  </w:docVars>
  <w:rsids>
    <w:rsidRoot w:val="6D237F65"/>
    <w:rsid w:val="00A45F86"/>
    <w:rsid w:val="00AA6618"/>
    <w:rsid w:val="00B06E28"/>
    <w:rsid w:val="016E4BD1"/>
    <w:rsid w:val="017936BE"/>
    <w:rsid w:val="01993D60"/>
    <w:rsid w:val="0208096F"/>
    <w:rsid w:val="02477107"/>
    <w:rsid w:val="02644081"/>
    <w:rsid w:val="02820281"/>
    <w:rsid w:val="02AB3D4B"/>
    <w:rsid w:val="02AB5E47"/>
    <w:rsid w:val="02CF7DD8"/>
    <w:rsid w:val="02D52B76"/>
    <w:rsid w:val="035A20BD"/>
    <w:rsid w:val="0370464D"/>
    <w:rsid w:val="03A9695B"/>
    <w:rsid w:val="03AC795D"/>
    <w:rsid w:val="03AF1619"/>
    <w:rsid w:val="03C055D4"/>
    <w:rsid w:val="03F92C4A"/>
    <w:rsid w:val="043F0BEF"/>
    <w:rsid w:val="0447561F"/>
    <w:rsid w:val="047D5898"/>
    <w:rsid w:val="04E6106A"/>
    <w:rsid w:val="04E86B91"/>
    <w:rsid w:val="057C19CF"/>
    <w:rsid w:val="057F7796"/>
    <w:rsid w:val="05860158"/>
    <w:rsid w:val="05B20F4D"/>
    <w:rsid w:val="05D76C05"/>
    <w:rsid w:val="06021ED4"/>
    <w:rsid w:val="060F5837"/>
    <w:rsid w:val="062F5528"/>
    <w:rsid w:val="06414E43"/>
    <w:rsid w:val="067F3C7E"/>
    <w:rsid w:val="070A7D60"/>
    <w:rsid w:val="075813A5"/>
    <w:rsid w:val="07A64AE1"/>
    <w:rsid w:val="07AA45D1"/>
    <w:rsid w:val="07E86EA8"/>
    <w:rsid w:val="08151126"/>
    <w:rsid w:val="082422DC"/>
    <w:rsid w:val="08400A92"/>
    <w:rsid w:val="0869448C"/>
    <w:rsid w:val="09652EA6"/>
    <w:rsid w:val="09C35E1E"/>
    <w:rsid w:val="0A1977EC"/>
    <w:rsid w:val="0AA90B70"/>
    <w:rsid w:val="0ADD6A6C"/>
    <w:rsid w:val="0AE55920"/>
    <w:rsid w:val="0AF02C43"/>
    <w:rsid w:val="0B0F0CF0"/>
    <w:rsid w:val="0B6947A3"/>
    <w:rsid w:val="0BA42279"/>
    <w:rsid w:val="0BDC4F75"/>
    <w:rsid w:val="0BF56037"/>
    <w:rsid w:val="0C0D54F0"/>
    <w:rsid w:val="0C277DAF"/>
    <w:rsid w:val="0C4A3584"/>
    <w:rsid w:val="0C5D2319"/>
    <w:rsid w:val="0CA737D5"/>
    <w:rsid w:val="0CB565EF"/>
    <w:rsid w:val="0D0F4ED6"/>
    <w:rsid w:val="0D1B1ACD"/>
    <w:rsid w:val="0D2766C4"/>
    <w:rsid w:val="0D6E42F3"/>
    <w:rsid w:val="0D8728A6"/>
    <w:rsid w:val="0DC61A39"/>
    <w:rsid w:val="0DE46363"/>
    <w:rsid w:val="0DF26CD2"/>
    <w:rsid w:val="0E2E1015"/>
    <w:rsid w:val="0E651252"/>
    <w:rsid w:val="0E87741A"/>
    <w:rsid w:val="0E9148CF"/>
    <w:rsid w:val="0EC73CBB"/>
    <w:rsid w:val="0EDB59B8"/>
    <w:rsid w:val="0EF6341E"/>
    <w:rsid w:val="0EFC3672"/>
    <w:rsid w:val="0F274028"/>
    <w:rsid w:val="0F36499C"/>
    <w:rsid w:val="0F4B669A"/>
    <w:rsid w:val="0FB029A1"/>
    <w:rsid w:val="0FCF1690"/>
    <w:rsid w:val="0FD308BE"/>
    <w:rsid w:val="101947C5"/>
    <w:rsid w:val="102C2A8E"/>
    <w:rsid w:val="108326A2"/>
    <w:rsid w:val="10973B61"/>
    <w:rsid w:val="10BE733F"/>
    <w:rsid w:val="11052878"/>
    <w:rsid w:val="11075D91"/>
    <w:rsid w:val="110F7B9B"/>
    <w:rsid w:val="111331E7"/>
    <w:rsid w:val="1116124C"/>
    <w:rsid w:val="1117032D"/>
    <w:rsid w:val="119A56B6"/>
    <w:rsid w:val="11CA7C47"/>
    <w:rsid w:val="121F796A"/>
    <w:rsid w:val="1279351E"/>
    <w:rsid w:val="12B83E11"/>
    <w:rsid w:val="12FB2185"/>
    <w:rsid w:val="131E2317"/>
    <w:rsid w:val="135D2E40"/>
    <w:rsid w:val="13772C66"/>
    <w:rsid w:val="13F15336"/>
    <w:rsid w:val="14060EC2"/>
    <w:rsid w:val="14B46A8F"/>
    <w:rsid w:val="14F21462"/>
    <w:rsid w:val="153674A4"/>
    <w:rsid w:val="15634011"/>
    <w:rsid w:val="15637B70"/>
    <w:rsid w:val="15A7784B"/>
    <w:rsid w:val="1620320C"/>
    <w:rsid w:val="16B56AEF"/>
    <w:rsid w:val="16FE4510"/>
    <w:rsid w:val="173F4E21"/>
    <w:rsid w:val="17555B8A"/>
    <w:rsid w:val="17934F56"/>
    <w:rsid w:val="17EB6C6C"/>
    <w:rsid w:val="17F84EE5"/>
    <w:rsid w:val="18A706B9"/>
    <w:rsid w:val="18CB25F9"/>
    <w:rsid w:val="192341E3"/>
    <w:rsid w:val="19371A3D"/>
    <w:rsid w:val="195161EA"/>
    <w:rsid w:val="196433D5"/>
    <w:rsid w:val="199C7AF2"/>
    <w:rsid w:val="19C9248B"/>
    <w:rsid w:val="19D96F98"/>
    <w:rsid w:val="19EF40C6"/>
    <w:rsid w:val="1A2C356C"/>
    <w:rsid w:val="1A51620D"/>
    <w:rsid w:val="1A655C77"/>
    <w:rsid w:val="1A807414"/>
    <w:rsid w:val="1A8E38DF"/>
    <w:rsid w:val="1A905843"/>
    <w:rsid w:val="1A9703B3"/>
    <w:rsid w:val="1AAC1E50"/>
    <w:rsid w:val="1ADA3526"/>
    <w:rsid w:val="1AF57E02"/>
    <w:rsid w:val="1B261D69"/>
    <w:rsid w:val="1B3A5814"/>
    <w:rsid w:val="1BB12FEE"/>
    <w:rsid w:val="1BEB43DA"/>
    <w:rsid w:val="1C204A0A"/>
    <w:rsid w:val="1C3A271C"/>
    <w:rsid w:val="1C7B2E44"/>
    <w:rsid w:val="1C962F1E"/>
    <w:rsid w:val="1CCE090A"/>
    <w:rsid w:val="1D6769E3"/>
    <w:rsid w:val="1DC046F7"/>
    <w:rsid w:val="1DF95513"/>
    <w:rsid w:val="1E03329C"/>
    <w:rsid w:val="1E1967B4"/>
    <w:rsid w:val="1E634458"/>
    <w:rsid w:val="1E892D3B"/>
    <w:rsid w:val="1EB51D82"/>
    <w:rsid w:val="1F572E39"/>
    <w:rsid w:val="1F982576"/>
    <w:rsid w:val="1FA6791C"/>
    <w:rsid w:val="1FAF7250"/>
    <w:rsid w:val="1FB84369"/>
    <w:rsid w:val="1FBC7140"/>
    <w:rsid w:val="1FC80DE6"/>
    <w:rsid w:val="1FD46237"/>
    <w:rsid w:val="1FF00B97"/>
    <w:rsid w:val="2043516B"/>
    <w:rsid w:val="207D067D"/>
    <w:rsid w:val="208C494A"/>
    <w:rsid w:val="209239FD"/>
    <w:rsid w:val="20A7720E"/>
    <w:rsid w:val="20DE6C42"/>
    <w:rsid w:val="21025026"/>
    <w:rsid w:val="211532CF"/>
    <w:rsid w:val="211B1C44"/>
    <w:rsid w:val="215F7D83"/>
    <w:rsid w:val="21D04987"/>
    <w:rsid w:val="21E93AF0"/>
    <w:rsid w:val="21EB3652"/>
    <w:rsid w:val="221A4B4D"/>
    <w:rsid w:val="221C2118"/>
    <w:rsid w:val="226715E5"/>
    <w:rsid w:val="228C2C26"/>
    <w:rsid w:val="22B16431"/>
    <w:rsid w:val="22C511DE"/>
    <w:rsid w:val="238B4E5F"/>
    <w:rsid w:val="23902475"/>
    <w:rsid w:val="23927AAD"/>
    <w:rsid w:val="239A32F4"/>
    <w:rsid w:val="23FF7257"/>
    <w:rsid w:val="244E1089"/>
    <w:rsid w:val="249A5B47"/>
    <w:rsid w:val="24B40BFD"/>
    <w:rsid w:val="24EA690E"/>
    <w:rsid w:val="25050C41"/>
    <w:rsid w:val="2531619F"/>
    <w:rsid w:val="25421E95"/>
    <w:rsid w:val="25704025"/>
    <w:rsid w:val="25951FC5"/>
    <w:rsid w:val="260A1217"/>
    <w:rsid w:val="26435EC5"/>
    <w:rsid w:val="2658181F"/>
    <w:rsid w:val="26A521CE"/>
    <w:rsid w:val="26D46B1D"/>
    <w:rsid w:val="27303DF5"/>
    <w:rsid w:val="27337CE7"/>
    <w:rsid w:val="273852FE"/>
    <w:rsid w:val="27716A62"/>
    <w:rsid w:val="277D5407"/>
    <w:rsid w:val="277F4CDB"/>
    <w:rsid w:val="279A1B15"/>
    <w:rsid w:val="27B626C7"/>
    <w:rsid w:val="27BC5F2F"/>
    <w:rsid w:val="27E41865"/>
    <w:rsid w:val="28446AB6"/>
    <w:rsid w:val="28687E65"/>
    <w:rsid w:val="289657EF"/>
    <w:rsid w:val="28AE461B"/>
    <w:rsid w:val="29234183"/>
    <w:rsid w:val="29A0718A"/>
    <w:rsid w:val="2A3D2C2B"/>
    <w:rsid w:val="2A830F86"/>
    <w:rsid w:val="2A837500"/>
    <w:rsid w:val="2A866380"/>
    <w:rsid w:val="2AA333D6"/>
    <w:rsid w:val="2AC942AD"/>
    <w:rsid w:val="2B061C86"/>
    <w:rsid w:val="2B8F37A3"/>
    <w:rsid w:val="2BD33847"/>
    <w:rsid w:val="2C5C383D"/>
    <w:rsid w:val="2C956D4E"/>
    <w:rsid w:val="2CCD23A8"/>
    <w:rsid w:val="2CED2466"/>
    <w:rsid w:val="2D5652F0"/>
    <w:rsid w:val="2D57710F"/>
    <w:rsid w:val="2D614E83"/>
    <w:rsid w:val="2D67693D"/>
    <w:rsid w:val="2D6A3D37"/>
    <w:rsid w:val="2DB63420"/>
    <w:rsid w:val="2DCF44E2"/>
    <w:rsid w:val="2E625356"/>
    <w:rsid w:val="2E7806D6"/>
    <w:rsid w:val="2EAB514E"/>
    <w:rsid w:val="2F035424"/>
    <w:rsid w:val="2F1125F2"/>
    <w:rsid w:val="2F3248D3"/>
    <w:rsid w:val="2F702B72"/>
    <w:rsid w:val="2F813D80"/>
    <w:rsid w:val="2FBE036A"/>
    <w:rsid w:val="301A5EE8"/>
    <w:rsid w:val="30226B4B"/>
    <w:rsid w:val="305B205D"/>
    <w:rsid w:val="30A27C8C"/>
    <w:rsid w:val="30A6777C"/>
    <w:rsid w:val="30BE1593"/>
    <w:rsid w:val="311E37B6"/>
    <w:rsid w:val="312A215B"/>
    <w:rsid w:val="314B20D2"/>
    <w:rsid w:val="31583F91"/>
    <w:rsid w:val="315C608D"/>
    <w:rsid w:val="32E427DE"/>
    <w:rsid w:val="32FC18D5"/>
    <w:rsid w:val="33890C8F"/>
    <w:rsid w:val="339935C8"/>
    <w:rsid w:val="33A855B9"/>
    <w:rsid w:val="33C63C91"/>
    <w:rsid w:val="340F5638"/>
    <w:rsid w:val="34201139"/>
    <w:rsid w:val="3499096A"/>
    <w:rsid w:val="34B54432"/>
    <w:rsid w:val="34DB551B"/>
    <w:rsid w:val="34E6283D"/>
    <w:rsid w:val="35303AB8"/>
    <w:rsid w:val="355D23D3"/>
    <w:rsid w:val="35EF7B7B"/>
    <w:rsid w:val="360B0081"/>
    <w:rsid w:val="36394BEF"/>
    <w:rsid w:val="36995573"/>
    <w:rsid w:val="36C070BE"/>
    <w:rsid w:val="37067CBC"/>
    <w:rsid w:val="37CF542F"/>
    <w:rsid w:val="38127F66"/>
    <w:rsid w:val="38635F53"/>
    <w:rsid w:val="389820A0"/>
    <w:rsid w:val="38A04AB1"/>
    <w:rsid w:val="38F66DC7"/>
    <w:rsid w:val="3922196A"/>
    <w:rsid w:val="39255FF2"/>
    <w:rsid w:val="393D7D07"/>
    <w:rsid w:val="3949693D"/>
    <w:rsid w:val="396C0E37"/>
    <w:rsid w:val="39722E5B"/>
    <w:rsid w:val="39981C2C"/>
    <w:rsid w:val="3AA80595"/>
    <w:rsid w:val="3AC70909"/>
    <w:rsid w:val="3B4F3B1C"/>
    <w:rsid w:val="3B52695B"/>
    <w:rsid w:val="3B561D9F"/>
    <w:rsid w:val="3BA22026"/>
    <w:rsid w:val="3BEC625F"/>
    <w:rsid w:val="3BF46780"/>
    <w:rsid w:val="3BFF421B"/>
    <w:rsid w:val="3C4D13F4"/>
    <w:rsid w:val="3C6B187A"/>
    <w:rsid w:val="3C976E9D"/>
    <w:rsid w:val="3CA32DC2"/>
    <w:rsid w:val="3CB72D11"/>
    <w:rsid w:val="3CE21B3C"/>
    <w:rsid w:val="3CEA065D"/>
    <w:rsid w:val="3D1219DB"/>
    <w:rsid w:val="3D135EF5"/>
    <w:rsid w:val="3D385C00"/>
    <w:rsid w:val="3D42082D"/>
    <w:rsid w:val="3D546414"/>
    <w:rsid w:val="3DE73182"/>
    <w:rsid w:val="3E015FF2"/>
    <w:rsid w:val="3E4F1453"/>
    <w:rsid w:val="3E530817"/>
    <w:rsid w:val="3E5500EC"/>
    <w:rsid w:val="3E5F4F18"/>
    <w:rsid w:val="3E865849"/>
    <w:rsid w:val="3ECE0EB8"/>
    <w:rsid w:val="3EF618CF"/>
    <w:rsid w:val="3F087854"/>
    <w:rsid w:val="3FDB4EA1"/>
    <w:rsid w:val="3FE5028A"/>
    <w:rsid w:val="40381A73"/>
    <w:rsid w:val="404623E2"/>
    <w:rsid w:val="40547A6C"/>
    <w:rsid w:val="40640ABA"/>
    <w:rsid w:val="406867FC"/>
    <w:rsid w:val="40892604"/>
    <w:rsid w:val="409A7C7E"/>
    <w:rsid w:val="40B557B9"/>
    <w:rsid w:val="40D21EC7"/>
    <w:rsid w:val="41115F4D"/>
    <w:rsid w:val="4135734F"/>
    <w:rsid w:val="416C4863"/>
    <w:rsid w:val="41847EE4"/>
    <w:rsid w:val="41A2189A"/>
    <w:rsid w:val="41AC44C7"/>
    <w:rsid w:val="41C061C4"/>
    <w:rsid w:val="41F31166"/>
    <w:rsid w:val="41F8595E"/>
    <w:rsid w:val="42FA74B4"/>
    <w:rsid w:val="43217136"/>
    <w:rsid w:val="439F5D61"/>
    <w:rsid w:val="43B55889"/>
    <w:rsid w:val="4453532F"/>
    <w:rsid w:val="44623562"/>
    <w:rsid w:val="4473751E"/>
    <w:rsid w:val="449833E9"/>
    <w:rsid w:val="44C424A5"/>
    <w:rsid w:val="44DE52DF"/>
    <w:rsid w:val="44EB17AA"/>
    <w:rsid w:val="450B3BFA"/>
    <w:rsid w:val="454313DE"/>
    <w:rsid w:val="45857508"/>
    <w:rsid w:val="45BE6EBE"/>
    <w:rsid w:val="45BF6ED5"/>
    <w:rsid w:val="45FE550D"/>
    <w:rsid w:val="46130FB8"/>
    <w:rsid w:val="46165E28"/>
    <w:rsid w:val="466A4950"/>
    <w:rsid w:val="46800EEB"/>
    <w:rsid w:val="46CD774D"/>
    <w:rsid w:val="46DC75FC"/>
    <w:rsid w:val="47C713AE"/>
    <w:rsid w:val="47DE55F6"/>
    <w:rsid w:val="47EF7803"/>
    <w:rsid w:val="48051D9C"/>
    <w:rsid w:val="48457423"/>
    <w:rsid w:val="48914416"/>
    <w:rsid w:val="48A24875"/>
    <w:rsid w:val="49211C3E"/>
    <w:rsid w:val="4944382A"/>
    <w:rsid w:val="495A0CAC"/>
    <w:rsid w:val="49FB423D"/>
    <w:rsid w:val="4A162E25"/>
    <w:rsid w:val="4A183041"/>
    <w:rsid w:val="4A383387"/>
    <w:rsid w:val="4A4E0A12"/>
    <w:rsid w:val="4A71383E"/>
    <w:rsid w:val="4AD336A8"/>
    <w:rsid w:val="4B514F5D"/>
    <w:rsid w:val="4BB26B7D"/>
    <w:rsid w:val="4BF76C86"/>
    <w:rsid w:val="4C123AC0"/>
    <w:rsid w:val="4C762B00"/>
    <w:rsid w:val="4C8E0D6B"/>
    <w:rsid w:val="4CCC0113"/>
    <w:rsid w:val="4CF2476C"/>
    <w:rsid w:val="4D275349"/>
    <w:rsid w:val="4D4128AF"/>
    <w:rsid w:val="4D5D1467"/>
    <w:rsid w:val="4D8B68A5"/>
    <w:rsid w:val="4DB841F3"/>
    <w:rsid w:val="4DD03C33"/>
    <w:rsid w:val="4EF179BD"/>
    <w:rsid w:val="4F277882"/>
    <w:rsid w:val="4F4C72E9"/>
    <w:rsid w:val="4F800C16"/>
    <w:rsid w:val="4FEC1592"/>
    <w:rsid w:val="50CC06E1"/>
    <w:rsid w:val="50E772C9"/>
    <w:rsid w:val="5100482F"/>
    <w:rsid w:val="513601A0"/>
    <w:rsid w:val="5158008D"/>
    <w:rsid w:val="519F5DF6"/>
    <w:rsid w:val="51BF1FF4"/>
    <w:rsid w:val="51D535C6"/>
    <w:rsid w:val="51EE0B2B"/>
    <w:rsid w:val="51F03215"/>
    <w:rsid w:val="52151C14"/>
    <w:rsid w:val="52180C8A"/>
    <w:rsid w:val="52383B54"/>
    <w:rsid w:val="52552958"/>
    <w:rsid w:val="527821A3"/>
    <w:rsid w:val="53073C53"/>
    <w:rsid w:val="531243A6"/>
    <w:rsid w:val="531D09AE"/>
    <w:rsid w:val="53C03E02"/>
    <w:rsid w:val="53D8114B"/>
    <w:rsid w:val="54491CB5"/>
    <w:rsid w:val="54610692"/>
    <w:rsid w:val="547A0E0D"/>
    <w:rsid w:val="54C811C0"/>
    <w:rsid w:val="55222FC6"/>
    <w:rsid w:val="56526E9D"/>
    <w:rsid w:val="56705FB3"/>
    <w:rsid w:val="56AF0889"/>
    <w:rsid w:val="56C02A96"/>
    <w:rsid w:val="56EF16EF"/>
    <w:rsid w:val="57030BD5"/>
    <w:rsid w:val="570A1F63"/>
    <w:rsid w:val="57527466"/>
    <w:rsid w:val="575B456D"/>
    <w:rsid w:val="57DF519E"/>
    <w:rsid w:val="583059FA"/>
    <w:rsid w:val="594159E5"/>
    <w:rsid w:val="59CA67B9"/>
    <w:rsid w:val="59DD74BB"/>
    <w:rsid w:val="5A673229"/>
    <w:rsid w:val="5AD14B46"/>
    <w:rsid w:val="5AD60ABF"/>
    <w:rsid w:val="5B074CF7"/>
    <w:rsid w:val="5B791466"/>
    <w:rsid w:val="5B8A2419"/>
    <w:rsid w:val="5BA25F14"/>
    <w:rsid w:val="5BC56459"/>
    <w:rsid w:val="5BD04D88"/>
    <w:rsid w:val="5C4F0418"/>
    <w:rsid w:val="5C95407D"/>
    <w:rsid w:val="5C963276"/>
    <w:rsid w:val="5D042FB1"/>
    <w:rsid w:val="5D3F048D"/>
    <w:rsid w:val="5D4C6E3D"/>
    <w:rsid w:val="5D6879E4"/>
    <w:rsid w:val="5D830A78"/>
    <w:rsid w:val="5DA350E2"/>
    <w:rsid w:val="5DF70D68"/>
    <w:rsid w:val="5E0C65C1"/>
    <w:rsid w:val="5E3A7529"/>
    <w:rsid w:val="5E4E4E2C"/>
    <w:rsid w:val="5E5B0A25"/>
    <w:rsid w:val="5E734892"/>
    <w:rsid w:val="5E9547AC"/>
    <w:rsid w:val="5EC751A8"/>
    <w:rsid w:val="5EC944B2"/>
    <w:rsid w:val="5EE02561"/>
    <w:rsid w:val="5EE37CF3"/>
    <w:rsid w:val="5EE44E48"/>
    <w:rsid w:val="5F113DDB"/>
    <w:rsid w:val="5F166FCB"/>
    <w:rsid w:val="5F351B48"/>
    <w:rsid w:val="5F5F0972"/>
    <w:rsid w:val="5FAB3BB8"/>
    <w:rsid w:val="603D5158"/>
    <w:rsid w:val="60592F95"/>
    <w:rsid w:val="60D91043"/>
    <w:rsid w:val="61497AAD"/>
    <w:rsid w:val="61E0223F"/>
    <w:rsid w:val="61F23D20"/>
    <w:rsid w:val="62096F6F"/>
    <w:rsid w:val="621A5025"/>
    <w:rsid w:val="62285994"/>
    <w:rsid w:val="6263077A"/>
    <w:rsid w:val="626F711E"/>
    <w:rsid w:val="628F215C"/>
    <w:rsid w:val="62C751AC"/>
    <w:rsid w:val="63293E58"/>
    <w:rsid w:val="63651049"/>
    <w:rsid w:val="63E61662"/>
    <w:rsid w:val="641E2BAA"/>
    <w:rsid w:val="641E3053"/>
    <w:rsid w:val="64410F8F"/>
    <w:rsid w:val="64425AC3"/>
    <w:rsid w:val="648844C8"/>
    <w:rsid w:val="64DD2A65"/>
    <w:rsid w:val="64FE7AA7"/>
    <w:rsid w:val="65554CF2"/>
    <w:rsid w:val="65992ACE"/>
    <w:rsid w:val="66125B4E"/>
    <w:rsid w:val="66372649"/>
    <w:rsid w:val="66417024"/>
    <w:rsid w:val="667F18FA"/>
    <w:rsid w:val="67066B57"/>
    <w:rsid w:val="67717495"/>
    <w:rsid w:val="67851192"/>
    <w:rsid w:val="67A54606"/>
    <w:rsid w:val="67A91325"/>
    <w:rsid w:val="68264723"/>
    <w:rsid w:val="688F62D8"/>
    <w:rsid w:val="689E250C"/>
    <w:rsid w:val="68F611E8"/>
    <w:rsid w:val="693D7722"/>
    <w:rsid w:val="69717C20"/>
    <w:rsid w:val="69763488"/>
    <w:rsid w:val="69C9180A"/>
    <w:rsid w:val="6A211646"/>
    <w:rsid w:val="6A9A4F55"/>
    <w:rsid w:val="6A9C2A7B"/>
    <w:rsid w:val="6ABF6769"/>
    <w:rsid w:val="6AF6662F"/>
    <w:rsid w:val="6B440DC6"/>
    <w:rsid w:val="6B476E8A"/>
    <w:rsid w:val="6B5E4DB4"/>
    <w:rsid w:val="6BD83F86"/>
    <w:rsid w:val="6BE82B02"/>
    <w:rsid w:val="6BFF1513"/>
    <w:rsid w:val="6C270A6A"/>
    <w:rsid w:val="6C2E004A"/>
    <w:rsid w:val="6C3D1218"/>
    <w:rsid w:val="6C4038DA"/>
    <w:rsid w:val="6C5E4F5B"/>
    <w:rsid w:val="6C8C06B4"/>
    <w:rsid w:val="6C955A1F"/>
    <w:rsid w:val="6CAD4579"/>
    <w:rsid w:val="6CD7699C"/>
    <w:rsid w:val="6CE54BAD"/>
    <w:rsid w:val="6CE90966"/>
    <w:rsid w:val="6CFD3965"/>
    <w:rsid w:val="6D156B14"/>
    <w:rsid w:val="6D237F65"/>
    <w:rsid w:val="6D4C165B"/>
    <w:rsid w:val="6D763A57"/>
    <w:rsid w:val="6DC20A4A"/>
    <w:rsid w:val="6DF57072"/>
    <w:rsid w:val="6E361438"/>
    <w:rsid w:val="6EF03395"/>
    <w:rsid w:val="6EF54E4F"/>
    <w:rsid w:val="6F4162E7"/>
    <w:rsid w:val="6F524050"/>
    <w:rsid w:val="6F63625D"/>
    <w:rsid w:val="6FF944CB"/>
    <w:rsid w:val="702F7EED"/>
    <w:rsid w:val="704D3B6E"/>
    <w:rsid w:val="706E2FE3"/>
    <w:rsid w:val="7075449A"/>
    <w:rsid w:val="707728E4"/>
    <w:rsid w:val="70F947B6"/>
    <w:rsid w:val="715A543E"/>
    <w:rsid w:val="716322C3"/>
    <w:rsid w:val="71662034"/>
    <w:rsid w:val="7169742F"/>
    <w:rsid w:val="717C7162"/>
    <w:rsid w:val="71AB5C99"/>
    <w:rsid w:val="72314B12"/>
    <w:rsid w:val="728C189C"/>
    <w:rsid w:val="72DB4D45"/>
    <w:rsid w:val="72E905B4"/>
    <w:rsid w:val="731C6E4F"/>
    <w:rsid w:val="732B7092"/>
    <w:rsid w:val="733F0D8F"/>
    <w:rsid w:val="73AA26AC"/>
    <w:rsid w:val="73E22138"/>
    <w:rsid w:val="743E1047"/>
    <w:rsid w:val="74416BF6"/>
    <w:rsid w:val="758B3E18"/>
    <w:rsid w:val="75DA08FB"/>
    <w:rsid w:val="75FC6AC3"/>
    <w:rsid w:val="76642A48"/>
    <w:rsid w:val="76720CD6"/>
    <w:rsid w:val="76F53C3E"/>
    <w:rsid w:val="778356EE"/>
    <w:rsid w:val="778D20C9"/>
    <w:rsid w:val="787634F3"/>
    <w:rsid w:val="7879089F"/>
    <w:rsid w:val="788A2AAC"/>
    <w:rsid w:val="78B33DB1"/>
    <w:rsid w:val="790A599B"/>
    <w:rsid w:val="79A120EF"/>
    <w:rsid w:val="79CE69C9"/>
    <w:rsid w:val="7A044199"/>
    <w:rsid w:val="7A460C55"/>
    <w:rsid w:val="7A7632E8"/>
    <w:rsid w:val="7A7E219D"/>
    <w:rsid w:val="7B3B7BEA"/>
    <w:rsid w:val="7BAF6D37"/>
    <w:rsid w:val="7BC40083"/>
    <w:rsid w:val="7BE40725"/>
    <w:rsid w:val="7C0964D1"/>
    <w:rsid w:val="7C1A7CA3"/>
    <w:rsid w:val="7C6158D2"/>
    <w:rsid w:val="7C7F3FAA"/>
    <w:rsid w:val="7CA9121C"/>
    <w:rsid w:val="7CE543C2"/>
    <w:rsid w:val="7D290086"/>
    <w:rsid w:val="7D474AC8"/>
    <w:rsid w:val="7D747887"/>
    <w:rsid w:val="7D860CED"/>
    <w:rsid w:val="7DB230AD"/>
    <w:rsid w:val="7E01111B"/>
    <w:rsid w:val="7E694F12"/>
    <w:rsid w:val="7EA514FB"/>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ind w:firstLine="0" w:firstLineChars="0"/>
      <w:outlineLvl w:val="1"/>
    </w:pPr>
    <w:rPr>
      <w:rFonts w:cs="Times New Roman"/>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8">
    <w:name w:val="Normal Indent"/>
    <w:basedOn w:val="1"/>
    <w:qFormat/>
    <w:uiPriority w:val="0"/>
    <w:pPr>
      <w:ind w:firstLine="420" w:firstLineChars="200"/>
    </w:pPr>
    <w:rPr>
      <w:kern w:val="0"/>
      <w:sz w:val="20"/>
      <w:szCs w:val="20"/>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qFormat/>
    <w:uiPriority w:val="99"/>
    <w:pPr>
      <w:adjustRightInd w:val="0"/>
      <w:spacing w:line="360" w:lineRule="atLeast"/>
      <w:jc w:val="left"/>
    </w:pPr>
    <w:rPr>
      <w:kern w:val="0"/>
      <w:sz w:val="24"/>
      <w:szCs w:val="20"/>
    </w:rPr>
  </w:style>
  <w:style w:type="paragraph" w:styleId="11">
    <w:name w:val="Body Text Indent"/>
    <w:basedOn w:val="1"/>
    <w:unhideWhenUsed/>
    <w:qFormat/>
    <w:uiPriority w:val="99"/>
    <w:pPr>
      <w:spacing w:after="120"/>
      <w:ind w:left="420"/>
    </w:pPr>
  </w:style>
  <w:style w:type="paragraph" w:styleId="12">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3">
    <w:name w:val="Plain Text"/>
    <w:basedOn w:val="1"/>
    <w:qFormat/>
    <w:uiPriority w:val="0"/>
    <w:rPr>
      <w:rFonts w:ascii="宋体" w:hAnsi="Courier New"/>
    </w:r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envelope return"/>
    <w:basedOn w:val="1"/>
    <w:qFormat/>
    <w:uiPriority w:val="0"/>
    <w:pPr>
      <w:snapToGrid w:val="0"/>
    </w:pPr>
    <w:rPr>
      <w:rFonts w:ascii="Arial" w:hAnsi="Arial"/>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4"/>
    <w:basedOn w:val="1"/>
    <w:next w:val="1"/>
    <w:qFormat/>
    <w:uiPriority w:val="0"/>
    <w:pPr>
      <w:ind w:left="630"/>
      <w:jc w:val="left"/>
    </w:pPr>
    <w:rPr>
      <w:rFonts w:ascii="Calibri" w:hAnsi="Calibri" w:cs="Calibri"/>
      <w:sz w:val="18"/>
      <w:szCs w:val="18"/>
    </w:rPr>
  </w:style>
  <w:style w:type="paragraph" w:styleId="19">
    <w:name w:val="Normal (Web)"/>
    <w:basedOn w:val="1"/>
    <w:unhideWhenUsed/>
    <w:qFormat/>
    <w:uiPriority w:val="99"/>
    <w:pPr>
      <w:widowControl/>
      <w:jc w:val="left"/>
    </w:pPr>
    <w:rPr>
      <w:rFonts w:ascii="宋体" w:hAnsi="宋体" w:cs="宋体"/>
      <w:kern w:val="0"/>
      <w:sz w:val="24"/>
    </w:rPr>
  </w:style>
  <w:style w:type="paragraph" w:styleId="20">
    <w:name w:val="Body Text First Indent"/>
    <w:basedOn w:val="2"/>
    <w:next w:val="21"/>
    <w:qFormat/>
    <w:uiPriority w:val="99"/>
    <w:pPr>
      <w:adjustRightInd w:val="0"/>
      <w:ind w:firstLine="420"/>
      <w:jc w:val="left"/>
      <w:textAlignment w:val="baseline"/>
    </w:pPr>
    <w:rPr>
      <w:kern w:val="0"/>
      <w:sz w:val="21"/>
    </w:rPr>
  </w:style>
  <w:style w:type="paragraph" w:styleId="21">
    <w:name w:val="Body Text First Indent 2"/>
    <w:basedOn w:val="11"/>
    <w:unhideWhenUsed/>
    <w:qFormat/>
    <w:uiPriority w:val="99"/>
    <w:pPr>
      <w:spacing w:after="0" w:line="360" w:lineRule="auto"/>
      <w:ind w:left="0" w:firstLine="420" w:firstLineChars="200"/>
    </w:pPr>
    <w:rPr>
      <w:rFonts w:eastAsia="仿宋_GB2312"/>
      <w:spacing w:val="15"/>
      <w:kern w:val="10"/>
      <w:sz w:val="24"/>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qFormat/>
    <w:uiPriority w:val="0"/>
    <w:rPr>
      <w:color w:val="296FBE"/>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qFormat/>
    <w:uiPriority w:val="0"/>
    <w:rPr>
      <w:rFonts w:hint="eastAsia" w:ascii="宋体" w:hAnsi="宋体" w:eastAsia="宋体" w:cs="宋体"/>
      <w:color w:val="000000"/>
      <w:sz w:val="18"/>
      <w:szCs w:val="18"/>
      <w:u w:val="none"/>
    </w:rPr>
  </w:style>
  <w:style w:type="character" w:styleId="33">
    <w:name w:val="HTML Code"/>
    <w:basedOn w:val="24"/>
    <w:qFormat/>
    <w:uiPriority w:val="0"/>
    <w:rPr>
      <w:rFonts w:ascii="微软雅黑" w:hAnsi="微软雅黑" w:eastAsia="微软雅黑" w:cs="微软雅黑"/>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ascii="monospace" w:hAnsi="monospace" w:eastAsia="monospace" w:cs="monospace"/>
    </w:rPr>
  </w:style>
  <w:style w:type="paragraph" w:customStyle="1" w:styleId="37">
    <w:name w:val="TOC 标题1"/>
    <w:basedOn w:val="3"/>
    <w:next w:val="1"/>
    <w:unhideWhenUsed/>
    <w:qFormat/>
    <w:uiPriority w:val="39"/>
    <w:pPr>
      <w:outlineLvl w:val="9"/>
    </w:pPr>
  </w:style>
  <w:style w:type="paragraph" w:customStyle="1" w:styleId="38">
    <w:name w:val="首行缩进"/>
    <w:basedOn w:val="1"/>
    <w:qFormat/>
    <w:uiPriority w:val="99"/>
    <w:pPr>
      <w:ind w:firstLine="480"/>
    </w:pPr>
    <w:rPr>
      <w:rFonts w:ascii="Calibri" w:hAnsi="Calibri"/>
      <w:lang w:val="zh-CN"/>
    </w:rPr>
  </w:style>
  <w:style w:type="paragraph" w:customStyle="1" w:styleId="39">
    <w:name w:val="正文缩进1"/>
    <w:basedOn w:val="1"/>
    <w:qFormat/>
    <w:uiPriority w:val="0"/>
    <w:pPr>
      <w:ind w:firstLine="420" w:firstLineChars="200"/>
    </w:pPr>
  </w:style>
  <w:style w:type="paragraph" w:customStyle="1" w:styleId="40">
    <w:name w:val="样式 首行缩进:  2 字符"/>
    <w:basedOn w:val="1"/>
    <w:qFormat/>
    <w:uiPriority w:val="0"/>
    <w:pPr>
      <w:spacing w:line="400" w:lineRule="exact"/>
      <w:ind w:firstLine="200" w:firstLineChars="200"/>
    </w:pPr>
    <w:rPr>
      <w:rFonts w:cs="宋体"/>
      <w:sz w:val="24"/>
    </w:rPr>
  </w:style>
  <w:style w:type="paragraph" w:customStyle="1" w:styleId="41">
    <w:name w:val="样式 样式 样式 样式 标题 2 + 宋体 五号 非加粗 黑色 + 段前: 6 磅 段后: 0 磅 行距: 单倍行距 + 段前:..."/>
    <w:basedOn w:val="1"/>
    <w:qFormat/>
    <w:uiPriority w:val="0"/>
    <w:pPr>
      <w:keepNext/>
      <w:keepLines/>
      <w:numPr>
        <w:ilvl w:val="1"/>
        <w:numId w:val="2"/>
      </w:numPr>
      <w:tabs>
        <w:tab w:val="left" w:pos="1200"/>
      </w:tabs>
      <w:adjustRightInd w:val="0"/>
      <w:spacing w:before="240" w:beforeLines="0"/>
      <w:jc w:val="left"/>
      <w:textAlignment w:val="baseline"/>
      <w:outlineLvl w:val="1"/>
    </w:pPr>
    <w:rPr>
      <w:rFonts w:ascii="宋体" w:hAnsi="宋体" w:cs="宋体"/>
      <w:b/>
      <w:bCs/>
      <w:color w:val="000000"/>
      <w:kern w:val="0"/>
    </w:rPr>
  </w:style>
  <w:style w:type="paragraph" w:customStyle="1" w:styleId="42">
    <w:name w:val="title12"/>
    <w:basedOn w:val="1"/>
    <w:qFormat/>
    <w:uiPriority w:val="0"/>
    <w:pPr>
      <w:spacing w:before="150" w:after="100" w:afterAutospacing="1"/>
      <w:jc w:val="left"/>
    </w:pPr>
    <w:rPr>
      <w:rFonts w:ascii="Calibri" w:hAnsi="Calibri"/>
      <w:b/>
      <w:bCs/>
      <w:sz w:val="22"/>
      <w:szCs w:val="22"/>
    </w:rPr>
  </w:style>
  <w:style w:type="character" w:customStyle="1" w:styleId="43">
    <w:name w:val="biggerthanmax"/>
    <w:basedOn w:val="24"/>
    <w:qFormat/>
    <w:uiPriority w:val="0"/>
    <w:rPr>
      <w:shd w:val="clear" w:fill="FFFF00"/>
    </w:rPr>
  </w:style>
  <w:style w:type="character" w:customStyle="1" w:styleId="44">
    <w:name w:val="ico1655"/>
    <w:basedOn w:val="24"/>
    <w:qFormat/>
    <w:uiPriority w:val="0"/>
  </w:style>
  <w:style w:type="character" w:customStyle="1" w:styleId="45">
    <w:name w:val="button"/>
    <w:basedOn w:val="24"/>
    <w:qFormat/>
    <w:uiPriority w:val="0"/>
  </w:style>
  <w:style w:type="character" w:customStyle="1" w:styleId="46">
    <w:name w:val="cy"/>
    <w:basedOn w:val="24"/>
    <w:qFormat/>
    <w:uiPriority w:val="0"/>
  </w:style>
  <w:style w:type="character" w:customStyle="1" w:styleId="47">
    <w:name w:val="w32"/>
    <w:basedOn w:val="24"/>
    <w:qFormat/>
    <w:uiPriority w:val="0"/>
  </w:style>
  <w:style w:type="character" w:customStyle="1" w:styleId="48">
    <w:name w:val="active5"/>
    <w:basedOn w:val="24"/>
    <w:qFormat/>
    <w:uiPriority w:val="0"/>
    <w:rPr>
      <w:color w:val="00FF00"/>
      <w:shd w:val="clear" w:fill="111111"/>
    </w:rPr>
  </w:style>
  <w:style w:type="character" w:customStyle="1" w:styleId="49">
    <w:name w:val="hover36"/>
    <w:basedOn w:val="24"/>
    <w:qFormat/>
    <w:uiPriority w:val="0"/>
    <w:rPr>
      <w:color w:val="FFFFFF"/>
    </w:rPr>
  </w:style>
  <w:style w:type="character" w:customStyle="1" w:styleId="50">
    <w:name w:val="estimate_gray"/>
    <w:basedOn w:val="24"/>
    <w:qFormat/>
    <w:uiPriority w:val="0"/>
    <w:rPr>
      <w:color w:val="FFFFFF"/>
    </w:rPr>
  </w:style>
  <w:style w:type="character" w:customStyle="1" w:styleId="51">
    <w:name w:val="design_class"/>
    <w:basedOn w:val="24"/>
    <w:qFormat/>
    <w:uiPriority w:val="0"/>
  </w:style>
  <w:style w:type="character" w:customStyle="1" w:styleId="52">
    <w:name w:val="xdrichtextbox2"/>
    <w:basedOn w:val="24"/>
    <w:qFormat/>
    <w:uiPriority w:val="0"/>
  </w:style>
  <w:style w:type="character" w:customStyle="1" w:styleId="53">
    <w:name w:val="hilite5"/>
    <w:basedOn w:val="24"/>
    <w:qFormat/>
    <w:uiPriority w:val="0"/>
    <w:rPr>
      <w:color w:val="FFFFFF"/>
      <w:shd w:val="clear" w:fill="666666"/>
    </w:rPr>
  </w:style>
  <w:style w:type="character" w:customStyle="1" w:styleId="54">
    <w:name w:val="pagechatarealistclose_box"/>
    <w:basedOn w:val="24"/>
    <w:qFormat/>
    <w:uiPriority w:val="0"/>
  </w:style>
  <w:style w:type="character" w:customStyle="1" w:styleId="55">
    <w:name w:val="pagechatarealistclose_box1"/>
    <w:basedOn w:val="24"/>
    <w:qFormat/>
    <w:uiPriority w:val="0"/>
  </w:style>
  <w:style w:type="character" w:customStyle="1" w:styleId="56">
    <w:name w:val="after"/>
    <w:basedOn w:val="24"/>
    <w:qFormat/>
    <w:uiPriority w:val="0"/>
    <w:rPr>
      <w:sz w:val="0"/>
      <w:szCs w:val="0"/>
    </w:rPr>
  </w:style>
  <w:style w:type="character" w:customStyle="1" w:styleId="57">
    <w:name w:val="cdropright"/>
    <w:basedOn w:val="24"/>
    <w:qFormat/>
    <w:uiPriority w:val="0"/>
  </w:style>
  <w:style w:type="character" w:customStyle="1" w:styleId="58">
    <w:name w:val="drapbtn"/>
    <w:basedOn w:val="24"/>
    <w:qFormat/>
    <w:uiPriority w:val="0"/>
  </w:style>
  <w:style w:type="character" w:customStyle="1" w:styleId="59">
    <w:name w:val="cdropleft"/>
    <w:basedOn w:val="24"/>
    <w:qFormat/>
    <w:uiPriority w:val="0"/>
  </w:style>
  <w:style w:type="character" w:customStyle="1" w:styleId="60">
    <w:name w:val="tmpztreemove_arrow"/>
    <w:basedOn w:val="24"/>
    <w:qFormat/>
    <w:uiPriority w:val="0"/>
  </w:style>
  <w:style w:type="character" w:customStyle="1" w:styleId="61">
    <w:name w:val="liked_gray"/>
    <w:basedOn w:val="24"/>
    <w:qFormat/>
    <w:uiPriority w:val="0"/>
    <w:rPr>
      <w:color w:val="FFFFFF"/>
    </w:rPr>
  </w:style>
  <w:style w:type="character" w:customStyle="1" w:styleId="62">
    <w:name w:val="browse_class&gt;span"/>
    <w:basedOn w:val="24"/>
    <w:qFormat/>
    <w:uiPriority w:val="0"/>
  </w:style>
  <w:style w:type="character" w:customStyle="1" w:styleId="63">
    <w:name w:val="moreaction32"/>
    <w:basedOn w:val="24"/>
    <w:qFormat/>
    <w:uiPriority w:val="0"/>
  </w:style>
  <w:style w:type="character" w:customStyle="1" w:styleId="64">
    <w:name w:val="edit_class"/>
    <w:basedOn w:val="24"/>
    <w:qFormat/>
    <w:uiPriority w:val="0"/>
  </w:style>
  <w:style w:type="character" w:customStyle="1" w:styleId="65">
    <w:name w:val="hover43"/>
    <w:basedOn w:val="24"/>
    <w:qFormat/>
    <w:uiPriority w:val="0"/>
    <w:rPr>
      <w:color w:val="FFFFFF"/>
    </w:rPr>
  </w:style>
  <w:style w:type="character" w:customStyle="1" w:styleId="66">
    <w:name w:val="hilite6"/>
    <w:basedOn w:val="24"/>
    <w:qFormat/>
    <w:uiPriority w:val="0"/>
    <w:rPr>
      <w:color w:val="FFFFFF"/>
      <w:shd w:val="clear" w:fill="666666"/>
    </w:rPr>
  </w:style>
  <w:style w:type="character" w:customStyle="1" w:styleId="67">
    <w:name w:val="active7"/>
    <w:basedOn w:val="24"/>
    <w:qFormat/>
    <w:uiPriority w:val="0"/>
    <w:rPr>
      <w:color w:val="00FF00"/>
      <w:shd w:val="clear" w:fill="111111"/>
    </w:rPr>
  </w:style>
  <w:style w:type="character" w:customStyle="1" w:styleId="68">
    <w:name w:val="ico1656"/>
    <w:basedOn w:val="24"/>
    <w:qFormat/>
    <w:uiPriority w:val="0"/>
  </w:style>
  <w:style w:type="character" w:customStyle="1" w:styleId="69">
    <w:name w:val="ico1657"/>
    <w:basedOn w:val="24"/>
    <w:qFormat/>
    <w:uiPriority w:val="0"/>
  </w:style>
  <w:style w:type="character" w:customStyle="1" w:styleId="70">
    <w:name w:val="ico1658"/>
    <w:basedOn w:val="24"/>
    <w:qFormat/>
    <w:uiPriority w:val="0"/>
  </w:style>
  <w:style w:type="character" w:customStyle="1" w:styleId="71">
    <w:name w:val="button4"/>
    <w:basedOn w:val="24"/>
    <w:qFormat/>
    <w:uiPriority w:val="0"/>
  </w:style>
  <w:style w:type="character" w:customStyle="1" w:styleId="72">
    <w:name w:val="hilite"/>
    <w:basedOn w:val="24"/>
    <w:qFormat/>
    <w:uiPriority w:val="0"/>
    <w:rPr>
      <w:color w:val="FFFFFF"/>
      <w:shd w:val="clear" w:fill="666666"/>
    </w:rPr>
  </w:style>
  <w:style w:type="character" w:customStyle="1" w:styleId="73">
    <w:name w:val="active2"/>
    <w:basedOn w:val="24"/>
    <w:qFormat/>
    <w:uiPriority w:val="0"/>
    <w:rPr>
      <w:color w:val="00FF00"/>
      <w:shd w:val="clear" w:fill="111111"/>
    </w:rPr>
  </w:style>
  <w:style w:type="character" w:customStyle="1" w:styleId="74">
    <w:name w:val="hover38"/>
    <w:basedOn w:val="24"/>
    <w:qFormat/>
    <w:uiPriority w:val="0"/>
    <w:rPr>
      <w:color w:val="FFFFFF"/>
    </w:rPr>
  </w:style>
  <w:style w:type="character" w:customStyle="1" w:styleId="75">
    <w:name w:val="xdrichtextbox"/>
    <w:basedOn w:val="24"/>
    <w:qFormat/>
    <w:uiPriority w:val="0"/>
    <w:rPr>
      <w:color w:val="auto"/>
      <w:sz w:val="18"/>
      <w:szCs w:val="18"/>
      <w:u w:val="none"/>
      <w:bdr w:val="single" w:color="DCDCDC" w:sz="8" w:space="0"/>
      <w:shd w:val="clear" w:fill="auto"/>
    </w:rPr>
  </w:style>
  <w:style w:type="character" w:customStyle="1" w:styleId="76">
    <w:name w:val="hover44"/>
    <w:basedOn w:val="24"/>
    <w:qFormat/>
    <w:uiPriority w:val="0"/>
    <w:rPr>
      <w:color w:val="FFFFFF"/>
    </w:rPr>
  </w:style>
  <w:style w:type="paragraph" w:customStyle="1" w:styleId="77">
    <w:name w:val="Normal 0.51"/>
    <w:basedOn w:val="1"/>
    <w:next w:val="1"/>
    <w:qFormat/>
    <w:uiPriority w:val="0"/>
    <w:pPr>
      <w:widowControl/>
      <w:autoSpaceDE/>
      <w:autoSpaceDN/>
      <w:spacing w:before="180" w:after="120" w:line="240" w:lineRule="auto"/>
      <w:ind w:left="720" w:firstLine="0"/>
      <w:jc w:val="both"/>
    </w:pPr>
    <w:rPr>
      <w:rFonts w:ascii="Times New Roman" w:eastAsia="宋体"/>
      <w:sz w:val="24"/>
    </w:rPr>
  </w:style>
  <w:style w:type="paragraph" w:customStyle="1" w:styleId="78">
    <w:name w:val="Heading #1|1"/>
    <w:basedOn w:val="1"/>
    <w:qFormat/>
    <w:uiPriority w:val="0"/>
    <w:pPr>
      <w:widowControl w:val="0"/>
      <w:shd w:val="clear" w:color="auto" w:fill="auto"/>
      <w:spacing w:after="240"/>
      <w:jc w:val="center"/>
      <w:outlineLvl w:val="0"/>
    </w:pPr>
    <w:rPr>
      <w:rFonts w:ascii="宋体" w:hAnsi="宋体" w:eastAsia="宋体" w:cs="宋体"/>
      <w:sz w:val="40"/>
      <w:szCs w:val="40"/>
      <w:u w:val="none"/>
      <w:shd w:val="clear" w:color="auto" w:fill="auto"/>
      <w:lang w:val="zh-TW" w:eastAsia="zh-TW" w:bidi="zh-TW"/>
    </w:rPr>
  </w:style>
  <w:style w:type="paragraph" w:customStyle="1" w:styleId="79">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character" w:customStyle="1" w:styleId="80">
    <w:name w:val="proollist"/>
    <w:basedOn w:val="24"/>
    <w:qFormat/>
    <w:uiPriority w:val="0"/>
  </w:style>
  <w:style w:type="character" w:customStyle="1" w:styleId="81">
    <w:name w:val="beforeinfotext"/>
    <w:basedOn w:val="24"/>
    <w:qFormat/>
    <w:uiPriority w:val="0"/>
    <w:rPr>
      <w:color w:val="666666"/>
    </w:rPr>
  </w:style>
  <w:style w:type="character" w:customStyle="1" w:styleId="82">
    <w:name w:val="stclosebtn"/>
    <w:basedOn w:val="24"/>
    <w:qFormat/>
    <w:uiPriority w:val="0"/>
  </w:style>
  <w:style w:type="character" w:customStyle="1" w:styleId="83">
    <w:name w:val="number"/>
    <w:basedOn w:val="24"/>
    <w:qFormat/>
    <w:uiPriority w:val="0"/>
    <w:rPr>
      <w:color w:val="FF8833"/>
      <w:sz w:val="18"/>
      <w:szCs w:val="18"/>
    </w:rPr>
  </w:style>
  <w:style w:type="paragraph" w:customStyle="1" w:styleId="84">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85">
    <w:name w:val="phone"/>
    <w:basedOn w:val="24"/>
    <w:qFormat/>
    <w:uiPriority w:val="0"/>
    <w:rPr>
      <w:color w:val="FF8833"/>
      <w:sz w:val="18"/>
      <w:szCs w:val="18"/>
    </w:rPr>
  </w:style>
  <w:style w:type="paragraph" w:customStyle="1" w:styleId="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7">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88">
    <w:name w:val="active"/>
    <w:basedOn w:val="24"/>
    <w:qFormat/>
    <w:uiPriority w:val="0"/>
    <w:rPr>
      <w:color w:val="00FF00"/>
      <w:shd w:val="clear" w:fill="111111"/>
    </w:rPr>
  </w:style>
  <w:style w:type="character" w:customStyle="1" w:styleId="89">
    <w:name w:val="active6"/>
    <w:basedOn w:val="24"/>
    <w:qFormat/>
    <w:uiPriority w:val="0"/>
    <w:rPr>
      <w:color w:val="00FF00"/>
      <w:shd w:val="clear" w:fill="111111"/>
    </w:rPr>
  </w:style>
  <w:style w:type="character" w:customStyle="1" w:styleId="90">
    <w:name w:val="ico1652"/>
    <w:basedOn w:val="24"/>
    <w:qFormat/>
    <w:uiPriority w:val="0"/>
  </w:style>
  <w:style w:type="character" w:customStyle="1" w:styleId="91">
    <w:name w:val="ico1653"/>
    <w:basedOn w:val="24"/>
    <w:qFormat/>
    <w:uiPriority w:val="0"/>
  </w:style>
  <w:style w:type="character" w:customStyle="1" w:styleId="92">
    <w:name w:val="hover45"/>
    <w:basedOn w:val="24"/>
    <w:qFormat/>
    <w:uiPriority w:val="0"/>
    <w:rPr>
      <w:color w:val="FFFFFF"/>
    </w:rPr>
  </w:style>
  <w:style w:type="paragraph" w:customStyle="1" w:styleId="93">
    <w:name w:val=" Char Char Char"/>
    <w:basedOn w:val="1"/>
    <w:qFormat/>
    <w:uiPriority w:val="0"/>
    <w:pPr>
      <w:widowControl/>
      <w:spacing w:after="160" w:afterLines="0" w:line="240" w:lineRule="exact"/>
      <w:jc w:val="left"/>
    </w:pPr>
  </w:style>
  <w:style w:type="character" w:customStyle="1" w:styleId="94">
    <w:name w:val="font91"/>
    <w:basedOn w:val="24"/>
    <w:qFormat/>
    <w:uiPriority w:val="0"/>
    <w:rPr>
      <w:rFonts w:ascii="Arial" w:hAnsi="Arial" w:cs="Arial"/>
      <w:color w:val="000000"/>
      <w:sz w:val="20"/>
      <w:szCs w:val="20"/>
      <w:u w:val="none"/>
    </w:rPr>
  </w:style>
  <w:style w:type="character" w:customStyle="1" w:styleId="95">
    <w:name w:val="font41"/>
    <w:basedOn w:val="24"/>
    <w:qFormat/>
    <w:uiPriority w:val="0"/>
    <w:rPr>
      <w:rFonts w:hint="eastAsia" w:ascii="宋体" w:hAnsi="宋体" w:eastAsia="宋体" w:cs="宋体"/>
      <w:color w:val="000000"/>
      <w:sz w:val="20"/>
      <w:szCs w:val="20"/>
      <w:u w:val="none"/>
    </w:rPr>
  </w:style>
  <w:style w:type="character" w:customStyle="1" w:styleId="96">
    <w:name w:val="font101"/>
    <w:basedOn w:val="24"/>
    <w:qFormat/>
    <w:uiPriority w:val="0"/>
    <w:rPr>
      <w:rFonts w:ascii="宋体" w:hAnsi="宋体" w:eastAsia="宋体" w:cs="宋体"/>
      <w:color w:val="000000"/>
      <w:sz w:val="20"/>
      <w:szCs w:val="20"/>
      <w:u w:val="none"/>
    </w:rPr>
  </w:style>
  <w:style w:type="paragraph" w:styleId="97">
    <w:name w:val="List Paragraph"/>
    <w:basedOn w:val="1"/>
    <w:qFormat/>
    <w:uiPriority w:val="34"/>
    <w:pPr>
      <w:ind w:firstLine="420" w:firstLineChars="200"/>
    </w:pPr>
  </w:style>
  <w:style w:type="paragraph" w:customStyle="1" w:styleId="98">
    <w:name w:val="WPSOffice手动目录 1"/>
    <w:qFormat/>
    <w:uiPriority w:val="0"/>
    <w:rPr>
      <w:rFonts w:ascii="Times New Roman" w:hAnsi="Times New Roman" w:eastAsia="宋体" w:cs="Times New Roman"/>
      <w:lang w:val="en-US" w:eastAsia="zh-CN" w:bidi="ar-SA"/>
    </w:rPr>
  </w:style>
  <w:style w:type="paragraph" w:customStyle="1" w:styleId="99">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table" w:customStyle="1" w:styleId="100">
    <w:name w:val="网格型11"/>
    <w:basedOn w:val="101"/>
    <w:qFormat/>
    <w:uiPriority w:val="0"/>
    <w:pPr>
      <w:widowControl w:val="0"/>
      <w:jc w:val="both"/>
    </w:pPr>
  </w:style>
  <w:style w:type="table" w:customStyle="1" w:styleId="101">
    <w:name w:val="普通表格1"/>
    <w:semiHidden/>
    <w:qFormat/>
    <w:uiPriority w:val="0"/>
  </w:style>
  <w:style w:type="paragraph" w:customStyle="1" w:styleId="102">
    <w:name w:val="Table Text"/>
    <w:basedOn w:val="1"/>
    <w:autoRedefine/>
    <w:semiHidden/>
    <w:qFormat/>
    <w:uiPriority w:val="0"/>
    <w:rPr>
      <w:rFonts w:ascii="宋体" w:hAnsi="宋体" w:eastAsia="宋体" w:cs="宋体"/>
      <w:sz w:val="20"/>
      <w:szCs w:val="20"/>
      <w:lang w:val="en-US" w:eastAsia="en-US" w:bidi="ar-SA"/>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null3"/>
    <w:qFormat/>
    <w:uiPriority w:val="0"/>
    <w:rPr>
      <w:rFonts w:hint="eastAsia" w:ascii="Calibri" w:hAnsi="Calibri" w:eastAsia="宋体" w:cs="Times New Roman"/>
      <w:lang w:val="en-US" w:eastAsia="zh-Hans"/>
    </w:rPr>
  </w:style>
  <w:style w:type="paragraph" w:customStyle="1" w:styleId="105">
    <w:name w:val="txt"/>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24592</Words>
  <Characters>26085</Characters>
  <Lines>0</Lines>
  <Paragraphs>0</Paragraphs>
  <TotalTime>128</TotalTime>
  <ScaleCrop>false</ScaleCrop>
  <LinksUpToDate>false</LinksUpToDate>
  <CharactersWithSpaces>28069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2021-09-28T02:24:00Z</dcterms:created>
  <dc:creator>刘莉娥</dc:creator>
  <cp:lastModifiedBy>浅笑</cp:lastModifiedBy>
  <cp:lastPrinted>2023-12-11T02:56:00Z</cp:lastPrinted>
  <dcterms:modified xsi:type="dcterms:W3CDTF">2024-09-23T01:35:21Z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EF8EB175DA874524A9BFD6719882F526_13</vt:lpwstr>
  </property>
</Properties>
</file>