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0"/>
          <w:sz w:val="36"/>
          <w:szCs w:val="36"/>
          <w:lang w:val="en-US" w:eastAsia="zh-CN" w:bidi="ar"/>
        </w:rPr>
      </w:pPr>
      <w:r>
        <w:rPr>
          <w:rFonts w:ascii="宋体" w:hAnsi="宋体" w:eastAsia="宋体" w:cs="宋体"/>
          <w:b/>
          <w:bCs/>
          <w:color w:val="auto"/>
          <w:kern w:val="0"/>
          <w:sz w:val="36"/>
          <w:szCs w:val="36"/>
          <w:lang w:val="en-US" w:eastAsia="zh-CN" w:bidi="ar"/>
        </w:rPr>
        <w:t>2023年秦岭松材线虫病防控补偿资金项目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b/>
          <w:bCs/>
          <w:color w:val="auto"/>
          <w:sz w:val="36"/>
          <w:szCs w:val="36"/>
        </w:rPr>
      </w:pPr>
      <w:r>
        <w:rPr>
          <w:rFonts w:ascii="宋体" w:hAnsi="宋体" w:eastAsia="宋体" w:cs="宋体"/>
          <w:b/>
          <w:bCs/>
          <w:color w:val="auto"/>
          <w:kern w:val="0"/>
          <w:sz w:val="36"/>
          <w:szCs w:val="36"/>
          <w:lang w:val="en-US" w:eastAsia="zh-CN" w:bidi="ar"/>
        </w:rPr>
        <w:t>一标段招标公告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2023年秦岭松材线虫病防控补偿资金项目一标段</w:t>
      </w:r>
      <w:r>
        <w:rPr>
          <w:rFonts w:hint="eastAsia" w:ascii="微软雅黑" w:hAnsi="微软雅黑" w:eastAsia="微软雅黑" w:cs="微软雅黑"/>
          <w:i w:val="0"/>
          <w:iCs w:val="0"/>
          <w:caps w:val="0"/>
          <w:color w:val="auto"/>
          <w:spacing w:val="0"/>
          <w:sz w:val="21"/>
          <w:szCs w:val="21"/>
          <w:shd w:val="clear" w:fill="FFFFFF"/>
        </w:rPr>
        <w:t>招标项目的潜在投标人应在全国公共资源交易平台（陕西省·安康市）（网址： http://ak.sxggzyjy.cn/）获取招标文件，并于 2024年04月1</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日 14时00分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项目编号：ZJHY-CG-20240318001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项目名称：2023年秦岭松材线虫病防控补偿资金项目一标段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预算金额：900,000.00元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合同包1(2023年秦岭松材线虫病防控补偿资金项目一标段):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合同包预算金额：900,000.00元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合同包最高限价：900,000.00元</w:t>
      </w:r>
    </w:p>
    <w:tbl>
      <w:tblPr>
        <w:tblStyle w:val="5"/>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9"/>
        <w:gridCol w:w="1045"/>
        <w:gridCol w:w="4141"/>
        <w:gridCol w:w="696"/>
        <w:gridCol w:w="92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99" w:hRule="atLeast"/>
          <w:tblHeader/>
        </w:trPr>
        <w:tc>
          <w:tcPr>
            <w:tcW w:w="5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7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2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2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林业有害生物防治服务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在吕河镇全域开展松材线虫病拔除疫点成效巩固提升面积 1800亩，实行3年绩效承包，对发现的死亡松树开展即死即清即检</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900,000.00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合同包1(2023年秦岭松材线虫病防控补偿资金项目一标段)落实政府采购政策需满足的资格要求如下: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(1)《关于在政府采购活动中查询及使用信用记录有关问题的通知》（财库〔2016〕</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125号）； (2)《政府采购促进中小企业发展办法》（财库〔2020〕46号）、《关于政府采 购支持监狱企业发展有关问题的通知》（财库〔2014〕68号）以及《关于促进残疾人就业 政府采购政策的通知》（财库〔2017〕141号）； (3)财政部、国家发展改革委《关于印发 〈节能产品政府采购实施意见〉的通知》（财库〔2004〕185号）、财政部、国家环保总  局联合印发《关于环境标志产品政府采购实施的意见》（财库〔2006〕90号）、国务院办 公厅《关于建立政府强制采购节能产品制度的通知》（国办发〔2007〕51号）； (4)财政  部、发展改革委、生态环境部、市场监管总局《关于调整优化节能产品、环境标志产品政 府采购执行机制的通知》（财库〔2019〕9号）； (5)财政部、国务院扶贫办《关于运用政 府采购政策支持脱贫攻坚的通知》（财库〔2019〕27号）； (6)《关于运用政府采购政策  支持乡村产业振兴的通知》（财库〔2021〕19号）； (7)陕西省财政厅关于印发《陕西省  中小企业政府采购信用融资办法》（陕财办采〔2018〕23号）; (8)陕西省财政厅《关于进</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一步加强政府绿色采购有关问题的通知》陕财办采〔2021〕29  号； (9)《关于进一步加大政府采购支持中小企业力度的通知》（财库〔2022〕19号； (10)《陕西省财政厅关于进 一步落实政府采购支持中小企业相关政策的通知》（陕财办采〔2023〕3号）； (11)《陕西省财政厅关于进一步优化政府采购营商环境有关事项的通知》（陕财办采（2023）4号）； (12)如有最新颁布的政府采购政策，按最新的文件执行。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合同包1(2023年秦岭松材线虫病防控补偿资金项目一标段)特定资格要求如下: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（1）具有独立承担民事责任能力的法人、其他组织或自然人，提供年检有效的统一社会信用代码的营业执照或其他合法组织登记证书， 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（2）法定代表人直接参加投标的，须出具法定代表人身份证复印件；法定代表人授权代表参加投标的，须出具法定代表人授权委托书及被授权代表身份证复印件；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（3）投标单位须具备林业有害生物防治资质丙级及以上资质；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（4）具有履行合同所必需的设备和专业技术能力；</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（5）具有良好的商业信誉和健全的财务会计管理制度（提供2022年财务审计报告（成立  时间至提交投标文件截止时间不足一年的可提供成立后任意时段的资产负债表即可）；或提供其开标前一个月内基本存款账户开户银行出具的资信证明）；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（6）社会保障资金缴纳证明：提供2023年1月1日至今任意三个月的社会保障资金缴纳证  明或社会保险缴纳清单或社会保险缴纳专用收据（依法不需要缴纳社会保障资金或新成立的投标单位应提供相关文件证明）；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（7）税收缴纳证明：提供2023年1月1日至今任意三个月已缴纳的完税证明（依法免税或新成立的投标单位应提供相关文件证明）；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（8）投标单位不得为信用中国网站(www.creditchina.gov.cn)“失信被执行人、重大  税收违法失信主体 ”;不处于中国政府采购网(www.ccgp.gov.cn)“政府采购严重违法失信行为信息记录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（10）本项目专门面向中小企业采购，投标单位应为中型企业、小型企业、微型企业或监 狱企业或残疾人福利性单位。投标单位为中型企业、小型企业、微型企业的应根据《政府 采购促进中小企业发展管理办法》（财库〔2020〕46号） 自行填写《中小企业声明函》， 且中小企业的划分标准所属行业为其他未列明行业；投标单位为监狱企业的，应提供监狱企业的证明文件；投标单位为残疾人福利性单位的，应提供《残疾人福利性单位声明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2024年03月25日 至 2024年03月29日 ，每天上午 08:00:00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途径：全国公共资源交易平台（陕西省·安康市）（网址： 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2024年04月1</w:t>
      </w:r>
      <w:r>
        <w:rPr>
          <w:rFonts w:hint="eastAsia" w:ascii="微软雅黑" w:hAnsi="微软雅黑" w:eastAsia="微软雅黑" w:cs="微软雅黑"/>
          <w:i w:val="0"/>
          <w:iCs w:val="0"/>
          <w:caps w:val="0"/>
          <w:color w:val="auto"/>
          <w:spacing w:val="0"/>
          <w:sz w:val="21"/>
          <w:szCs w:val="21"/>
          <w:shd w:val="clear" w:fill="FFFFFF"/>
          <w:lang w:val="en-US" w:eastAsia="zh-CN"/>
        </w:rPr>
        <w:t>5</w:t>
      </w: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提交投标文件地点：全国公共资源交易平台（陕西省·安康市）（网址： 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开标地点：安康市公共资源交易中心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6" w:beforeAutospacing="0" w:after="0" w:afterAutospacing="0" w:line="300" w:lineRule="exact"/>
        <w:ind w:left="0" w:right="76" w:firstLine="492"/>
        <w:jc w:val="left"/>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（1）投标单位使用捆绑陕西省公共资源交易平台的CA锁登录电子交易平台，通过政</w:t>
      </w:r>
      <w:r>
        <w:rPr>
          <w:rFonts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府采购系统企业端进入，点击“我要投标</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”并完善相关投标信息；（2）投标单位须在文</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件获取截止时间前登录电子交易平台下载招标文件，否则责任自负；（3）本项目采用不见面开标：电子化投标方式投标，相关操作流程详见全国公共资源交易平台（陕西省）网</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站[服务指南-下载专区]中的《陕西省公共资源交易中心政府采购项目投标指南》；（4） 电子招标文件技术支持：4009280095、4009980000；（5）未及时下载文件的将会影响后续开评标活动；（6）请各投标人获取招标文件后，按照陕西省财政厅《关于政府采购投标人注册登记有关事项的通知》要求，通过陕西省政府采购网注册登记加入陕西省政府采购投标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6" w:beforeAutospacing="0" w:after="0" w:afterAutospacing="0" w:line="300" w:lineRule="exact"/>
        <w:ind w:left="0" w:right="76" w:firstLine="492"/>
        <w:jc w:val="left"/>
        <w:textAlignment w:val="auto"/>
        <w:rPr>
          <w:color w:val="auto"/>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注：为促进中小企业发展，每个投标企业只能对一个标段进行投标，分段实施。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名称：旬阳市天然林保护站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地址：旬阳市城关镇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联系方式：15319861368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名称：中建华阳建设项目管理有限责任公司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地址：陕西省西安市新城区西安市新城区长乐中路38号金花新都汇29幢3单元24层32406室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联系方式：15191530662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电话：15191530662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中建华阳建设项目管理有限责任公司</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微软雅黑" w:hAnsi="微软雅黑" w:eastAsia="微软雅黑" w:cs="微软雅黑"/>
          <w:color w:val="auto"/>
          <w:sz w:val="21"/>
          <w:szCs w:val="21"/>
        </w:rPr>
      </w:pPr>
    </w:p>
    <w:p>
      <w:pPr>
        <w:keepNext w:val="0"/>
        <w:keepLines w:val="0"/>
        <w:pageBreakBefore w:val="0"/>
        <w:kinsoku/>
        <w:overflowPunct/>
        <w:topLinePunct w:val="0"/>
        <w:autoSpaceDE/>
        <w:autoSpaceDN/>
        <w:bidi w:val="0"/>
        <w:adjustRightInd/>
        <w:snapToGrid/>
        <w:spacing w:line="3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WUwNzdlMDg1ZWYzNzU5NmVmZjdjY2Q2MmFmYTIifQ=="/>
  </w:docVars>
  <w:rsids>
    <w:rsidRoot w:val="00000000"/>
    <w:rsid w:val="10751A09"/>
    <w:rsid w:val="413E2C2D"/>
    <w:rsid w:val="644830AB"/>
    <w:rsid w:val="75CB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2024-03-21T09:23:00Z</dcterms:created>
  <dc:creator>Administrator</dc:creator>
  <cp:lastModifiedBy>莹</cp:lastModifiedBy>
  <dcterms:modified xsi:type="dcterms:W3CDTF">2024-03-22T00:51:29Z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8E19AA5FB5BD4D0F85A47F5516B469A8_12</vt:lpwstr>
  </property>
</Properties>
</file>