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9F5CA">
      <w:pPr>
        <w:widowControl/>
        <w:jc w:val="left"/>
        <w:outlineLvl w:val="0"/>
        <w:rPr>
          <w:rFonts w:hint="default" w:ascii="宋体" w:hAnsi="宋体" w:eastAsia="宋体" w:cs="宋体"/>
          <w:b/>
          <w:bCs/>
          <w:color w:val="auto"/>
          <w:sz w:val="30"/>
          <w:szCs w:val="30"/>
          <w:highlight w:val="none"/>
          <w:lang w:val="en-US" w:eastAsia="zh-CN" w:bidi="ar"/>
        </w:rPr>
      </w:pPr>
      <w:bookmarkStart w:id="0" w:name="_Toc6611"/>
      <w:r>
        <w:rPr>
          <w:rFonts w:hint="eastAsia" w:ascii="宋体" w:hAnsi="宋体" w:eastAsia="宋体" w:cs="宋体"/>
          <w:b/>
          <w:bCs/>
          <w:color w:val="auto"/>
          <w:sz w:val="30"/>
          <w:szCs w:val="30"/>
          <w:highlight w:val="none"/>
          <w:lang w:eastAsia="zh-CN" w:bidi="ar"/>
        </w:rPr>
        <w:t>项目编号：</w:t>
      </w:r>
      <w:r>
        <w:rPr>
          <w:rFonts w:hint="eastAsia" w:hAnsi="宋体" w:cs="宋体"/>
          <w:b/>
          <w:bCs/>
          <w:color w:val="auto"/>
          <w:sz w:val="30"/>
          <w:szCs w:val="30"/>
          <w:highlight w:val="none"/>
          <w:lang w:val="en-US" w:eastAsia="zh-CN" w:bidi="ar"/>
        </w:rPr>
        <w:t>DCZB-2024-AK-2041</w:t>
      </w:r>
      <w:bookmarkStart w:id="81" w:name="_GoBack"/>
      <w:bookmarkEnd w:id="81"/>
    </w:p>
    <w:p w14:paraId="07006FB9">
      <w:pPr>
        <w:widowControl/>
        <w:jc w:val="right"/>
        <w:outlineLvl w:val="0"/>
        <w:rPr>
          <w:rFonts w:hint="eastAsia" w:ascii="宋体" w:hAnsi="宋体" w:eastAsia="宋体" w:cs="宋体"/>
          <w:b/>
          <w:bCs/>
          <w:color w:val="auto"/>
          <w:sz w:val="30"/>
          <w:szCs w:val="30"/>
          <w:highlight w:val="none"/>
          <w:lang w:val="en-US" w:eastAsia="zh-CN" w:bidi="ar"/>
        </w:rPr>
      </w:pPr>
    </w:p>
    <w:p w14:paraId="61EBE007">
      <w:pPr>
        <w:pStyle w:val="35"/>
        <w:rPr>
          <w:rFonts w:hint="eastAsia" w:ascii="宋体" w:hAnsi="宋体" w:eastAsia="宋体" w:cs="宋体"/>
          <w:b/>
          <w:bCs/>
          <w:color w:val="auto"/>
          <w:sz w:val="30"/>
          <w:szCs w:val="30"/>
          <w:highlight w:val="none"/>
          <w:lang w:val="en-US" w:eastAsia="zh-CN" w:bidi="ar"/>
        </w:rPr>
      </w:pPr>
    </w:p>
    <w:p w14:paraId="2A6E9070">
      <w:pPr>
        <w:pStyle w:val="35"/>
        <w:rPr>
          <w:rFonts w:hint="eastAsia" w:ascii="宋体" w:hAnsi="宋体" w:eastAsia="宋体" w:cs="宋体"/>
          <w:b/>
          <w:bCs/>
          <w:color w:val="auto"/>
          <w:sz w:val="30"/>
          <w:szCs w:val="30"/>
          <w:highlight w:val="none"/>
          <w:lang w:val="en-US" w:eastAsia="zh-CN" w:bidi="ar"/>
        </w:rPr>
      </w:pPr>
    </w:p>
    <w:p w14:paraId="1EECC10D">
      <w:pPr>
        <w:widowControl/>
        <w:jc w:val="center"/>
        <w:outlineLvl w:val="0"/>
        <w:rPr>
          <w:rFonts w:hint="eastAsia" w:ascii="宋体" w:hAnsi="宋体" w:eastAsia="宋体" w:cs="宋体"/>
          <w:b/>
          <w:bCs/>
          <w:color w:val="auto"/>
          <w:sz w:val="48"/>
          <w:szCs w:val="48"/>
          <w:highlight w:val="none"/>
          <w:lang w:eastAsia="zh-CN" w:bidi="ar"/>
        </w:rPr>
      </w:pPr>
      <w:r>
        <w:rPr>
          <w:rFonts w:hint="eastAsia" w:hAnsi="宋体" w:cs="宋体"/>
          <w:b/>
          <w:bCs/>
          <w:color w:val="auto"/>
          <w:sz w:val="48"/>
          <w:szCs w:val="48"/>
          <w:highlight w:val="none"/>
          <w:lang w:eastAsia="zh-CN" w:bidi="ar"/>
        </w:rPr>
        <w:t>白河人民医院彩色多普勒超声系统采购项目</w:t>
      </w:r>
    </w:p>
    <w:p w14:paraId="17C1B9AB">
      <w:pPr>
        <w:widowControl/>
        <w:jc w:val="center"/>
        <w:outlineLvl w:val="0"/>
        <w:rPr>
          <w:rFonts w:hint="eastAsia" w:ascii="宋体" w:hAnsi="宋体" w:eastAsia="宋体" w:cs="宋体"/>
          <w:b/>
          <w:bCs/>
          <w:color w:val="auto"/>
          <w:sz w:val="56"/>
          <w:szCs w:val="56"/>
          <w:highlight w:val="none"/>
          <w:lang w:eastAsia="zh-CN" w:bidi="ar"/>
        </w:rPr>
      </w:pPr>
    </w:p>
    <w:p w14:paraId="365EC07B">
      <w:pPr>
        <w:widowControl/>
        <w:jc w:val="center"/>
        <w:outlineLvl w:val="0"/>
        <w:rPr>
          <w:rFonts w:hint="eastAsia" w:ascii="宋体" w:hAnsi="宋体" w:eastAsia="宋体" w:cs="宋体"/>
          <w:b/>
          <w:bCs/>
          <w:color w:val="auto"/>
          <w:sz w:val="72"/>
          <w:szCs w:val="72"/>
          <w:highlight w:val="none"/>
          <w:lang w:eastAsia="zh-CN" w:bidi="ar"/>
        </w:rPr>
      </w:pPr>
      <w:r>
        <w:rPr>
          <w:rFonts w:hint="eastAsia" w:ascii="宋体" w:hAnsi="宋体" w:eastAsia="宋体" w:cs="宋体"/>
          <w:b/>
          <w:bCs/>
          <w:color w:val="auto"/>
          <w:sz w:val="72"/>
          <w:szCs w:val="72"/>
          <w:highlight w:val="none"/>
          <w:lang w:eastAsia="zh-CN" w:bidi="ar"/>
        </w:rPr>
        <w:t>招标文件</w:t>
      </w:r>
    </w:p>
    <w:p w14:paraId="76D5DFD8">
      <w:pPr>
        <w:widowControl/>
        <w:jc w:val="left"/>
        <w:outlineLvl w:val="0"/>
        <w:rPr>
          <w:rFonts w:hint="eastAsia" w:ascii="宋体" w:hAnsi="宋体" w:eastAsia="宋体" w:cs="宋体"/>
          <w:b/>
          <w:bCs/>
          <w:color w:val="auto"/>
          <w:sz w:val="30"/>
          <w:szCs w:val="30"/>
          <w:highlight w:val="none"/>
          <w:lang w:eastAsia="zh-CN" w:bidi="ar"/>
        </w:rPr>
      </w:pPr>
    </w:p>
    <w:p w14:paraId="0D970BC8">
      <w:pPr>
        <w:widowControl/>
        <w:jc w:val="left"/>
        <w:outlineLvl w:val="0"/>
        <w:rPr>
          <w:rFonts w:hint="eastAsia" w:ascii="宋体" w:hAnsi="宋体" w:eastAsia="宋体" w:cs="宋体"/>
          <w:b/>
          <w:bCs/>
          <w:color w:val="auto"/>
          <w:sz w:val="30"/>
          <w:szCs w:val="30"/>
          <w:highlight w:val="none"/>
          <w:lang w:eastAsia="zh-CN" w:bidi="ar"/>
        </w:rPr>
      </w:pPr>
    </w:p>
    <w:p w14:paraId="5F29AA2E">
      <w:pPr>
        <w:pStyle w:val="36"/>
        <w:rPr>
          <w:rFonts w:hint="eastAsia" w:ascii="宋体" w:hAnsi="宋体" w:eastAsia="宋体" w:cs="宋体"/>
          <w:b/>
          <w:bCs/>
          <w:color w:val="auto"/>
          <w:sz w:val="30"/>
          <w:szCs w:val="30"/>
          <w:highlight w:val="none"/>
          <w:lang w:eastAsia="zh-CN" w:bidi="ar"/>
        </w:rPr>
      </w:pPr>
    </w:p>
    <w:p w14:paraId="2A7FD30B">
      <w:pPr>
        <w:pStyle w:val="36"/>
        <w:rPr>
          <w:rFonts w:hint="eastAsia" w:ascii="宋体" w:hAnsi="宋体" w:eastAsia="宋体" w:cs="宋体"/>
          <w:b/>
          <w:bCs/>
          <w:color w:val="auto"/>
          <w:sz w:val="30"/>
          <w:szCs w:val="30"/>
          <w:highlight w:val="none"/>
          <w:lang w:eastAsia="zh-CN" w:bidi="ar"/>
        </w:rPr>
      </w:pPr>
    </w:p>
    <w:p w14:paraId="55DC8C8D">
      <w:pPr>
        <w:pStyle w:val="36"/>
        <w:rPr>
          <w:rFonts w:hint="eastAsia" w:ascii="宋体" w:hAnsi="宋体" w:eastAsia="宋体" w:cs="宋体"/>
          <w:b/>
          <w:bCs/>
          <w:color w:val="auto"/>
          <w:sz w:val="30"/>
          <w:szCs w:val="30"/>
          <w:highlight w:val="none"/>
          <w:lang w:eastAsia="zh-CN" w:bidi="ar"/>
        </w:rPr>
      </w:pPr>
    </w:p>
    <w:p w14:paraId="0323FAF4">
      <w:pPr>
        <w:pStyle w:val="36"/>
        <w:rPr>
          <w:rFonts w:hint="eastAsia" w:ascii="宋体" w:hAnsi="宋体" w:eastAsia="宋体" w:cs="宋体"/>
          <w:b/>
          <w:bCs/>
          <w:color w:val="auto"/>
          <w:sz w:val="30"/>
          <w:szCs w:val="30"/>
          <w:highlight w:val="none"/>
          <w:lang w:eastAsia="zh-CN" w:bidi="ar"/>
        </w:rPr>
      </w:pPr>
    </w:p>
    <w:p w14:paraId="0861C51C">
      <w:pPr>
        <w:pStyle w:val="36"/>
        <w:rPr>
          <w:rFonts w:hint="eastAsia" w:ascii="宋体" w:hAnsi="宋体" w:eastAsia="宋体" w:cs="宋体"/>
          <w:b/>
          <w:bCs/>
          <w:color w:val="auto"/>
          <w:sz w:val="30"/>
          <w:szCs w:val="30"/>
          <w:highlight w:val="none"/>
          <w:lang w:eastAsia="zh-CN" w:bidi="ar"/>
        </w:rPr>
      </w:pPr>
    </w:p>
    <w:p w14:paraId="2AD30A3D">
      <w:pPr>
        <w:pStyle w:val="36"/>
        <w:rPr>
          <w:rFonts w:hint="eastAsia" w:ascii="宋体" w:hAnsi="宋体" w:eastAsia="宋体" w:cs="宋体"/>
          <w:b/>
          <w:bCs/>
          <w:color w:val="auto"/>
          <w:sz w:val="30"/>
          <w:szCs w:val="30"/>
          <w:highlight w:val="none"/>
          <w:lang w:eastAsia="zh-CN" w:bidi="ar"/>
        </w:rPr>
      </w:pPr>
    </w:p>
    <w:p w14:paraId="7CDA13E3">
      <w:pPr>
        <w:rPr>
          <w:rFonts w:hint="eastAsia" w:ascii="宋体" w:hAnsi="宋体" w:eastAsia="宋体" w:cs="宋体"/>
          <w:color w:val="auto"/>
          <w:highlight w:val="none"/>
          <w:lang w:eastAsia="zh-CN"/>
        </w:rPr>
      </w:pPr>
    </w:p>
    <w:p w14:paraId="63478E2D">
      <w:pPr>
        <w:widowControl/>
        <w:spacing w:line="480" w:lineRule="auto"/>
        <w:ind w:left="960" w:leftChars="400" w:firstLine="0" w:firstLineChars="0"/>
        <w:jc w:val="left"/>
        <w:outlineLvl w:val="0"/>
        <w:rPr>
          <w:rFonts w:hint="eastAsia" w:ascii="宋体" w:hAnsi="宋体" w:eastAsia="宋体" w:cs="宋体"/>
          <w:b/>
          <w:bCs/>
          <w:color w:val="auto"/>
          <w:sz w:val="32"/>
          <w:szCs w:val="32"/>
          <w:highlight w:val="none"/>
          <w:u w:val="single"/>
          <w:lang w:val="en-US" w:eastAsia="zh-CN" w:bidi="ar"/>
        </w:rPr>
      </w:pPr>
      <w:r>
        <w:rPr>
          <w:rFonts w:hint="eastAsia" w:ascii="宋体" w:hAnsi="宋体" w:eastAsia="宋体" w:cs="宋体"/>
          <w:b/>
          <w:bCs/>
          <w:color w:val="auto"/>
          <w:sz w:val="32"/>
          <w:szCs w:val="32"/>
          <w:highlight w:val="none"/>
          <w:lang w:eastAsia="zh-CN" w:bidi="ar"/>
        </w:rPr>
        <w:t>采</w:t>
      </w:r>
      <w:r>
        <w:rPr>
          <w:rFonts w:hint="eastAsia" w:ascii="宋体" w:hAnsi="宋体" w:eastAsia="宋体" w:cs="宋体"/>
          <w:b/>
          <w:bCs/>
          <w:color w:val="auto"/>
          <w:sz w:val="32"/>
          <w:szCs w:val="32"/>
          <w:highlight w:val="none"/>
          <w:lang w:val="en-US" w:eastAsia="zh-CN" w:bidi="ar"/>
        </w:rPr>
        <w:t xml:space="preserve"> </w:t>
      </w:r>
      <w:r>
        <w:rPr>
          <w:rFonts w:hint="eastAsia" w:ascii="宋体" w:hAnsi="宋体" w:eastAsia="宋体" w:cs="宋体"/>
          <w:b/>
          <w:bCs/>
          <w:color w:val="auto"/>
          <w:sz w:val="32"/>
          <w:szCs w:val="32"/>
          <w:highlight w:val="none"/>
          <w:lang w:eastAsia="zh-CN" w:bidi="ar"/>
        </w:rPr>
        <w:t>购</w:t>
      </w:r>
      <w:r>
        <w:rPr>
          <w:rFonts w:hint="eastAsia" w:ascii="宋体" w:hAnsi="宋体" w:eastAsia="宋体" w:cs="宋体"/>
          <w:b/>
          <w:bCs/>
          <w:color w:val="auto"/>
          <w:sz w:val="32"/>
          <w:szCs w:val="32"/>
          <w:highlight w:val="none"/>
          <w:lang w:val="en-US" w:eastAsia="zh-CN" w:bidi="ar"/>
        </w:rPr>
        <w:t xml:space="preserve"> </w:t>
      </w:r>
      <w:r>
        <w:rPr>
          <w:rFonts w:hint="eastAsia" w:ascii="宋体" w:hAnsi="宋体" w:eastAsia="宋体" w:cs="宋体"/>
          <w:b/>
          <w:bCs/>
          <w:color w:val="auto"/>
          <w:sz w:val="32"/>
          <w:szCs w:val="32"/>
          <w:highlight w:val="none"/>
          <w:lang w:eastAsia="zh-CN" w:bidi="ar"/>
        </w:rPr>
        <w:t>人：</w:t>
      </w:r>
      <w:r>
        <w:rPr>
          <w:rFonts w:hint="eastAsia" w:ascii="宋体" w:hAnsi="宋体" w:eastAsia="宋体" w:cs="宋体"/>
          <w:b/>
          <w:bCs/>
          <w:color w:val="auto"/>
          <w:sz w:val="32"/>
          <w:szCs w:val="32"/>
          <w:highlight w:val="none"/>
          <w:u w:val="single"/>
          <w:lang w:val="en-US" w:eastAsia="zh-CN" w:bidi="ar"/>
        </w:rPr>
        <w:t xml:space="preserve">  </w:t>
      </w:r>
      <w:r>
        <w:rPr>
          <w:rFonts w:hint="eastAsia" w:hAnsi="宋体" w:cs="宋体"/>
          <w:b/>
          <w:bCs/>
          <w:color w:val="auto"/>
          <w:sz w:val="32"/>
          <w:szCs w:val="32"/>
          <w:highlight w:val="none"/>
          <w:u w:val="single"/>
          <w:lang w:val="en-US" w:eastAsia="zh-CN" w:bidi="ar"/>
        </w:rPr>
        <w:t xml:space="preserve">         </w:t>
      </w:r>
      <w:r>
        <w:rPr>
          <w:rFonts w:hint="eastAsia" w:hAnsi="宋体" w:cs="宋体"/>
          <w:b/>
          <w:bCs/>
          <w:color w:val="auto"/>
          <w:sz w:val="32"/>
          <w:szCs w:val="32"/>
          <w:highlight w:val="none"/>
          <w:u w:val="single"/>
          <w:lang w:eastAsia="zh-CN" w:bidi="ar"/>
        </w:rPr>
        <w:t>白河县人民医院</w:t>
      </w:r>
      <w:r>
        <w:rPr>
          <w:rFonts w:hint="eastAsia" w:ascii="宋体" w:hAnsi="宋体" w:eastAsia="宋体" w:cs="宋体"/>
          <w:b/>
          <w:bCs/>
          <w:color w:val="auto"/>
          <w:sz w:val="32"/>
          <w:szCs w:val="32"/>
          <w:highlight w:val="none"/>
          <w:u w:val="single"/>
          <w:lang w:val="en-US" w:eastAsia="zh-CN" w:bidi="ar"/>
        </w:rPr>
        <w:t xml:space="preserve">  </w:t>
      </w:r>
      <w:r>
        <w:rPr>
          <w:rFonts w:hint="eastAsia" w:hAnsi="宋体" w:cs="宋体"/>
          <w:b/>
          <w:bCs/>
          <w:color w:val="auto"/>
          <w:sz w:val="32"/>
          <w:szCs w:val="32"/>
          <w:highlight w:val="none"/>
          <w:u w:val="single"/>
          <w:lang w:val="en-US" w:eastAsia="zh-CN" w:bidi="ar"/>
        </w:rPr>
        <w:t xml:space="preserve">   </w:t>
      </w:r>
      <w:r>
        <w:rPr>
          <w:rFonts w:hint="eastAsia" w:ascii="宋体" w:hAnsi="宋体" w:eastAsia="宋体" w:cs="宋体"/>
          <w:b/>
          <w:bCs/>
          <w:color w:val="auto"/>
          <w:sz w:val="32"/>
          <w:szCs w:val="32"/>
          <w:highlight w:val="none"/>
          <w:u w:val="single"/>
          <w:lang w:val="en-US" w:eastAsia="zh-CN" w:bidi="ar"/>
        </w:rPr>
        <w:t xml:space="preserve"> </w:t>
      </w:r>
      <w:r>
        <w:rPr>
          <w:rFonts w:hint="eastAsia" w:hAnsi="宋体" w:cs="宋体"/>
          <w:b/>
          <w:bCs/>
          <w:color w:val="auto"/>
          <w:sz w:val="32"/>
          <w:szCs w:val="32"/>
          <w:highlight w:val="none"/>
          <w:u w:val="single"/>
          <w:lang w:val="en-US" w:eastAsia="zh-CN" w:bidi="ar"/>
        </w:rPr>
        <w:t xml:space="preserve"> </w:t>
      </w:r>
      <w:r>
        <w:rPr>
          <w:rFonts w:hint="eastAsia" w:ascii="宋体" w:hAnsi="宋体" w:eastAsia="宋体" w:cs="宋体"/>
          <w:b/>
          <w:bCs/>
          <w:color w:val="auto"/>
          <w:sz w:val="32"/>
          <w:szCs w:val="32"/>
          <w:highlight w:val="none"/>
          <w:u w:val="single"/>
          <w:lang w:val="en-US" w:eastAsia="zh-CN" w:bidi="ar"/>
        </w:rPr>
        <w:t xml:space="preserve">   </w:t>
      </w:r>
    </w:p>
    <w:p w14:paraId="16637A67">
      <w:pPr>
        <w:pStyle w:val="36"/>
        <w:rPr>
          <w:rFonts w:hint="eastAsia" w:ascii="宋体" w:hAnsi="宋体" w:eastAsia="宋体" w:cs="宋体"/>
          <w:color w:val="auto"/>
          <w:highlight w:val="none"/>
          <w:lang w:val="en-US" w:eastAsia="zh-CN"/>
        </w:rPr>
      </w:pPr>
    </w:p>
    <w:p w14:paraId="350349F0">
      <w:pPr>
        <w:widowControl/>
        <w:spacing w:line="480" w:lineRule="auto"/>
        <w:ind w:left="960" w:leftChars="400" w:firstLine="0" w:firstLineChars="0"/>
        <w:jc w:val="left"/>
        <w:outlineLvl w:val="0"/>
        <w:rPr>
          <w:rFonts w:hint="default" w:ascii="宋体" w:hAnsi="宋体" w:eastAsia="宋体" w:cs="宋体"/>
          <w:b/>
          <w:bCs/>
          <w:color w:val="auto"/>
          <w:sz w:val="32"/>
          <w:szCs w:val="32"/>
          <w:highlight w:val="none"/>
          <w:u w:val="single"/>
          <w:lang w:val="en-US" w:eastAsia="zh-CN" w:bidi="ar"/>
        </w:rPr>
      </w:pPr>
      <w:r>
        <w:rPr>
          <w:rFonts w:hint="eastAsia" w:ascii="宋体" w:hAnsi="宋体" w:eastAsia="宋体" w:cs="宋体"/>
          <w:b/>
          <w:bCs/>
          <w:color w:val="auto"/>
          <w:sz w:val="32"/>
          <w:szCs w:val="32"/>
          <w:highlight w:val="none"/>
          <w:lang w:eastAsia="zh-CN" w:bidi="ar"/>
        </w:rPr>
        <w:t>代理机构：</w:t>
      </w:r>
      <w:r>
        <w:rPr>
          <w:rFonts w:hint="eastAsia" w:ascii="宋体" w:hAnsi="宋体" w:eastAsia="宋体" w:cs="宋体"/>
          <w:b/>
          <w:bCs/>
          <w:color w:val="auto"/>
          <w:sz w:val="32"/>
          <w:szCs w:val="32"/>
          <w:highlight w:val="none"/>
          <w:u w:val="single"/>
          <w:lang w:val="en-US" w:eastAsia="zh-CN" w:bidi="ar"/>
        </w:rPr>
        <w:t xml:space="preserve"> </w:t>
      </w:r>
      <w:r>
        <w:rPr>
          <w:rFonts w:hint="eastAsia" w:hAnsi="宋体" w:cs="宋体"/>
          <w:b/>
          <w:bCs/>
          <w:color w:val="auto"/>
          <w:sz w:val="32"/>
          <w:szCs w:val="32"/>
          <w:highlight w:val="none"/>
          <w:u w:val="single"/>
          <w:lang w:val="en-US" w:eastAsia="zh-CN" w:bidi="ar"/>
        </w:rPr>
        <w:t xml:space="preserve">     陕西顶诚招标有限公司</w:t>
      </w:r>
      <w:r>
        <w:rPr>
          <w:rFonts w:hint="eastAsia" w:ascii="宋体" w:hAnsi="宋体" w:eastAsia="宋体" w:cs="宋体"/>
          <w:b/>
          <w:bCs/>
          <w:color w:val="auto"/>
          <w:sz w:val="32"/>
          <w:szCs w:val="32"/>
          <w:highlight w:val="none"/>
          <w:u w:val="single"/>
          <w:lang w:val="en-US" w:eastAsia="zh-CN" w:bidi="ar"/>
        </w:rPr>
        <w:t xml:space="preserve"> </w:t>
      </w:r>
      <w:r>
        <w:rPr>
          <w:rFonts w:hint="eastAsia" w:hAnsi="宋体" w:cs="宋体"/>
          <w:b/>
          <w:bCs/>
          <w:color w:val="auto"/>
          <w:sz w:val="32"/>
          <w:szCs w:val="32"/>
          <w:highlight w:val="none"/>
          <w:u w:val="single"/>
          <w:lang w:val="en-US" w:eastAsia="zh-CN" w:bidi="ar"/>
        </w:rPr>
        <w:t xml:space="preserve">        </w:t>
      </w:r>
    </w:p>
    <w:p w14:paraId="7A445A9D">
      <w:pPr>
        <w:pStyle w:val="36"/>
        <w:rPr>
          <w:rFonts w:hint="eastAsia" w:ascii="宋体" w:hAnsi="宋体" w:eastAsia="宋体" w:cs="宋体"/>
          <w:color w:val="auto"/>
          <w:highlight w:val="none"/>
          <w:lang w:val="en-US" w:eastAsia="zh-CN"/>
        </w:rPr>
      </w:pPr>
    </w:p>
    <w:p w14:paraId="32C295BC">
      <w:pPr>
        <w:widowControl/>
        <w:spacing w:line="480" w:lineRule="auto"/>
        <w:ind w:left="960" w:leftChars="400" w:firstLine="0" w:firstLineChars="0"/>
        <w:jc w:val="left"/>
        <w:outlineLvl w:val="0"/>
        <w:rPr>
          <w:rFonts w:hint="eastAsia" w:ascii="宋体" w:hAnsi="宋体" w:eastAsia="宋体" w:cs="宋体"/>
          <w:b/>
          <w:bCs/>
          <w:color w:val="auto"/>
          <w:sz w:val="32"/>
          <w:szCs w:val="32"/>
          <w:highlight w:val="none"/>
          <w:u w:val="single"/>
          <w:lang w:val="en-US" w:eastAsia="zh-CN"/>
        </w:rPr>
      </w:pPr>
      <w:r>
        <w:rPr>
          <w:rFonts w:hint="eastAsia" w:ascii="宋体" w:hAnsi="宋体" w:eastAsia="宋体" w:cs="宋体"/>
          <w:b/>
          <w:bCs/>
          <w:color w:val="auto"/>
          <w:sz w:val="32"/>
          <w:szCs w:val="32"/>
          <w:highlight w:val="none"/>
          <w:lang w:eastAsia="zh-CN"/>
        </w:rPr>
        <w:t>日</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lang w:eastAsia="zh-CN"/>
        </w:rPr>
        <w:t>期：</w:t>
      </w:r>
      <w:r>
        <w:rPr>
          <w:rFonts w:hint="eastAsia" w:ascii="宋体" w:hAnsi="宋体" w:eastAsia="宋体" w:cs="宋体"/>
          <w:b/>
          <w:bCs/>
          <w:color w:val="auto"/>
          <w:sz w:val="32"/>
          <w:szCs w:val="32"/>
          <w:highlight w:val="none"/>
          <w:u w:val="single"/>
          <w:lang w:val="en-US" w:eastAsia="zh-CN"/>
        </w:rPr>
        <w:t xml:space="preserve">     </w:t>
      </w:r>
      <w:r>
        <w:rPr>
          <w:rFonts w:hint="eastAsia" w:hAnsi="宋体" w:cs="宋体"/>
          <w:b/>
          <w:bCs/>
          <w:color w:val="auto"/>
          <w:sz w:val="32"/>
          <w:szCs w:val="32"/>
          <w:highlight w:val="none"/>
          <w:u w:val="single"/>
          <w:lang w:val="en-US" w:eastAsia="zh-CN"/>
        </w:rPr>
        <w:t xml:space="preserve">        </w:t>
      </w:r>
      <w:r>
        <w:rPr>
          <w:rFonts w:hint="eastAsia" w:ascii="宋体" w:hAnsi="宋体" w:eastAsia="宋体" w:cs="宋体"/>
          <w:b/>
          <w:bCs/>
          <w:color w:val="auto"/>
          <w:sz w:val="32"/>
          <w:szCs w:val="32"/>
          <w:highlight w:val="none"/>
          <w:u w:val="single"/>
          <w:lang w:val="en-US" w:eastAsia="zh-CN"/>
        </w:rPr>
        <w:t>202</w:t>
      </w:r>
      <w:r>
        <w:rPr>
          <w:rFonts w:hint="eastAsia" w:hAnsi="宋体" w:cs="宋体"/>
          <w:b/>
          <w:bCs/>
          <w:color w:val="auto"/>
          <w:sz w:val="32"/>
          <w:szCs w:val="32"/>
          <w:highlight w:val="none"/>
          <w:u w:val="single"/>
          <w:lang w:val="en-US" w:eastAsia="zh-CN"/>
        </w:rPr>
        <w:t>4</w:t>
      </w:r>
      <w:r>
        <w:rPr>
          <w:rFonts w:hint="eastAsia" w:ascii="宋体" w:hAnsi="宋体" w:eastAsia="宋体" w:cs="宋体"/>
          <w:b/>
          <w:bCs/>
          <w:color w:val="auto"/>
          <w:sz w:val="32"/>
          <w:szCs w:val="32"/>
          <w:highlight w:val="none"/>
          <w:u w:val="single"/>
          <w:lang w:val="en-US" w:eastAsia="zh-CN"/>
        </w:rPr>
        <w:t>年</w:t>
      </w:r>
      <w:r>
        <w:rPr>
          <w:rFonts w:hint="eastAsia" w:hAnsi="宋体" w:cs="宋体"/>
          <w:b/>
          <w:bCs/>
          <w:color w:val="auto"/>
          <w:sz w:val="32"/>
          <w:szCs w:val="32"/>
          <w:highlight w:val="none"/>
          <w:u w:val="single"/>
          <w:lang w:val="en-US" w:eastAsia="zh-CN"/>
        </w:rPr>
        <w:t>11</w:t>
      </w:r>
      <w:r>
        <w:rPr>
          <w:rFonts w:hint="eastAsia" w:ascii="宋体" w:hAnsi="宋体" w:eastAsia="宋体" w:cs="宋体"/>
          <w:b/>
          <w:bCs/>
          <w:color w:val="auto"/>
          <w:sz w:val="32"/>
          <w:szCs w:val="32"/>
          <w:highlight w:val="none"/>
          <w:u w:val="single"/>
          <w:lang w:val="en-US" w:eastAsia="zh-CN"/>
        </w:rPr>
        <w:t>月</w:t>
      </w:r>
      <w:r>
        <w:rPr>
          <w:rFonts w:hint="eastAsia" w:hAnsi="宋体" w:cs="宋体"/>
          <w:b/>
          <w:bCs/>
          <w:color w:val="auto"/>
          <w:sz w:val="32"/>
          <w:szCs w:val="32"/>
          <w:highlight w:val="none"/>
          <w:u w:val="single"/>
          <w:lang w:val="en-US" w:eastAsia="zh-CN"/>
        </w:rPr>
        <w:t xml:space="preserve">  </w:t>
      </w:r>
      <w:r>
        <w:rPr>
          <w:rFonts w:hint="eastAsia" w:ascii="宋体" w:hAnsi="宋体" w:eastAsia="宋体" w:cs="宋体"/>
          <w:b/>
          <w:bCs/>
          <w:color w:val="auto"/>
          <w:sz w:val="32"/>
          <w:szCs w:val="32"/>
          <w:highlight w:val="none"/>
          <w:u w:val="single"/>
          <w:lang w:val="en-US" w:eastAsia="zh-CN"/>
        </w:rPr>
        <w:t xml:space="preserve">      </w:t>
      </w:r>
      <w:r>
        <w:rPr>
          <w:rFonts w:hint="eastAsia" w:hAnsi="宋体" w:cs="宋体"/>
          <w:b/>
          <w:bCs/>
          <w:color w:val="auto"/>
          <w:sz w:val="32"/>
          <w:szCs w:val="32"/>
          <w:highlight w:val="none"/>
          <w:u w:val="single"/>
          <w:lang w:val="en-US" w:eastAsia="zh-CN"/>
        </w:rPr>
        <w:t xml:space="preserve"> </w:t>
      </w:r>
      <w:r>
        <w:rPr>
          <w:rFonts w:hint="eastAsia" w:ascii="宋体" w:hAnsi="宋体" w:eastAsia="宋体" w:cs="宋体"/>
          <w:b/>
          <w:bCs/>
          <w:color w:val="auto"/>
          <w:sz w:val="32"/>
          <w:szCs w:val="32"/>
          <w:highlight w:val="none"/>
          <w:u w:val="single"/>
          <w:lang w:val="en-US" w:eastAsia="zh-CN"/>
        </w:rPr>
        <w:t xml:space="preserve"> </w:t>
      </w:r>
    </w:p>
    <w:p w14:paraId="0380C95A">
      <w:pPr>
        <w:widowControl/>
        <w:spacing w:line="480" w:lineRule="auto"/>
        <w:jc w:val="left"/>
        <w:outlineLvl w:val="0"/>
        <w:rPr>
          <w:rFonts w:hint="eastAsia" w:ascii="宋体" w:hAnsi="宋体" w:eastAsia="宋体" w:cs="宋体"/>
          <w:b/>
          <w:bCs/>
          <w:color w:val="auto"/>
          <w:sz w:val="32"/>
          <w:szCs w:val="32"/>
          <w:highlight w:val="none"/>
          <w:u w:val="single"/>
          <w:lang w:val="en-US" w:eastAsia="zh-CN"/>
        </w:rPr>
      </w:pPr>
    </w:p>
    <w:p w14:paraId="5ED0CAF0">
      <w:pPr>
        <w:jc w:val="center"/>
        <w:rPr>
          <w:rFonts w:hint="eastAsia" w:ascii="宋体" w:hAnsi="宋体" w:eastAsia="宋体" w:cs="宋体"/>
          <w:color w:val="auto"/>
          <w:highlight w:val="none"/>
        </w:rPr>
      </w:pPr>
      <w:r>
        <w:rPr>
          <w:rFonts w:hint="eastAsia" w:ascii="宋体" w:hAnsi="宋体" w:eastAsia="宋体" w:cs="宋体"/>
          <w:b/>
          <w:bCs/>
          <w:color w:val="auto"/>
          <w:sz w:val="30"/>
          <w:szCs w:val="30"/>
          <w:highlight w:val="none"/>
          <w:lang w:bidi="ar"/>
        </w:rPr>
        <w:t>特别提醒</w:t>
      </w:r>
      <w:bookmarkEnd w:id="0"/>
    </w:p>
    <w:p w14:paraId="43827241">
      <w:pPr>
        <w:widowControl/>
        <w:spacing w:line="360" w:lineRule="auto"/>
        <w:ind w:firstLine="482" w:firstLineChars="200"/>
        <w:jc w:val="left"/>
        <w:rPr>
          <w:rFonts w:hint="eastAsia" w:ascii="宋体" w:hAnsi="宋体" w:eastAsia="宋体" w:cs="宋体"/>
          <w:color w:val="auto"/>
          <w:highlight w:val="none"/>
        </w:rPr>
      </w:pPr>
      <w:r>
        <w:rPr>
          <w:rFonts w:hint="eastAsia" w:ascii="宋体" w:hAnsi="宋体" w:eastAsia="宋体" w:cs="宋体"/>
          <w:b/>
          <w:bCs/>
          <w:color w:val="auto"/>
          <w:szCs w:val="24"/>
          <w:highlight w:val="none"/>
          <w:lang w:bidi="ar"/>
        </w:rPr>
        <w:t>1、本项目采用不见面开标系统：电子化投标方式投标，投标人须使用数字认证证书（CA锁）对电子投标文件进行签章、加密、递交及开标时签到、解密等相关招投标事宜。开标时投标人须携带数字认证证书（CA锁），如因投标人自身原因未正确使用数字认证证书（CA锁）造成无法解密投标文件，按无效投标对待。</w:t>
      </w:r>
    </w:p>
    <w:p w14:paraId="1BAA0CF7">
      <w:pPr>
        <w:widowControl/>
        <w:spacing w:line="360" w:lineRule="auto"/>
        <w:ind w:firstLine="482" w:firstLineChars="200"/>
        <w:jc w:val="left"/>
        <w:rPr>
          <w:rFonts w:hint="eastAsia" w:ascii="宋体" w:hAnsi="宋体" w:eastAsia="宋体" w:cs="宋体"/>
          <w:color w:val="auto"/>
          <w:highlight w:val="none"/>
        </w:rPr>
      </w:pPr>
      <w:r>
        <w:rPr>
          <w:rFonts w:hint="eastAsia" w:ascii="宋体" w:hAnsi="宋体" w:eastAsia="宋体" w:cs="宋体"/>
          <w:b/>
          <w:bCs/>
          <w:color w:val="auto"/>
          <w:szCs w:val="24"/>
          <w:highlight w:val="none"/>
          <w:lang w:bidi="ar"/>
        </w:rPr>
        <w:t>2、制作电子投标文件：电子招标文件需要使用专用软件打开、浏览供应商登录全国公共资源交易平台（陕西省）网站[服务指南-下载专区]免费下载《陕西省公共资源交易平台政府采购电子标书制作工具(V8.0.0.2)》，并升级至最新版本，使用该客户端可以打开电子招标文件。软件操作手册详见全国公共资源交易平台（陕西省）网站[服务指南-下载专区]中的《陕西省公共资源交易（政府采购类）投标文件制作软件操作手册》；制作工具下载地址：https://zhidao.bqpoint.com/epointknow2/bqepointknowquestion.html?producttype=1&amp;platformguid=684edb0d-467c-4a6a-b31b-9e7929e1fdee&amp;areacode=610000&amp;CategoryCode=16。</w:t>
      </w:r>
    </w:p>
    <w:p w14:paraId="2B53EB8F">
      <w:pPr>
        <w:widowControl/>
        <w:spacing w:line="360" w:lineRule="auto"/>
        <w:ind w:firstLine="482" w:firstLineChars="200"/>
        <w:jc w:val="left"/>
        <w:rPr>
          <w:rFonts w:hint="eastAsia" w:ascii="宋体" w:hAnsi="宋体" w:eastAsia="宋体" w:cs="宋体"/>
          <w:color w:val="auto"/>
          <w:highlight w:val="none"/>
        </w:rPr>
      </w:pPr>
      <w:r>
        <w:rPr>
          <w:rFonts w:hint="eastAsia" w:ascii="宋体" w:hAnsi="宋体" w:eastAsia="宋体" w:cs="宋体"/>
          <w:b/>
          <w:bCs/>
          <w:color w:val="auto"/>
          <w:szCs w:val="24"/>
          <w:highlight w:val="none"/>
          <w:lang w:bidi="ar"/>
        </w:rPr>
        <w:t>3、递交电子投标文件：登录全国公共资源交易中心平台（陕西省）（http://www.sxggzyjy.cn/），选择“电子交易平台—陕西政府采购交易系统—企业端”进行登录，登录后选择“交易乙方”身份进入，进入菜单“采购业务—我的项目——项目流程——上传响应文件”，上传加密的电子投标文件。上传成功后，电子化平台将予以记录。</w:t>
      </w:r>
    </w:p>
    <w:p w14:paraId="22E9E41D">
      <w:pPr>
        <w:widowControl/>
        <w:spacing w:line="360" w:lineRule="auto"/>
        <w:ind w:firstLine="482" w:firstLineChars="200"/>
        <w:jc w:val="left"/>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4、不见面开标：打开登录页面网址选择点击右上角“登录”，在左侧选择“投标人”身份，登录地区选择“安康市不见面开标”插入CA锁登录，输入密码后，点击“登录”：</w:t>
      </w:r>
      <w:r>
        <w:rPr>
          <w:rFonts w:hint="eastAsia" w:ascii="宋体" w:hAnsi="宋体" w:eastAsia="宋体" w:cs="宋体"/>
          <w:b/>
          <w:bCs/>
          <w:color w:val="auto"/>
          <w:sz w:val="22"/>
          <w:szCs w:val="22"/>
          <w:highlight w:val="none"/>
          <w:lang w:bidi="ar"/>
        </w:rPr>
        <w:t>（http://219.145.206.209/BidOpeningHall/bidopeninghallaction/hall/login</w:t>
      </w:r>
      <w:r>
        <w:rPr>
          <w:rFonts w:hint="eastAsia" w:ascii="宋体" w:hAnsi="宋体" w:eastAsia="宋体" w:cs="宋体"/>
          <w:b/>
          <w:bCs/>
          <w:color w:val="auto"/>
          <w:szCs w:val="24"/>
          <w:highlight w:val="none"/>
          <w:lang w:bidi="ar"/>
        </w:rPr>
        <w:t>），</w:t>
      </w:r>
    </w:p>
    <w:p w14:paraId="4556B905">
      <w:pPr>
        <w:widowControl/>
        <w:spacing w:line="360" w:lineRule="auto"/>
        <w:jc w:val="left"/>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投标人登录之后可以看到当前投标人今日开标项目；1、选择要开标的项目，点击进入，页面首先阅读开标流程，点击“我已阅读”进入开标大厅，点击“取消”返回项目列表页面。</w:t>
      </w:r>
    </w:p>
    <w:p w14:paraId="5F7E09F9">
      <w:pPr>
        <w:widowControl/>
        <w:spacing w:line="360" w:lineRule="auto"/>
        <w:ind w:firstLine="482" w:firstLineChars="200"/>
        <w:jc w:val="left"/>
        <w:rPr>
          <w:rFonts w:hint="eastAsia" w:ascii="宋体" w:hAnsi="宋体" w:eastAsia="宋体" w:cs="宋体"/>
          <w:color w:val="auto"/>
          <w:highlight w:val="none"/>
        </w:rPr>
      </w:pPr>
      <w:r>
        <w:rPr>
          <w:rFonts w:hint="eastAsia" w:ascii="宋体" w:hAnsi="宋体" w:eastAsia="宋体" w:cs="宋体"/>
          <w:b/>
          <w:bCs/>
          <w:color w:val="auto"/>
          <w:szCs w:val="24"/>
          <w:highlight w:val="none"/>
          <w:lang w:bidi="ar"/>
        </w:rPr>
        <w:t>5、开标签到</w:t>
      </w:r>
    </w:p>
    <w:p w14:paraId="6F0718CA">
      <w:pPr>
        <w:widowControl/>
        <w:spacing w:line="360" w:lineRule="auto"/>
        <w:ind w:firstLine="482" w:firstLineChars="200"/>
        <w:jc w:val="left"/>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投标人等待开标时需要签到，等候开标。请在开标前完成签到，开标时间到了之后就不能签到；点击页面上“签到”按钮进行签到，开标前10分钟可以签到。签到成功之后，按钮灰化，无需再次签到，同时第一个座位图右下角出现绿色√；</w:t>
      </w:r>
    </w:p>
    <w:p w14:paraId="08529E07">
      <w:pPr>
        <w:spacing w:line="360" w:lineRule="auto"/>
        <w:ind w:firstLine="482" w:firstLineChars="200"/>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 xml:space="preserve">6、评审过程中，评审小组要求供应商提交多轮（最后）投标报价时，供应商须登录全国公共资源交易平台（陕西省）在交易系统中提交多轮（最后）报价，并用数字认证证书（CA 锁）签章。 </w:t>
      </w:r>
    </w:p>
    <w:p w14:paraId="64B9934B">
      <w:pPr>
        <w:spacing w:line="360" w:lineRule="auto"/>
        <w:ind w:firstLine="482" w:firstLineChars="200"/>
        <w:rPr>
          <w:rFonts w:hint="eastAsia" w:ascii="宋体" w:hAnsi="宋体" w:eastAsia="宋体" w:cs="宋体"/>
          <w:color w:val="auto"/>
          <w:highlight w:val="none"/>
        </w:rPr>
      </w:pPr>
      <w:r>
        <w:rPr>
          <w:rFonts w:hint="eastAsia" w:ascii="宋体" w:hAnsi="宋体" w:eastAsia="宋体" w:cs="宋体"/>
          <w:b/>
          <w:bCs/>
          <w:color w:val="auto"/>
          <w:szCs w:val="24"/>
          <w:highlight w:val="none"/>
          <w:lang w:bidi="ar"/>
        </w:rPr>
        <w:t>7、注意事项</w:t>
      </w:r>
    </w:p>
    <w:p w14:paraId="1CD36CF9">
      <w:pPr>
        <w:widowControl/>
        <w:spacing w:line="360" w:lineRule="auto"/>
        <w:ind w:firstLine="482" w:firstLineChars="200"/>
        <w:jc w:val="left"/>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1、为顺利实现不见面开标系统的远程交互，建议投标人配置的软硬件设施有：高配置电脑、高速稳定的网络、电源（不间断）、CA锁、音视频设备（话筒、耳麦、高清摄像头、音响），浏览器要求使用IE11浏览器，且电脑已经正确安装了陕西省公共资源CA驱动。投标供应商需安装新点播放器，以便观看远程不见面开标直播画面（播放器下载链接为：http://219.145.206.209/BidOpeningHall/bidopeninghallaction/hall/login。</w:t>
      </w:r>
    </w:p>
    <w:p w14:paraId="1F849E98">
      <w:pPr>
        <w:widowControl/>
        <w:spacing w:line="360" w:lineRule="auto"/>
        <w:ind w:firstLine="482" w:firstLineChars="200"/>
        <w:jc w:val="left"/>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2、建议投标人在开标前半小时登录不见面开标大厅，并及时签到（开标前60分钟即可签到），遇到问题及时联系客服4009280095。</w:t>
      </w:r>
    </w:p>
    <w:p w14:paraId="2897D7FA">
      <w:pPr>
        <w:widowControl/>
        <w:spacing w:line="360" w:lineRule="auto"/>
        <w:ind w:firstLine="482" w:firstLineChars="200"/>
        <w:jc w:val="left"/>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3、投标人需注意CA锁一定要提前准备好，并确保CA锁为制作投标文件的CA锁。</w:t>
      </w:r>
    </w:p>
    <w:p w14:paraId="50422400">
      <w:pPr>
        <w:widowControl/>
        <w:spacing w:line="360" w:lineRule="auto"/>
        <w:ind w:firstLine="482" w:firstLineChars="200"/>
        <w:jc w:val="left"/>
        <w:rPr>
          <w:rFonts w:hint="eastAsia" w:ascii="宋体" w:hAnsi="宋体" w:eastAsia="宋体" w:cs="宋体"/>
          <w:b/>
          <w:bCs/>
          <w:color w:val="auto"/>
          <w:szCs w:val="24"/>
          <w:highlight w:val="none"/>
          <w:lang w:bidi="ar"/>
        </w:rPr>
      </w:pPr>
      <w:r>
        <w:rPr>
          <w:rFonts w:hint="eastAsia" w:ascii="宋体" w:hAnsi="宋体" w:eastAsia="宋体" w:cs="宋体"/>
          <w:b/>
          <w:bCs/>
          <w:color w:val="auto"/>
          <w:szCs w:val="24"/>
          <w:highlight w:val="none"/>
          <w:lang w:bidi="ar"/>
        </w:rPr>
        <w:t>4、及时关注右侧公告及互动栏目信息。</w:t>
      </w:r>
    </w:p>
    <w:p w14:paraId="3733D0BD">
      <w:pPr>
        <w:ind w:firstLine="964" w:firstLineChars="200"/>
        <w:jc w:val="center"/>
        <w:rPr>
          <w:rFonts w:hint="eastAsia" w:ascii="宋体" w:hAnsi="宋体" w:eastAsia="宋体" w:cs="宋体"/>
          <w:b/>
          <w:color w:val="auto"/>
          <w:sz w:val="48"/>
          <w:szCs w:val="48"/>
          <w:highlight w:val="none"/>
        </w:rPr>
        <w:sectPr>
          <w:headerReference r:id="rId3" w:type="default"/>
          <w:footerReference r:id="rId4" w:type="default"/>
          <w:pgSz w:w="11906" w:h="16838"/>
          <w:pgMar w:top="1440" w:right="1080" w:bottom="1440" w:left="1080" w:header="1134" w:footer="992" w:gutter="0"/>
          <w:pgNumType w:fmt="decimal" w:start="1"/>
          <w:cols w:space="720" w:num="1"/>
          <w:rtlGutter w:val="0"/>
          <w:docGrid w:type="lines" w:linePitch="333" w:charSpace="0"/>
        </w:sectPr>
      </w:pPr>
    </w:p>
    <w:p w14:paraId="6E80DDAB">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8"/>
          <w:szCs w:val="48"/>
          <w:highlight w:val="none"/>
        </w:rPr>
        <w:t>目   录</w:t>
      </w:r>
    </w:p>
    <w:p w14:paraId="0DFB7498">
      <w:pPr>
        <w:pStyle w:val="2"/>
        <w:rPr>
          <w:rFonts w:hint="eastAsia" w:ascii="宋体" w:hAnsi="宋体" w:eastAsia="宋体" w:cs="宋体"/>
          <w:color w:val="auto"/>
          <w:highlight w:val="none"/>
        </w:rPr>
      </w:pPr>
    </w:p>
    <w:p w14:paraId="4F7EEF08">
      <w:pPr>
        <w:spacing w:line="600" w:lineRule="auto"/>
        <w:ind w:left="1440" w:leftChars="6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第一章 招标公告</w:t>
      </w:r>
    </w:p>
    <w:p w14:paraId="49A3F16A">
      <w:pPr>
        <w:spacing w:line="600" w:lineRule="auto"/>
        <w:ind w:left="1440" w:leftChars="6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第二章 投标人须知</w:t>
      </w:r>
    </w:p>
    <w:p w14:paraId="4046E15D">
      <w:pPr>
        <w:spacing w:line="600" w:lineRule="auto"/>
        <w:ind w:left="1440" w:leftChars="6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第三章 商务部分（合同条款及格式）</w:t>
      </w:r>
    </w:p>
    <w:p w14:paraId="32705EB4">
      <w:pPr>
        <w:spacing w:line="600" w:lineRule="auto"/>
        <w:ind w:left="1440" w:leftChars="6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第四章 采购内容及技术要求</w:t>
      </w:r>
    </w:p>
    <w:p w14:paraId="39A13959">
      <w:pPr>
        <w:spacing w:line="600" w:lineRule="auto"/>
        <w:ind w:left="1440" w:leftChars="600"/>
        <w:rPr>
          <w:rFonts w:hint="eastAsia" w:ascii="宋体" w:hAnsi="宋体" w:eastAsia="宋体" w:cs="宋体"/>
          <w:b/>
          <w:bCs/>
          <w:color w:val="auto"/>
          <w:sz w:val="32"/>
          <w:szCs w:val="32"/>
          <w:highlight w:val="none"/>
        </w:rPr>
        <w:sectPr>
          <w:footerReference r:id="rId5" w:type="default"/>
          <w:pgSz w:w="11906" w:h="16838"/>
          <w:pgMar w:top="1440" w:right="1080" w:bottom="1440" w:left="1080" w:header="1134" w:footer="992" w:gutter="0"/>
          <w:pgNumType w:fmt="decimal" w:start="1"/>
          <w:cols w:space="720" w:num="1"/>
          <w:rtlGutter w:val="0"/>
          <w:docGrid w:type="lines" w:linePitch="333" w:charSpace="0"/>
        </w:sectPr>
      </w:pPr>
      <w:r>
        <w:rPr>
          <w:rFonts w:hint="eastAsia" w:ascii="宋体" w:hAnsi="宋体" w:eastAsia="宋体" w:cs="宋体"/>
          <w:b/>
          <w:bCs/>
          <w:color w:val="auto"/>
          <w:sz w:val="32"/>
          <w:szCs w:val="32"/>
          <w:highlight w:val="none"/>
        </w:rPr>
        <w:t>第五章 投标文件构成及格式</w:t>
      </w:r>
    </w:p>
    <w:p w14:paraId="4BFD2061">
      <w:pPr>
        <w:pStyle w:val="3"/>
        <w:numPr>
          <w:ilvl w:val="0"/>
          <w:numId w:val="2"/>
        </w:numPr>
        <w:spacing w:line="500" w:lineRule="exact"/>
        <w:jc w:val="center"/>
        <w:rPr>
          <w:rFonts w:hint="eastAsia" w:ascii="宋体" w:hAnsi="宋体" w:eastAsia="宋体" w:cs="宋体"/>
          <w:color w:val="auto"/>
          <w:sz w:val="36"/>
          <w:szCs w:val="36"/>
          <w:highlight w:val="none"/>
        </w:rPr>
      </w:pPr>
      <w:bookmarkStart w:id="1" w:name="_Toc28504"/>
      <w:bookmarkStart w:id="2" w:name="_Toc26849"/>
      <w:bookmarkStart w:id="3" w:name="_Toc31289"/>
      <w:bookmarkStart w:id="4" w:name="_Toc389582033"/>
      <w:bookmarkStart w:id="5" w:name="_Toc16218"/>
      <w:bookmarkStart w:id="6" w:name="_Toc19886"/>
      <w:bookmarkStart w:id="7" w:name="_Toc21518"/>
      <w:bookmarkStart w:id="8" w:name="_Toc20858"/>
      <w:bookmarkStart w:id="9" w:name="_Toc5293"/>
      <w:bookmarkStart w:id="10" w:name="_Toc426457691"/>
      <w:bookmarkStart w:id="11" w:name="_Toc20652"/>
      <w:bookmarkStart w:id="12" w:name="_Toc363474016"/>
      <w:bookmarkStart w:id="13" w:name="_Toc363473971"/>
      <w:bookmarkStart w:id="14" w:name="_Toc403077638"/>
      <w:r>
        <w:rPr>
          <w:rFonts w:hint="eastAsia" w:ascii="宋体" w:hAnsi="宋体" w:eastAsia="宋体" w:cs="宋体"/>
          <w:color w:val="auto"/>
          <w:sz w:val="36"/>
          <w:szCs w:val="36"/>
          <w:highlight w:val="none"/>
        </w:rPr>
        <w:t xml:space="preserve"> 招标公告</w:t>
      </w:r>
      <w:bookmarkEnd w:id="1"/>
      <w:bookmarkEnd w:id="2"/>
      <w:bookmarkEnd w:id="3"/>
    </w:p>
    <w:p w14:paraId="387FCB20">
      <w:pPr>
        <w:rPr>
          <w:rFonts w:hint="eastAsia" w:ascii="宋体" w:hAnsi="宋体" w:eastAsia="宋体" w:cs="宋体"/>
          <w:color w:val="auto"/>
          <w:highlight w:val="none"/>
        </w:rPr>
      </w:pPr>
    </w:p>
    <w:bookmarkEnd w:id="4"/>
    <w:bookmarkEnd w:id="5"/>
    <w:bookmarkEnd w:id="6"/>
    <w:bookmarkEnd w:id="7"/>
    <w:bookmarkEnd w:id="8"/>
    <w:bookmarkEnd w:id="9"/>
    <w:bookmarkEnd w:id="10"/>
    <w:bookmarkEnd w:id="11"/>
    <w:p w14:paraId="550EDDC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150" w:afterAutospacing="0" w:line="240" w:lineRule="auto"/>
        <w:ind w:right="0"/>
        <w:jc w:val="center"/>
        <w:textAlignment w:val="auto"/>
        <w:rPr>
          <w:rFonts w:hint="eastAsia" w:cs="宋体"/>
          <w:color w:val="000000" w:themeColor="text1"/>
          <w:sz w:val="48"/>
          <w:szCs w:val="48"/>
          <w:highlight w:val="none"/>
          <w:lang w:eastAsia="zh-CN"/>
          <w14:textFill>
            <w14:solidFill>
              <w14:schemeClr w14:val="tx1"/>
            </w14:solidFill>
          </w14:textFill>
        </w:rPr>
      </w:pPr>
      <w:bookmarkStart w:id="15" w:name="_Toc389582035"/>
      <w:bookmarkStart w:id="16" w:name="_Toc2929"/>
      <w:bookmarkStart w:id="17" w:name="_Toc426457692"/>
      <w:bookmarkStart w:id="18" w:name="_Toc30304"/>
      <w:r>
        <w:rPr>
          <w:rFonts w:hint="eastAsia" w:cs="宋体"/>
          <w:color w:val="000000" w:themeColor="text1"/>
          <w:sz w:val="48"/>
          <w:szCs w:val="48"/>
          <w:highlight w:val="none"/>
          <w:lang w:eastAsia="zh-CN"/>
          <w14:textFill>
            <w14:solidFill>
              <w14:schemeClr w14:val="tx1"/>
            </w14:solidFill>
          </w14:textFill>
        </w:rPr>
        <w:t>白河人民医院彩色多普勒超声系统采购项目</w:t>
      </w:r>
    </w:p>
    <w:p w14:paraId="3DD1B68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150" w:afterAutospacing="0" w:line="240" w:lineRule="auto"/>
        <w:ind w:left="0" w:right="0" w:firstLine="482"/>
        <w:jc w:val="center"/>
        <w:textAlignment w:val="auto"/>
        <w:rPr>
          <w:rFonts w:hint="eastAsia" w:ascii="微软雅黑" w:hAnsi="微软雅黑" w:eastAsia="微软雅黑" w:cs="微软雅黑"/>
          <w:i w:val="0"/>
          <w:iCs w:val="0"/>
          <w:caps w:val="0"/>
          <w:color w:val="000000" w:themeColor="text1"/>
          <w:spacing w:val="0"/>
          <w:sz w:val="48"/>
          <w:szCs w:val="48"/>
          <w:shd w:val="clear" w:fill="FFFFFF"/>
          <w:lang w:eastAsia="zh-CN"/>
          <w14:textFill>
            <w14:solidFill>
              <w14:schemeClr w14:val="tx1"/>
            </w14:solidFill>
          </w14:textFill>
        </w:rPr>
      </w:pPr>
      <w:r>
        <w:rPr>
          <w:rFonts w:hint="eastAsia" w:ascii="宋体" w:hAnsi="宋体" w:eastAsia="宋体" w:cs="宋体"/>
          <w:color w:val="000000" w:themeColor="text1"/>
          <w:sz w:val="48"/>
          <w:szCs w:val="48"/>
          <w:highlight w:val="none"/>
          <w14:textFill>
            <w14:solidFill>
              <w14:schemeClr w14:val="tx1"/>
            </w14:solidFill>
          </w14:textFill>
        </w:rPr>
        <w:t>招标公告</w:t>
      </w:r>
    </w:p>
    <w:p w14:paraId="1F34AC2F">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150" w:afterAutospacing="0" w:line="312" w:lineRule="auto"/>
        <w:ind w:left="0" w:right="0" w:firstLine="480"/>
        <w:jc w:val="both"/>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lang w:eastAsia="zh-CN"/>
        </w:rPr>
        <w:t>白河人民医院彩色多普勒超声系统采购项目</w:t>
      </w:r>
      <w:r>
        <w:rPr>
          <w:rFonts w:hint="eastAsia" w:ascii="微软雅黑" w:hAnsi="微软雅黑" w:eastAsia="微软雅黑" w:cs="微软雅黑"/>
          <w:i w:val="0"/>
          <w:iCs w:val="0"/>
          <w:caps w:val="0"/>
          <w:color w:val="auto"/>
          <w:spacing w:val="0"/>
          <w:sz w:val="21"/>
          <w:szCs w:val="21"/>
          <w:shd w:val="clear" w:color="auto" w:fill="auto"/>
        </w:rPr>
        <w:t>招标项目的潜在投标人应在陕西省公共资源交易网平台（陕西省.安康市）获取招标文件，并于202</w:t>
      </w:r>
      <w:r>
        <w:rPr>
          <w:rFonts w:hint="eastAsia" w:ascii="微软雅黑" w:hAnsi="微软雅黑" w:eastAsia="微软雅黑" w:cs="微软雅黑"/>
          <w:i w:val="0"/>
          <w:iCs w:val="0"/>
          <w:caps w:val="0"/>
          <w:color w:val="auto"/>
          <w:spacing w:val="0"/>
          <w:sz w:val="21"/>
          <w:szCs w:val="21"/>
          <w:shd w:val="clear" w:color="auto" w:fill="auto"/>
          <w:lang w:val="en-US" w:eastAsia="zh-CN"/>
        </w:rPr>
        <w:t>4</w:t>
      </w:r>
      <w:r>
        <w:rPr>
          <w:rFonts w:hint="eastAsia" w:ascii="微软雅黑" w:hAnsi="微软雅黑" w:eastAsia="微软雅黑" w:cs="微软雅黑"/>
          <w:i w:val="0"/>
          <w:iCs w:val="0"/>
          <w:caps w:val="0"/>
          <w:color w:val="auto"/>
          <w:spacing w:val="0"/>
          <w:sz w:val="21"/>
          <w:szCs w:val="21"/>
          <w:shd w:val="clear" w:color="auto" w:fill="auto"/>
        </w:rPr>
        <w:t>年</w:t>
      </w:r>
      <w:r>
        <w:rPr>
          <w:rFonts w:hint="eastAsia" w:ascii="微软雅黑" w:hAnsi="微软雅黑" w:eastAsia="微软雅黑" w:cs="微软雅黑"/>
          <w:i w:val="0"/>
          <w:iCs w:val="0"/>
          <w:caps w:val="0"/>
          <w:color w:val="auto"/>
          <w:spacing w:val="0"/>
          <w:sz w:val="21"/>
          <w:szCs w:val="21"/>
          <w:shd w:val="clear" w:color="auto" w:fill="auto"/>
          <w:lang w:val="en-US" w:eastAsia="zh-CN"/>
        </w:rPr>
        <w:t>12月12日14</w:t>
      </w:r>
      <w:r>
        <w:rPr>
          <w:rFonts w:hint="eastAsia" w:ascii="微软雅黑" w:hAnsi="微软雅黑" w:eastAsia="微软雅黑" w:cs="微软雅黑"/>
          <w:i w:val="0"/>
          <w:iCs w:val="0"/>
          <w:caps w:val="0"/>
          <w:color w:val="auto"/>
          <w:spacing w:val="0"/>
          <w:sz w:val="21"/>
          <w:szCs w:val="21"/>
          <w:shd w:val="clear" w:color="auto" w:fill="auto"/>
        </w:rPr>
        <w:t>时00分（北京时间）前递交投标文件。</w:t>
      </w:r>
    </w:p>
    <w:p w14:paraId="06CC9A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12" w:lineRule="auto"/>
        <w:ind w:left="0" w:right="0" w:firstLine="0"/>
        <w:jc w:val="left"/>
        <w:textAlignment w:val="auto"/>
        <w:rPr>
          <w:rFonts w:hint="eastAsia" w:ascii="微软雅黑" w:hAnsi="微软雅黑" w:eastAsia="微软雅黑" w:cs="微软雅黑"/>
          <w:b w:val="0"/>
          <w:bCs w:val="0"/>
          <w:i w:val="0"/>
          <w:iCs w:val="0"/>
          <w:caps w:val="0"/>
          <w:color w:val="auto"/>
          <w:spacing w:val="0"/>
          <w:sz w:val="21"/>
          <w:szCs w:val="21"/>
          <w:shd w:val="clear" w:color="auto" w:fill="auto"/>
        </w:rPr>
      </w:pPr>
      <w:r>
        <w:rPr>
          <w:rStyle w:val="23"/>
          <w:rFonts w:hint="eastAsia" w:ascii="微软雅黑" w:hAnsi="微软雅黑" w:eastAsia="微软雅黑" w:cs="微软雅黑"/>
          <w:b/>
          <w:bCs/>
          <w:i w:val="0"/>
          <w:iCs w:val="0"/>
          <w:caps w:val="0"/>
          <w:color w:val="auto"/>
          <w:spacing w:val="0"/>
          <w:sz w:val="21"/>
          <w:szCs w:val="21"/>
          <w:shd w:val="clear" w:color="auto" w:fill="auto"/>
        </w:rPr>
        <w:t>一、项目基本情况</w:t>
      </w:r>
    </w:p>
    <w:p w14:paraId="41730B9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firstLine="420" w:firstLineChars="200"/>
        <w:jc w:val="both"/>
        <w:textAlignment w:val="auto"/>
        <w:rPr>
          <w:rFonts w:hint="eastAsia" w:ascii="微软雅黑" w:hAnsi="微软雅黑" w:eastAsia="微软雅黑" w:cs="微软雅黑"/>
          <w:i w:val="0"/>
          <w:iCs w:val="0"/>
          <w:caps w:val="0"/>
          <w:color w:val="auto"/>
          <w:spacing w:val="0"/>
          <w:sz w:val="21"/>
          <w:szCs w:val="21"/>
          <w:shd w:val="clear" w:color="auto" w:fill="auto"/>
          <w:lang w:val="en-US" w:eastAsia="zh-CN"/>
        </w:rPr>
      </w:pPr>
      <w:r>
        <w:rPr>
          <w:rFonts w:hint="eastAsia" w:ascii="微软雅黑" w:hAnsi="微软雅黑" w:eastAsia="微软雅黑" w:cs="微软雅黑"/>
          <w:i w:val="0"/>
          <w:iCs w:val="0"/>
          <w:caps w:val="0"/>
          <w:color w:val="auto"/>
          <w:spacing w:val="0"/>
          <w:sz w:val="21"/>
          <w:szCs w:val="21"/>
          <w:shd w:val="clear" w:color="auto" w:fill="auto"/>
        </w:rPr>
        <w:t>项目编号：</w:t>
      </w:r>
      <w:r>
        <w:rPr>
          <w:rFonts w:hint="eastAsia" w:ascii="微软雅黑" w:hAnsi="微软雅黑" w:eastAsia="微软雅黑" w:cs="微软雅黑"/>
          <w:i w:val="0"/>
          <w:iCs w:val="0"/>
          <w:caps w:val="0"/>
          <w:color w:val="auto"/>
          <w:spacing w:val="0"/>
          <w:sz w:val="21"/>
          <w:szCs w:val="21"/>
          <w:shd w:val="clear" w:color="auto" w:fill="auto"/>
          <w:lang w:eastAsia="zh-CN"/>
        </w:rPr>
        <w:t>DCZB-2024-AK-2041</w:t>
      </w:r>
    </w:p>
    <w:p w14:paraId="10A5550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firstLine="420" w:firstLineChars="200"/>
        <w:jc w:val="both"/>
        <w:textAlignment w:val="auto"/>
        <w:rPr>
          <w:rFonts w:hint="eastAsia" w:ascii="微软雅黑" w:hAnsi="微软雅黑" w:eastAsia="微软雅黑" w:cs="微软雅黑"/>
          <w:i w:val="0"/>
          <w:iCs w:val="0"/>
          <w:caps w:val="0"/>
          <w:color w:val="auto"/>
          <w:spacing w:val="0"/>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rPr>
        <w:t>项目名称：</w:t>
      </w:r>
      <w:r>
        <w:rPr>
          <w:rFonts w:hint="eastAsia" w:ascii="微软雅黑" w:hAnsi="微软雅黑" w:eastAsia="微软雅黑" w:cs="微软雅黑"/>
          <w:i w:val="0"/>
          <w:iCs w:val="0"/>
          <w:caps w:val="0"/>
          <w:color w:val="auto"/>
          <w:spacing w:val="0"/>
          <w:sz w:val="21"/>
          <w:szCs w:val="21"/>
          <w:shd w:val="clear" w:color="auto" w:fill="auto"/>
          <w:lang w:eastAsia="zh-CN"/>
        </w:rPr>
        <w:t>白河人民医院彩色多普勒超声系统采购项目</w:t>
      </w:r>
    </w:p>
    <w:p w14:paraId="5A1FB4E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firstLine="420" w:firstLineChars="20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采购方式：公开招标</w:t>
      </w:r>
    </w:p>
    <w:p w14:paraId="5B275AA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firstLine="420" w:firstLineChars="20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预算金额：1000000.00元</w:t>
      </w:r>
    </w:p>
    <w:p w14:paraId="093A9DA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firstLine="420" w:firstLineChars="20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采购需求：</w:t>
      </w:r>
    </w:p>
    <w:p w14:paraId="1028D1C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12" w:lineRule="auto"/>
        <w:ind w:right="0" w:firstLine="630" w:firstLineChars="300"/>
        <w:jc w:val="both"/>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合同包1(</w:t>
      </w:r>
      <w:r>
        <w:rPr>
          <w:rFonts w:hint="eastAsia" w:ascii="微软雅黑" w:hAnsi="微软雅黑" w:eastAsia="微软雅黑" w:cs="微软雅黑"/>
          <w:i w:val="0"/>
          <w:iCs w:val="0"/>
          <w:caps w:val="0"/>
          <w:color w:val="auto"/>
          <w:spacing w:val="0"/>
          <w:sz w:val="21"/>
          <w:szCs w:val="21"/>
          <w:shd w:val="clear" w:color="auto" w:fill="auto"/>
          <w:lang w:eastAsia="zh-CN"/>
        </w:rPr>
        <w:t>白河人民医院彩色多普勒超声系统采购项目</w:t>
      </w:r>
      <w:r>
        <w:rPr>
          <w:rFonts w:hint="eastAsia" w:ascii="微软雅黑" w:hAnsi="微软雅黑" w:eastAsia="微软雅黑" w:cs="微软雅黑"/>
          <w:i w:val="0"/>
          <w:iCs w:val="0"/>
          <w:caps w:val="0"/>
          <w:color w:val="auto"/>
          <w:spacing w:val="0"/>
          <w:sz w:val="21"/>
          <w:szCs w:val="21"/>
          <w:shd w:val="clear" w:color="auto" w:fill="auto"/>
        </w:rPr>
        <w:t>):</w:t>
      </w:r>
    </w:p>
    <w:p w14:paraId="0FDF949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12" w:lineRule="auto"/>
        <w:ind w:right="0" w:firstLine="630" w:firstLineChars="300"/>
        <w:jc w:val="both"/>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合同包预算金额：</w:t>
      </w:r>
      <w:r>
        <w:rPr>
          <w:rFonts w:hint="eastAsia" w:ascii="微软雅黑" w:hAnsi="微软雅黑" w:eastAsia="微软雅黑" w:cs="微软雅黑"/>
          <w:i w:val="0"/>
          <w:iCs w:val="0"/>
          <w:caps w:val="0"/>
          <w:color w:val="auto"/>
          <w:spacing w:val="0"/>
          <w:sz w:val="21"/>
          <w:szCs w:val="21"/>
          <w:shd w:val="clear" w:color="auto" w:fill="auto"/>
          <w:lang w:val="en-US" w:eastAsia="zh-CN"/>
        </w:rPr>
        <w:t>1000000.00</w:t>
      </w:r>
      <w:r>
        <w:rPr>
          <w:rFonts w:hint="eastAsia" w:ascii="微软雅黑" w:hAnsi="微软雅黑" w:eastAsia="微软雅黑" w:cs="微软雅黑"/>
          <w:i w:val="0"/>
          <w:iCs w:val="0"/>
          <w:caps w:val="0"/>
          <w:color w:val="auto"/>
          <w:spacing w:val="0"/>
          <w:sz w:val="21"/>
          <w:szCs w:val="21"/>
          <w:shd w:val="clear" w:color="auto" w:fill="auto"/>
        </w:rPr>
        <w:t>元</w:t>
      </w:r>
    </w:p>
    <w:p w14:paraId="2618A3D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12" w:lineRule="auto"/>
        <w:ind w:right="0" w:firstLine="630" w:firstLineChars="300"/>
        <w:jc w:val="both"/>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合同包最高限价：</w:t>
      </w:r>
      <w:r>
        <w:rPr>
          <w:rFonts w:hint="eastAsia" w:ascii="微软雅黑" w:hAnsi="微软雅黑" w:eastAsia="微软雅黑" w:cs="微软雅黑"/>
          <w:i w:val="0"/>
          <w:iCs w:val="0"/>
          <w:caps w:val="0"/>
          <w:color w:val="auto"/>
          <w:spacing w:val="0"/>
          <w:sz w:val="21"/>
          <w:szCs w:val="21"/>
          <w:shd w:val="clear" w:color="auto" w:fill="auto"/>
          <w:lang w:val="en-US" w:eastAsia="zh-CN"/>
        </w:rPr>
        <w:t>1000000.00</w:t>
      </w:r>
      <w:r>
        <w:rPr>
          <w:rFonts w:hint="eastAsia" w:ascii="微软雅黑" w:hAnsi="微软雅黑" w:eastAsia="微软雅黑" w:cs="微软雅黑"/>
          <w:i w:val="0"/>
          <w:iCs w:val="0"/>
          <w:caps w:val="0"/>
          <w:color w:val="auto"/>
          <w:spacing w:val="0"/>
          <w:sz w:val="21"/>
          <w:szCs w:val="21"/>
          <w:shd w:val="clear" w:color="auto" w:fill="auto"/>
        </w:rPr>
        <w:t>元</w:t>
      </w:r>
    </w:p>
    <w:tbl>
      <w:tblPr>
        <w:tblStyle w:val="20"/>
        <w:tblW w:w="992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50"/>
        <w:gridCol w:w="1665"/>
        <w:gridCol w:w="1581"/>
        <w:gridCol w:w="1116"/>
        <w:gridCol w:w="1600"/>
        <w:gridCol w:w="1534"/>
        <w:gridCol w:w="1579"/>
      </w:tblGrid>
      <w:tr w14:paraId="2926C3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8" w:hRule="atLeast"/>
          <w:tblHeader/>
        </w:trPr>
        <w:tc>
          <w:tcPr>
            <w:tcW w:w="85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174D96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kern w:val="0"/>
                <w:sz w:val="21"/>
                <w:szCs w:val="21"/>
                <w:shd w:val="clear" w:color="auto" w:fill="auto"/>
                <w:lang w:val="en-US" w:eastAsia="zh-CN" w:bidi="ar"/>
              </w:rPr>
              <w:t>品目号</w:t>
            </w:r>
          </w:p>
        </w:tc>
        <w:tc>
          <w:tcPr>
            <w:tcW w:w="166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03854E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kern w:val="0"/>
                <w:sz w:val="21"/>
                <w:szCs w:val="21"/>
                <w:shd w:val="clear" w:color="auto" w:fill="auto"/>
                <w:lang w:val="en-US" w:eastAsia="zh-CN" w:bidi="ar"/>
              </w:rPr>
              <w:t>品目名称</w:t>
            </w:r>
          </w:p>
        </w:tc>
        <w:tc>
          <w:tcPr>
            <w:tcW w:w="158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F2A639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kern w:val="0"/>
                <w:sz w:val="21"/>
                <w:szCs w:val="21"/>
                <w:shd w:val="clear" w:color="auto" w:fill="auto"/>
                <w:lang w:val="en-US" w:eastAsia="zh-CN" w:bidi="ar"/>
              </w:rPr>
              <w:t>采购标的</w:t>
            </w:r>
          </w:p>
        </w:tc>
        <w:tc>
          <w:tcPr>
            <w:tcW w:w="111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7457832">
            <w:pPr>
              <w:keepNext w:val="0"/>
              <w:keepLines w:val="0"/>
              <w:pageBreakBefore w:val="0"/>
              <w:widowControl/>
              <w:suppressLineNumbers w:val="0"/>
              <w:tabs>
                <w:tab w:val="left" w:pos="1680"/>
              </w:tabs>
              <w:kinsoku/>
              <w:wordWrap w:val="0"/>
              <w:overflowPunct/>
              <w:topLinePunct w:val="0"/>
              <w:autoSpaceDE/>
              <w:autoSpaceDN/>
              <w:bidi w:val="0"/>
              <w:adjustRightInd/>
              <w:snapToGrid/>
              <w:spacing w:before="0" w:beforeAutospacing="0" w:after="0" w:afterAutospacing="0" w:line="500" w:lineRule="exact"/>
              <w:ind w:left="0" w:right="120" w:rightChars="50"/>
              <w:jc w:val="center"/>
              <w:textAlignment w:val="auto"/>
              <w:rPr>
                <w:rFonts w:hint="eastAsia" w:ascii="微软雅黑" w:hAnsi="微软雅黑" w:eastAsia="微软雅黑" w:cs="微软雅黑"/>
                <w:b/>
                <w:bCs/>
                <w:color w:val="auto"/>
                <w:kern w:val="0"/>
                <w:sz w:val="21"/>
                <w:szCs w:val="21"/>
                <w:shd w:val="clear" w:color="auto" w:fill="auto"/>
                <w:lang w:val="en-US" w:eastAsia="zh-CN" w:bidi="ar"/>
              </w:rPr>
            </w:pPr>
            <w:r>
              <w:rPr>
                <w:rFonts w:hint="eastAsia" w:ascii="微软雅黑" w:hAnsi="微软雅黑" w:eastAsia="微软雅黑" w:cs="微软雅黑"/>
                <w:b/>
                <w:bCs/>
                <w:color w:val="auto"/>
                <w:kern w:val="0"/>
                <w:sz w:val="21"/>
                <w:szCs w:val="21"/>
                <w:shd w:val="clear" w:color="auto" w:fill="auto"/>
                <w:lang w:val="en-US" w:eastAsia="zh-CN" w:bidi="ar"/>
              </w:rPr>
              <w:t>数量</w:t>
            </w:r>
          </w:p>
          <w:p w14:paraId="17D73E1F">
            <w:pPr>
              <w:keepNext w:val="0"/>
              <w:keepLines w:val="0"/>
              <w:pageBreakBefore w:val="0"/>
              <w:widowControl/>
              <w:suppressLineNumbers w:val="0"/>
              <w:tabs>
                <w:tab w:val="left" w:pos="1680"/>
              </w:tabs>
              <w:kinsoku/>
              <w:wordWrap w:val="0"/>
              <w:overflowPunct/>
              <w:topLinePunct w:val="0"/>
              <w:autoSpaceDE/>
              <w:autoSpaceDN/>
              <w:bidi w:val="0"/>
              <w:adjustRightInd/>
              <w:snapToGrid/>
              <w:spacing w:before="0" w:beforeAutospacing="0" w:after="0" w:afterAutospacing="0" w:line="500" w:lineRule="exact"/>
              <w:ind w:left="0" w:right="120" w:rightChars="50"/>
              <w:jc w:val="center"/>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kern w:val="0"/>
                <w:sz w:val="21"/>
                <w:szCs w:val="21"/>
                <w:shd w:val="clear" w:color="auto" w:fill="auto"/>
                <w:lang w:val="en-US" w:eastAsia="zh-CN" w:bidi="ar"/>
              </w:rPr>
              <w:t>（单位）</w:t>
            </w:r>
          </w:p>
        </w:tc>
        <w:tc>
          <w:tcPr>
            <w:tcW w:w="160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6BDCD1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kern w:val="0"/>
                <w:sz w:val="21"/>
                <w:szCs w:val="21"/>
                <w:shd w:val="clear" w:color="auto" w:fill="auto"/>
                <w:lang w:val="en-US" w:eastAsia="zh-CN" w:bidi="ar"/>
              </w:rPr>
              <w:t>技术规格、参数及要求</w:t>
            </w:r>
          </w:p>
        </w:tc>
        <w:tc>
          <w:tcPr>
            <w:tcW w:w="153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BE63221">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kern w:val="0"/>
                <w:sz w:val="21"/>
                <w:szCs w:val="21"/>
                <w:shd w:val="clear" w:color="auto" w:fill="auto"/>
                <w:lang w:val="en-US" w:eastAsia="zh-CN" w:bidi="ar"/>
              </w:rPr>
              <w:t>品目预算(元)</w:t>
            </w:r>
          </w:p>
        </w:tc>
        <w:tc>
          <w:tcPr>
            <w:tcW w:w="157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564CF6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kern w:val="0"/>
                <w:sz w:val="21"/>
                <w:szCs w:val="21"/>
                <w:shd w:val="clear" w:color="auto" w:fill="auto"/>
                <w:lang w:val="en-US" w:eastAsia="zh-CN" w:bidi="ar"/>
              </w:rPr>
              <w:t>最高限价(元)</w:t>
            </w:r>
          </w:p>
        </w:tc>
      </w:tr>
      <w:tr w14:paraId="2F3E7E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85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ABAF258">
            <w:pPr>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kern w:val="0"/>
                <w:sz w:val="21"/>
                <w:szCs w:val="21"/>
                <w:shd w:val="clear" w:color="auto" w:fill="auto"/>
                <w:lang w:val="en-US" w:eastAsia="zh-CN" w:bidi="ar"/>
              </w:rPr>
              <w:t>1-1</w:t>
            </w:r>
          </w:p>
        </w:tc>
        <w:tc>
          <w:tcPr>
            <w:tcW w:w="1665"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26E9575">
            <w:pPr>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微软雅黑" w:hAnsi="微软雅黑" w:eastAsia="微软雅黑" w:cs="微软雅黑"/>
                <w:color w:val="auto"/>
                <w:sz w:val="21"/>
                <w:szCs w:val="21"/>
                <w:shd w:val="clear" w:color="auto" w:fill="auto"/>
                <w:lang w:val="en-US" w:eastAsia="zh-CN"/>
              </w:rPr>
            </w:pPr>
            <w:r>
              <w:rPr>
                <w:rFonts w:ascii="微软雅黑" w:hAnsi="微软雅黑" w:eastAsia="微软雅黑" w:cs="微软雅黑"/>
                <w:i w:val="0"/>
                <w:iCs w:val="0"/>
                <w:caps w:val="0"/>
                <w:color w:val="222222"/>
                <w:spacing w:val="0"/>
                <w:sz w:val="21"/>
                <w:szCs w:val="21"/>
              </w:rPr>
              <w:t>医用超声波仪器及设备</w:t>
            </w:r>
          </w:p>
        </w:tc>
        <w:tc>
          <w:tcPr>
            <w:tcW w:w="158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8CFA575">
            <w:pPr>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微软雅黑" w:hAnsi="微软雅黑" w:eastAsia="微软雅黑" w:cs="微软雅黑"/>
                <w:color w:val="auto"/>
                <w:sz w:val="21"/>
                <w:szCs w:val="21"/>
                <w:shd w:val="clear" w:color="auto" w:fill="auto"/>
                <w:lang w:val="en-US" w:eastAsia="zh-CN"/>
              </w:rPr>
            </w:pPr>
            <w:r>
              <w:rPr>
                <w:rFonts w:ascii="微软雅黑" w:hAnsi="微软雅黑" w:eastAsia="微软雅黑" w:cs="微软雅黑"/>
                <w:i w:val="0"/>
                <w:iCs w:val="0"/>
                <w:caps w:val="0"/>
                <w:color w:val="222222"/>
                <w:spacing w:val="0"/>
                <w:sz w:val="21"/>
                <w:szCs w:val="21"/>
              </w:rPr>
              <w:t>彩色多普勒超声</w:t>
            </w:r>
          </w:p>
        </w:tc>
        <w:tc>
          <w:tcPr>
            <w:tcW w:w="111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E12DAC8">
            <w:pPr>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微软雅黑" w:hAnsi="微软雅黑" w:eastAsia="微软雅黑" w:cs="微软雅黑"/>
                <w:color w:val="auto"/>
                <w:sz w:val="21"/>
                <w:szCs w:val="21"/>
                <w:shd w:val="clear" w:color="auto" w:fill="auto"/>
                <w:lang w:val="en-US" w:eastAsia="zh-CN"/>
              </w:rPr>
            </w:pPr>
            <w:r>
              <w:rPr>
                <w:rFonts w:hint="eastAsia" w:ascii="微软雅黑" w:hAnsi="微软雅黑" w:eastAsia="微软雅黑" w:cs="微软雅黑"/>
                <w:color w:val="auto"/>
                <w:sz w:val="21"/>
                <w:szCs w:val="21"/>
                <w:shd w:val="clear" w:color="auto" w:fill="auto"/>
                <w:lang w:val="en-US" w:eastAsia="zh-CN"/>
              </w:rPr>
              <w:t>1</w:t>
            </w:r>
          </w:p>
        </w:tc>
        <w:tc>
          <w:tcPr>
            <w:tcW w:w="160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3E9C4F7">
            <w:pPr>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详见采购文件</w:t>
            </w:r>
          </w:p>
        </w:tc>
        <w:tc>
          <w:tcPr>
            <w:tcW w:w="153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08652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right"/>
              <w:textAlignment w:val="auto"/>
              <w:rPr>
                <w:rFonts w:hint="default" w:ascii="微软雅黑" w:hAnsi="微软雅黑" w:eastAsia="微软雅黑" w:cs="微软雅黑"/>
                <w:color w:val="auto"/>
                <w:sz w:val="21"/>
                <w:szCs w:val="21"/>
                <w:shd w:val="clear" w:color="auto" w:fill="auto"/>
                <w:lang w:val="en-US" w:eastAsia="zh-CN"/>
              </w:rPr>
            </w:pPr>
            <w:r>
              <w:rPr>
                <w:rFonts w:hint="eastAsia" w:ascii="微软雅黑" w:hAnsi="微软雅黑" w:eastAsia="微软雅黑" w:cs="微软雅黑"/>
                <w:i w:val="0"/>
                <w:iCs w:val="0"/>
                <w:caps w:val="0"/>
                <w:color w:val="auto"/>
                <w:spacing w:val="0"/>
                <w:sz w:val="21"/>
                <w:szCs w:val="21"/>
                <w:shd w:val="clear" w:color="auto" w:fill="auto"/>
                <w:lang w:val="en-US" w:eastAsia="zh-CN"/>
              </w:rPr>
              <w:t>1000000.00</w:t>
            </w:r>
          </w:p>
        </w:tc>
        <w:tc>
          <w:tcPr>
            <w:tcW w:w="1579"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8C19D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right"/>
              <w:textAlignment w:val="auto"/>
              <w:rPr>
                <w:rFonts w:hint="eastAsia" w:ascii="微软雅黑" w:hAnsi="微软雅黑" w:eastAsia="微软雅黑" w:cs="微软雅黑"/>
                <w:color w:val="auto"/>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lang w:val="en-US" w:eastAsia="zh-CN"/>
              </w:rPr>
              <w:t>1000000.00</w:t>
            </w:r>
          </w:p>
        </w:tc>
      </w:tr>
    </w:tbl>
    <w:p w14:paraId="7B58909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12" w:lineRule="auto"/>
        <w:ind w:left="0" w:right="0" w:firstLine="630"/>
        <w:jc w:val="both"/>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本合同包不接受联合体投标</w:t>
      </w:r>
    </w:p>
    <w:p w14:paraId="4EC93B4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12" w:lineRule="auto"/>
        <w:ind w:left="0" w:right="0" w:firstLine="63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合同履行期限：详见采购文件</w:t>
      </w:r>
    </w:p>
    <w:p w14:paraId="2332A8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60" w:lineRule="auto"/>
        <w:ind w:left="0" w:right="0" w:firstLine="0"/>
        <w:jc w:val="left"/>
        <w:textAlignment w:val="auto"/>
        <w:rPr>
          <w:rFonts w:hint="eastAsia" w:ascii="微软雅黑" w:hAnsi="微软雅黑" w:eastAsia="微软雅黑" w:cs="微软雅黑"/>
          <w:b w:val="0"/>
          <w:bCs w:val="0"/>
          <w:i w:val="0"/>
          <w:iCs w:val="0"/>
          <w:caps w:val="0"/>
          <w:color w:val="auto"/>
          <w:spacing w:val="0"/>
          <w:sz w:val="21"/>
          <w:szCs w:val="21"/>
          <w:shd w:val="clear" w:color="auto" w:fill="auto"/>
        </w:rPr>
      </w:pPr>
      <w:r>
        <w:rPr>
          <w:rStyle w:val="23"/>
          <w:rFonts w:hint="eastAsia" w:ascii="微软雅黑" w:hAnsi="微软雅黑" w:eastAsia="微软雅黑" w:cs="微软雅黑"/>
          <w:b/>
          <w:bCs/>
          <w:i w:val="0"/>
          <w:iCs w:val="0"/>
          <w:caps w:val="0"/>
          <w:color w:val="auto"/>
          <w:spacing w:val="0"/>
          <w:sz w:val="21"/>
          <w:szCs w:val="21"/>
          <w:shd w:val="clear" w:color="auto" w:fill="auto"/>
        </w:rPr>
        <w:t>二、申请人的资格要求：</w:t>
      </w:r>
    </w:p>
    <w:p w14:paraId="1F3374DF">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1.满足《中华人民共和国政府采购法》第二十二条规定;</w:t>
      </w:r>
    </w:p>
    <w:p w14:paraId="47578EF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2.落实政府采购政策需满足的资格要求：</w:t>
      </w:r>
    </w:p>
    <w:p w14:paraId="1442562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jc w:val="both"/>
        <w:textAlignment w:val="auto"/>
        <w:rPr>
          <w:color w:val="auto"/>
          <w:sz w:val="21"/>
          <w:szCs w:val="21"/>
          <w:shd w:val="clear" w:color="auto" w:fill="auto"/>
        </w:rPr>
      </w:pPr>
      <w:r>
        <w:rPr>
          <w:rFonts w:ascii="微软雅黑" w:hAnsi="微软雅黑" w:eastAsia="微软雅黑" w:cs="微软雅黑"/>
          <w:i w:val="0"/>
          <w:iCs w:val="0"/>
          <w:caps w:val="0"/>
          <w:color w:val="auto"/>
          <w:spacing w:val="0"/>
          <w:sz w:val="21"/>
          <w:szCs w:val="21"/>
          <w:shd w:val="clear" w:color="auto" w:fill="auto"/>
        </w:rPr>
        <w:t>合同包1(</w:t>
      </w:r>
      <w:r>
        <w:rPr>
          <w:rFonts w:hint="eastAsia" w:ascii="微软雅黑" w:hAnsi="微软雅黑" w:eastAsia="微软雅黑" w:cs="微软雅黑"/>
          <w:i w:val="0"/>
          <w:iCs w:val="0"/>
          <w:caps w:val="0"/>
          <w:color w:val="auto"/>
          <w:spacing w:val="0"/>
          <w:sz w:val="21"/>
          <w:szCs w:val="21"/>
          <w:shd w:val="clear" w:color="auto" w:fill="auto"/>
          <w:lang w:eastAsia="zh-CN"/>
        </w:rPr>
        <w:t>白河人民医院彩色多普勒超声系统采购项目</w:t>
      </w:r>
      <w:r>
        <w:rPr>
          <w:rFonts w:ascii="微软雅黑" w:hAnsi="微软雅黑" w:eastAsia="微软雅黑" w:cs="微软雅黑"/>
          <w:i w:val="0"/>
          <w:iCs w:val="0"/>
          <w:caps w:val="0"/>
          <w:color w:val="auto"/>
          <w:spacing w:val="0"/>
          <w:sz w:val="21"/>
          <w:szCs w:val="21"/>
          <w:shd w:val="clear" w:color="auto" w:fill="auto"/>
        </w:rPr>
        <w:t>)落实政府采购政策需满足的资格要求如下:</w:t>
      </w:r>
    </w:p>
    <w:p w14:paraId="2F33F979">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（1）、《政府采购促进中小企业发展管理办法》（财库【2020】46号）；</w:t>
      </w:r>
    </w:p>
    <w:p w14:paraId="0C9CCDB3">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（2）、《财政部司法部关于政府采购支持监狱企业发展有关问题的通知》（财库【2014】68号）；</w:t>
      </w:r>
    </w:p>
    <w:p w14:paraId="4C96DDE8">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（3）、《国务院办公厅关于建立政府强制采购节能产品制度的通知》（国发办【2007】51号）；</w:t>
      </w:r>
    </w:p>
    <w:p w14:paraId="5E0E63F2">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（4）、《节能产品政府采购实施意见》（财库【2004】185号）；</w:t>
      </w:r>
    </w:p>
    <w:p w14:paraId="06F05B10">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（5）、《环境标志产品政府采购实施的意见》（财库【2006】90号）；</w:t>
      </w:r>
    </w:p>
    <w:p w14:paraId="39CEE0FE">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（6）、《三部门联合发布关于促进残疾人就业政府采购政策的通知》（财库【2017】141号）；</w:t>
      </w:r>
    </w:p>
    <w:p w14:paraId="605172E4">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（7）、《财政部发展改革委生态环境部市场监管总局关于调整优化节能产品、环境标志产品政府采购执行机制的通知》（财库〔2019〕9号）；</w:t>
      </w:r>
    </w:p>
    <w:p w14:paraId="161DFCA9">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（8）、《关于运用政府采购政策支持脱贫攻坚的通知》财库〔2019〕27号；</w:t>
      </w:r>
    </w:p>
    <w:p w14:paraId="3C27A957">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（9）、《陕西省财政厅关于加快推进我省中小企业政府采购信用融资工作的通知》（陕财办采〔2020〕15号）；</w:t>
      </w:r>
    </w:p>
    <w:p w14:paraId="1389EAA2">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420" w:firstLineChars="20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（10）、其他需要落实的政府采购政策。</w:t>
      </w:r>
    </w:p>
    <w:p w14:paraId="28326F02">
      <w:pPr>
        <w:ind w:firstLine="420" w:firstLineChars="200"/>
        <w:rPr>
          <w:rFonts w:hint="default"/>
          <w:lang w:val="en-US" w:eastAsia="zh-CN"/>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注：本项目非专门面向中小企业采购，供应商自行提供证明材料以享受相关政策优惠。</w:t>
      </w:r>
    </w:p>
    <w:p w14:paraId="0740CEF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3.本项目的特定资格要求：</w:t>
      </w:r>
    </w:p>
    <w:p w14:paraId="73F4630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合同包1(</w:t>
      </w:r>
      <w:r>
        <w:rPr>
          <w:rFonts w:hint="eastAsia" w:ascii="微软雅黑" w:hAnsi="微软雅黑" w:eastAsia="微软雅黑" w:cs="微软雅黑"/>
          <w:i w:val="0"/>
          <w:iCs w:val="0"/>
          <w:caps w:val="0"/>
          <w:color w:val="auto"/>
          <w:spacing w:val="0"/>
          <w:sz w:val="21"/>
          <w:szCs w:val="21"/>
          <w:shd w:val="clear" w:color="auto" w:fill="auto"/>
          <w:lang w:eastAsia="zh-CN"/>
        </w:rPr>
        <w:t>白河人民医院彩色多普勒超声系统采购项目</w:t>
      </w:r>
      <w:r>
        <w:rPr>
          <w:rFonts w:hint="eastAsia" w:ascii="微软雅黑" w:hAnsi="微软雅黑" w:eastAsia="微软雅黑" w:cs="微软雅黑"/>
          <w:i w:val="0"/>
          <w:iCs w:val="0"/>
          <w:caps w:val="0"/>
          <w:color w:val="auto"/>
          <w:spacing w:val="0"/>
          <w:sz w:val="21"/>
          <w:szCs w:val="21"/>
          <w:shd w:val="clear" w:color="auto" w:fill="auto"/>
        </w:rPr>
        <w:t>)特定资格要求如下:</w:t>
      </w:r>
    </w:p>
    <w:p w14:paraId="53C1DD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（1）具有独立承担民事责任能力的法人、其他组织或自然人，并出具合法有效的营业执照或事业单位法人证书等国家规定的相关证明，自然人参与的提供其身份证明。</w:t>
      </w:r>
    </w:p>
    <w:p w14:paraId="428807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（2）法定代表人授权书及被授权人身份证。（法定代表人直接投标只须提交其身份证复印件）。</w:t>
      </w:r>
    </w:p>
    <w:p w14:paraId="618518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（3）投标人须提供“信用中国”（www.creditchina.gov.cn）或“中国政府采购网”（www.ccgp.gov.cn）的信用信息查询记录(查询日期为从招标文件发售之日起至投标截止日前)，以网页截图加盖投标人公章为准。</w:t>
      </w:r>
    </w:p>
    <w:p w14:paraId="0FE7C8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（4）书面声明：投标人必须提供参加政府采购活动前3年内在经营活动中没有重大违法记录的书面声明。</w:t>
      </w:r>
    </w:p>
    <w:p w14:paraId="7FA2BF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（5）财务状况报告：提供2022年或2023年度经审计的财务审计报告或财务报表（成立时间至提交响应文件截止时间不足一年的可提供成立后任意时段的资产负债表）或其基本存款账户开户银行出具的资信证明。</w:t>
      </w:r>
    </w:p>
    <w:p w14:paraId="7A454E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（6）税收缴纳证明：提供2023年至今任意三个月缴纳的纳税证明或完税证明，依法免税的单位应提供相关证明材料，纳税证明或完税证明上应有代收机构或税务机关的公章或业务专用章。</w:t>
      </w:r>
    </w:p>
    <w:p w14:paraId="2BD4B4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7）社会保障资金缴纳证明：提供2023年至今任意三个月社会保障资金缴存单据或社保机构开具的社会保险参保缴费情况证明，依法不需要缴纳社会保障资金的单位应提供相关证明材料，单据或证明上应有社保机构或代收机构的印章。</w:t>
      </w:r>
    </w:p>
    <w:p w14:paraId="678939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8）投标单位为制造厂商的须提供医疗器械生产许可证及所投产品医疗器械注册证；投标单位为代理商的须提供医疗器械经营许可证或医疗器械经营备案凭证（投标产品须在其经营范围内）及所投产品医疗器械注册证（复印件加盖厂家公章）；</w:t>
      </w:r>
    </w:p>
    <w:p w14:paraId="2D3FEA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60" w:lineRule="auto"/>
        <w:ind w:left="0" w:right="0" w:firstLine="420" w:firstLineChars="200"/>
        <w:jc w:val="left"/>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（9）本项目不接受联合体投标。</w:t>
      </w:r>
    </w:p>
    <w:p w14:paraId="61359D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60" w:lineRule="auto"/>
        <w:ind w:left="0" w:right="0" w:firstLine="0"/>
        <w:jc w:val="left"/>
        <w:textAlignment w:val="auto"/>
        <w:rPr>
          <w:rFonts w:hint="eastAsia" w:ascii="微软雅黑" w:hAnsi="微软雅黑" w:eastAsia="微软雅黑" w:cs="微软雅黑"/>
          <w:b w:val="0"/>
          <w:bCs w:val="0"/>
          <w:i w:val="0"/>
          <w:iCs w:val="0"/>
          <w:caps w:val="0"/>
          <w:color w:val="auto"/>
          <w:spacing w:val="0"/>
          <w:sz w:val="21"/>
          <w:szCs w:val="21"/>
          <w:shd w:val="clear" w:color="auto" w:fill="auto"/>
        </w:rPr>
      </w:pPr>
      <w:r>
        <w:rPr>
          <w:rStyle w:val="23"/>
          <w:rFonts w:hint="eastAsia" w:ascii="微软雅黑" w:hAnsi="微软雅黑" w:eastAsia="微软雅黑" w:cs="微软雅黑"/>
          <w:b/>
          <w:bCs/>
          <w:i w:val="0"/>
          <w:iCs w:val="0"/>
          <w:caps w:val="0"/>
          <w:color w:val="auto"/>
          <w:spacing w:val="0"/>
          <w:sz w:val="21"/>
          <w:szCs w:val="21"/>
          <w:shd w:val="clear" w:color="auto" w:fill="auto"/>
        </w:rPr>
        <w:t>三、获取招标文件</w:t>
      </w:r>
    </w:p>
    <w:p w14:paraId="112962F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left"/>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时间：2024年</w:t>
      </w:r>
      <w:r>
        <w:rPr>
          <w:rFonts w:hint="eastAsia" w:ascii="微软雅黑" w:hAnsi="微软雅黑" w:eastAsia="微软雅黑" w:cs="微软雅黑"/>
          <w:i w:val="0"/>
          <w:iCs w:val="0"/>
          <w:caps w:val="0"/>
          <w:color w:val="auto"/>
          <w:spacing w:val="0"/>
          <w:sz w:val="21"/>
          <w:szCs w:val="21"/>
          <w:shd w:val="clear" w:color="auto" w:fill="auto"/>
          <w:lang w:val="en-US" w:eastAsia="zh-CN"/>
        </w:rPr>
        <w:t>11</w:t>
      </w:r>
      <w:r>
        <w:rPr>
          <w:rFonts w:hint="eastAsia" w:ascii="微软雅黑" w:hAnsi="微软雅黑" w:eastAsia="微软雅黑" w:cs="微软雅黑"/>
          <w:i w:val="0"/>
          <w:iCs w:val="0"/>
          <w:caps w:val="0"/>
          <w:color w:val="auto"/>
          <w:spacing w:val="0"/>
          <w:sz w:val="21"/>
          <w:szCs w:val="21"/>
          <w:shd w:val="clear" w:color="auto" w:fill="auto"/>
        </w:rPr>
        <w:t>月</w:t>
      </w:r>
      <w:r>
        <w:rPr>
          <w:rFonts w:hint="eastAsia" w:ascii="微软雅黑" w:hAnsi="微软雅黑" w:eastAsia="微软雅黑" w:cs="微软雅黑"/>
          <w:i w:val="0"/>
          <w:iCs w:val="0"/>
          <w:caps w:val="0"/>
          <w:color w:val="auto"/>
          <w:spacing w:val="0"/>
          <w:sz w:val="21"/>
          <w:szCs w:val="21"/>
          <w:shd w:val="clear" w:color="auto" w:fill="auto"/>
          <w:lang w:val="en-US" w:eastAsia="zh-CN"/>
        </w:rPr>
        <w:t>22</w:t>
      </w:r>
      <w:r>
        <w:rPr>
          <w:rFonts w:hint="eastAsia" w:ascii="微软雅黑" w:hAnsi="微软雅黑" w:eastAsia="微软雅黑" w:cs="微软雅黑"/>
          <w:i w:val="0"/>
          <w:iCs w:val="0"/>
          <w:caps w:val="0"/>
          <w:color w:val="auto"/>
          <w:spacing w:val="0"/>
          <w:sz w:val="21"/>
          <w:szCs w:val="21"/>
          <w:shd w:val="clear" w:color="auto" w:fill="auto"/>
        </w:rPr>
        <w:t>日至2024年</w:t>
      </w:r>
      <w:r>
        <w:rPr>
          <w:rFonts w:hint="eastAsia" w:ascii="微软雅黑" w:hAnsi="微软雅黑" w:eastAsia="微软雅黑" w:cs="微软雅黑"/>
          <w:i w:val="0"/>
          <w:iCs w:val="0"/>
          <w:caps w:val="0"/>
          <w:color w:val="auto"/>
          <w:spacing w:val="0"/>
          <w:sz w:val="21"/>
          <w:szCs w:val="21"/>
          <w:shd w:val="clear" w:color="auto" w:fill="auto"/>
          <w:lang w:val="en-US" w:eastAsia="zh-CN"/>
        </w:rPr>
        <w:t>11</w:t>
      </w:r>
      <w:r>
        <w:rPr>
          <w:rFonts w:hint="eastAsia" w:ascii="微软雅黑" w:hAnsi="微软雅黑" w:eastAsia="微软雅黑" w:cs="微软雅黑"/>
          <w:i w:val="0"/>
          <w:iCs w:val="0"/>
          <w:caps w:val="0"/>
          <w:color w:val="auto"/>
          <w:spacing w:val="0"/>
          <w:sz w:val="21"/>
          <w:szCs w:val="21"/>
          <w:shd w:val="clear" w:color="auto" w:fill="auto"/>
        </w:rPr>
        <w:t>月</w:t>
      </w:r>
      <w:r>
        <w:rPr>
          <w:rFonts w:hint="eastAsia" w:ascii="微软雅黑" w:hAnsi="微软雅黑" w:eastAsia="微软雅黑" w:cs="微软雅黑"/>
          <w:i w:val="0"/>
          <w:iCs w:val="0"/>
          <w:caps w:val="0"/>
          <w:color w:val="auto"/>
          <w:spacing w:val="0"/>
          <w:sz w:val="21"/>
          <w:szCs w:val="21"/>
          <w:shd w:val="clear" w:color="auto" w:fill="auto"/>
          <w:lang w:val="en-US" w:eastAsia="zh-CN"/>
        </w:rPr>
        <w:t>28</w:t>
      </w:r>
      <w:r>
        <w:rPr>
          <w:rFonts w:hint="eastAsia" w:ascii="微软雅黑" w:hAnsi="微软雅黑" w:eastAsia="微软雅黑" w:cs="微软雅黑"/>
          <w:i w:val="0"/>
          <w:iCs w:val="0"/>
          <w:caps w:val="0"/>
          <w:color w:val="auto"/>
          <w:spacing w:val="0"/>
          <w:sz w:val="21"/>
          <w:szCs w:val="21"/>
          <w:shd w:val="clear" w:color="auto" w:fill="auto"/>
        </w:rPr>
        <w:t>日，每天上午09:00:00至12:00:00，下午12:00:00至18:00:00（北京时间）</w:t>
      </w:r>
    </w:p>
    <w:p w14:paraId="0C991B2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途径：陕西省公共资源交易网平台（陕西省.安康市）</w:t>
      </w:r>
    </w:p>
    <w:p w14:paraId="607BD5F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方式：在线获取</w:t>
      </w:r>
    </w:p>
    <w:p w14:paraId="377C262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售价： 0元</w:t>
      </w:r>
    </w:p>
    <w:p w14:paraId="4C39A1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60" w:lineRule="auto"/>
        <w:ind w:left="0" w:right="0" w:firstLine="0"/>
        <w:jc w:val="left"/>
        <w:textAlignment w:val="auto"/>
        <w:rPr>
          <w:rFonts w:hint="eastAsia" w:ascii="微软雅黑" w:hAnsi="微软雅黑" w:eastAsia="微软雅黑" w:cs="微软雅黑"/>
          <w:b w:val="0"/>
          <w:bCs w:val="0"/>
          <w:i w:val="0"/>
          <w:iCs w:val="0"/>
          <w:caps w:val="0"/>
          <w:color w:val="auto"/>
          <w:spacing w:val="0"/>
          <w:sz w:val="21"/>
          <w:szCs w:val="21"/>
          <w:shd w:val="clear" w:color="auto" w:fill="auto"/>
        </w:rPr>
      </w:pPr>
      <w:r>
        <w:rPr>
          <w:rStyle w:val="23"/>
          <w:rFonts w:hint="eastAsia" w:ascii="微软雅黑" w:hAnsi="微软雅黑" w:eastAsia="微软雅黑" w:cs="微软雅黑"/>
          <w:b/>
          <w:bCs/>
          <w:i w:val="0"/>
          <w:iCs w:val="0"/>
          <w:caps w:val="0"/>
          <w:color w:val="auto"/>
          <w:spacing w:val="0"/>
          <w:sz w:val="21"/>
          <w:szCs w:val="21"/>
          <w:shd w:val="clear" w:color="auto" w:fill="auto"/>
        </w:rPr>
        <w:t>四、提交投标文件截止时间、开标时间和地点</w:t>
      </w:r>
    </w:p>
    <w:p w14:paraId="7787DE8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时间： 202</w:t>
      </w:r>
      <w:r>
        <w:rPr>
          <w:rFonts w:hint="eastAsia" w:ascii="微软雅黑" w:hAnsi="微软雅黑" w:eastAsia="微软雅黑" w:cs="微软雅黑"/>
          <w:i w:val="0"/>
          <w:iCs w:val="0"/>
          <w:caps w:val="0"/>
          <w:color w:val="auto"/>
          <w:spacing w:val="0"/>
          <w:sz w:val="21"/>
          <w:szCs w:val="21"/>
          <w:shd w:val="clear" w:color="auto" w:fill="auto"/>
          <w:lang w:val="en-US" w:eastAsia="zh-CN"/>
        </w:rPr>
        <w:t>4</w:t>
      </w:r>
      <w:r>
        <w:rPr>
          <w:rFonts w:hint="eastAsia" w:ascii="微软雅黑" w:hAnsi="微软雅黑" w:eastAsia="微软雅黑" w:cs="微软雅黑"/>
          <w:i w:val="0"/>
          <w:iCs w:val="0"/>
          <w:caps w:val="0"/>
          <w:color w:val="auto"/>
          <w:spacing w:val="0"/>
          <w:sz w:val="21"/>
          <w:szCs w:val="21"/>
          <w:shd w:val="clear" w:color="auto" w:fill="auto"/>
        </w:rPr>
        <w:t>年</w:t>
      </w:r>
      <w:r>
        <w:rPr>
          <w:rFonts w:hint="eastAsia" w:ascii="微软雅黑" w:hAnsi="微软雅黑" w:eastAsia="微软雅黑" w:cs="微软雅黑"/>
          <w:i w:val="0"/>
          <w:iCs w:val="0"/>
          <w:caps w:val="0"/>
          <w:color w:val="auto"/>
          <w:spacing w:val="0"/>
          <w:sz w:val="21"/>
          <w:szCs w:val="21"/>
          <w:shd w:val="clear" w:color="auto" w:fill="auto"/>
          <w:lang w:val="en-US" w:eastAsia="zh-CN"/>
        </w:rPr>
        <w:t>12月12日14</w:t>
      </w:r>
      <w:r>
        <w:rPr>
          <w:rFonts w:hint="eastAsia" w:ascii="微软雅黑" w:hAnsi="微软雅黑" w:eastAsia="微软雅黑" w:cs="微软雅黑"/>
          <w:i w:val="0"/>
          <w:iCs w:val="0"/>
          <w:caps w:val="0"/>
          <w:color w:val="auto"/>
          <w:spacing w:val="0"/>
          <w:sz w:val="21"/>
          <w:szCs w:val="21"/>
          <w:shd w:val="clear" w:color="auto" w:fill="auto"/>
        </w:rPr>
        <w:t>时00分00秒 （北京时间）</w:t>
      </w:r>
    </w:p>
    <w:p w14:paraId="08988F7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提交投标文件地点：安康市公共资源交易网平台</w:t>
      </w:r>
    </w:p>
    <w:p w14:paraId="168B285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开标地点：安康市公共资源交易中心</w:t>
      </w:r>
    </w:p>
    <w:p w14:paraId="3E5016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60" w:lineRule="auto"/>
        <w:ind w:left="0" w:right="0" w:firstLine="0"/>
        <w:jc w:val="left"/>
        <w:textAlignment w:val="auto"/>
        <w:rPr>
          <w:rFonts w:hint="eastAsia" w:ascii="微软雅黑" w:hAnsi="微软雅黑" w:eastAsia="微软雅黑" w:cs="微软雅黑"/>
          <w:b w:val="0"/>
          <w:bCs w:val="0"/>
          <w:i w:val="0"/>
          <w:iCs w:val="0"/>
          <w:caps w:val="0"/>
          <w:color w:val="auto"/>
          <w:spacing w:val="0"/>
          <w:sz w:val="21"/>
          <w:szCs w:val="21"/>
          <w:shd w:val="clear" w:color="auto" w:fill="auto"/>
        </w:rPr>
      </w:pPr>
      <w:r>
        <w:rPr>
          <w:rStyle w:val="23"/>
          <w:rFonts w:hint="eastAsia" w:ascii="微软雅黑" w:hAnsi="微软雅黑" w:eastAsia="微软雅黑" w:cs="微软雅黑"/>
          <w:b/>
          <w:bCs/>
          <w:i w:val="0"/>
          <w:iCs w:val="0"/>
          <w:caps w:val="0"/>
          <w:color w:val="auto"/>
          <w:spacing w:val="0"/>
          <w:sz w:val="21"/>
          <w:szCs w:val="21"/>
          <w:shd w:val="clear" w:color="auto" w:fill="auto"/>
        </w:rPr>
        <w:t>五、公告期限</w:t>
      </w:r>
    </w:p>
    <w:p w14:paraId="0E04175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自本公告发布之日起5个工作日。</w:t>
      </w:r>
    </w:p>
    <w:p w14:paraId="231139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60" w:lineRule="auto"/>
        <w:ind w:left="0" w:right="0" w:firstLine="0"/>
        <w:jc w:val="left"/>
        <w:textAlignment w:val="auto"/>
        <w:rPr>
          <w:rFonts w:hint="eastAsia" w:ascii="微软雅黑" w:hAnsi="微软雅黑" w:eastAsia="微软雅黑" w:cs="微软雅黑"/>
          <w:b w:val="0"/>
          <w:bCs w:val="0"/>
          <w:i w:val="0"/>
          <w:iCs w:val="0"/>
          <w:caps w:val="0"/>
          <w:color w:val="auto"/>
          <w:spacing w:val="0"/>
          <w:sz w:val="21"/>
          <w:szCs w:val="21"/>
          <w:shd w:val="clear" w:color="auto" w:fill="auto"/>
        </w:rPr>
      </w:pPr>
      <w:r>
        <w:rPr>
          <w:rStyle w:val="23"/>
          <w:rFonts w:hint="eastAsia" w:ascii="微软雅黑" w:hAnsi="微软雅黑" w:eastAsia="微软雅黑" w:cs="微软雅黑"/>
          <w:b/>
          <w:bCs/>
          <w:i w:val="0"/>
          <w:iCs w:val="0"/>
          <w:caps w:val="0"/>
          <w:color w:val="auto"/>
          <w:spacing w:val="0"/>
          <w:sz w:val="21"/>
          <w:szCs w:val="21"/>
          <w:shd w:val="clear" w:color="auto" w:fill="auto"/>
        </w:rPr>
        <w:t>六、其他补充事宜</w:t>
      </w:r>
    </w:p>
    <w:p w14:paraId="1EE68B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Lines="0" w:beforeAutospacing="0" w:after="0" w:afterLines="0" w:afterAutospacing="0" w:line="360" w:lineRule="auto"/>
        <w:ind w:left="0" w:right="0" w:firstLine="482"/>
        <w:jc w:val="left"/>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采购文件获取须知：1、投标人使用捆绑 CA 证书登录安康市公共资源交易中心 (http://ak.sxggzyjy.cn/ ) ，选择本项目点击“我要投标”完善相关投标信息。 2.下载文件：投标人完善相关投标信息后，登录安康市公共资源交易中心 (http://ak.sxggzyjy.c n/ ) ，选择“交易乙方”身份进入投标人界面选择“我的项目”下载招标文件；3、本项目采用不见面开标，电子化投标方式投标，相关操作流程详见全国公共资源交易平台（陕西省）网站[服务指南-下载专区]中的《陕西省公共资源交易中心政府采购项目投标指南》。4、电子投标文件技术支持：4009280095、4009980000。</w:t>
      </w:r>
    </w:p>
    <w:p w14:paraId="2DD51B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150" w:beforeAutospacing="0" w:after="0" w:afterAutospacing="0" w:line="360" w:lineRule="auto"/>
        <w:ind w:left="0" w:right="0" w:firstLine="0"/>
        <w:jc w:val="left"/>
        <w:textAlignment w:val="auto"/>
        <w:rPr>
          <w:rFonts w:hint="eastAsia" w:ascii="微软雅黑" w:hAnsi="微软雅黑" w:eastAsia="微软雅黑" w:cs="微软雅黑"/>
          <w:b w:val="0"/>
          <w:bCs w:val="0"/>
          <w:i w:val="0"/>
          <w:iCs w:val="0"/>
          <w:caps w:val="0"/>
          <w:color w:val="auto"/>
          <w:spacing w:val="0"/>
          <w:sz w:val="21"/>
          <w:szCs w:val="21"/>
          <w:shd w:val="clear" w:color="auto" w:fill="auto"/>
        </w:rPr>
      </w:pPr>
      <w:r>
        <w:rPr>
          <w:rStyle w:val="23"/>
          <w:rFonts w:hint="eastAsia" w:ascii="微软雅黑" w:hAnsi="微软雅黑" w:eastAsia="微软雅黑" w:cs="微软雅黑"/>
          <w:b/>
          <w:bCs/>
          <w:i w:val="0"/>
          <w:iCs w:val="0"/>
          <w:caps w:val="0"/>
          <w:color w:val="auto"/>
          <w:spacing w:val="0"/>
          <w:sz w:val="21"/>
          <w:szCs w:val="21"/>
          <w:shd w:val="clear" w:color="auto" w:fill="auto"/>
        </w:rPr>
        <w:t>七、对本次招标提出询问，请按以下方式联系。</w:t>
      </w:r>
    </w:p>
    <w:p w14:paraId="537260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auto"/>
        <w:rPr>
          <w:rFonts w:hint="eastAsia" w:ascii="微软雅黑" w:hAnsi="微软雅黑" w:eastAsia="微软雅黑" w:cs="微软雅黑"/>
          <w:b w:val="0"/>
          <w:bCs w:val="0"/>
          <w:color w:val="auto"/>
          <w:sz w:val="21"/>
          <w:szCs w:val="21"/>
          <w:shd w:val="clear" w:color="auto" w:fill="auto"/>
        </w:rPr>
      </w:pPr>
      <w:r>
        <w:rPr>
          <w:rFonts w:hint="eastAsia" w:ascii="微软雅黑" w:hAnsi="微软雅黑" w:eastAsia="微软雅黑" w:cs="微软雅黑"/>
          <w:b w:val="0"/>
          <w:bCs w:val="0"/>
          <w:i w:val="0"/>
          <w:iCs w:val="0"/>
          <w:caps w:val="0"/>
          <w:color w:val="auto"/>
          <w:spacing w:val="0"/>
          <w:sz w:val="21"/>
          <w:szCs w:val="21"/>
          <w:shd w:val="clear" w:color="auto" w:fill="auto"/>
        </w:rPr>
        <w:t>1.采购人信息</w:t>
      </w:r>
    </w:p>
    <w:p w14:paraId="5E1F655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color w:val="auto"/>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rPr>
        <w:t>名称：白河县人民医院</w:t>
      </w:r>
    </w:p>
    <w:p w14:paraId="1834FBF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color w:val="auto"/>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rPr>
        <w:t>地址：白河县城关镇书院北路18号</w:t>
      </w:r>
    </w:p>
    <w:p w14:paraId="10864E4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微软雅黑" w:hAnsi="微软雅黑" w:eastAsia="微软雅黑" w:cs="微软雅黑"/>
          <w:color w:val="auto"/>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rPr>
        <w:t>联系方式：18909158699</w:t>
      </w:r>
    </w:p>
    <w:p w14:paraId="065710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auto"/>
        <w:rPr>
          <w:rFonts w:hint="eastAsia" w:ascii="微软雅黑" w:hAnsi="微软雅黑" w:eastAsia="微软雅黑" w:cs="微软雅黑"/>
          <w:b w:val="0"/>
          <w:bCs w:val="0"/>
          <w:color w:val="auto"/>
          <w:sz w:val="21"/>
          <w:szCs w:val="21"/>
          <w:shd w:val="clear" w:color="auto" w:fill="auto"/>
        </w:rPr>
      </w:pPr>
      <w:r>
        <w:rPr>
          <w:rFonts w:hint="eastAsia" w:ascii="微软雅黑" w:hAnsi="微软雅黑" w:eastAsia="微软雅黑" w:cs="微软雅黑"/>
          <w:b w:val="0"/>
          <w:bCs w:val="0"/>
          <w:i w:val="0"/>
          <w:iCs w:val="0"/>
          <w:caps w:val="0"/>
          <w:color w:val="auto"/>
          <w:spacing w:val="0"/>
          <w:sz w:val="21"/>
          <w:szCs w:val="21"/>
          <w:shd w:val="clear" w:color="auto" w:fill="auto"/>
        </w:rPr>
        <w:t>2.采购代理机构信息</w:t>
      </w:r>
    </w:p>
    <w:p w14:paraId="08A6F6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名称：陕西顶诚招标有限公司</w:t>
      </w:r>
    </w:p>
    <w:p w14:paraId="69B4EC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360" w:lineRule="auto"/>
        <w:ind w:left="0" w:right="0" w:firstLine="48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地址：陕西省西安市灞桥区长乐东路2999号京都国际3号楼1506号房</w:t>
      </w:r>
    </w:p>
    <w:p w14:paraId="3B4DFC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360" w:lineRule="auto"/>
        <w:ind w:left="0" w:right="0" w:firstLine="480"/>
        <w:jc w:val="both"/>
        <w:textAlignment w:val="auto"/>
        <w:rPr>
          <w:rFonts w:hint="default"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联系方式：029-83479858-802</w:t>
      </w:r>
    </w:p>
    <w:p w14:paraId="1BF23D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360" w:lineRule="auto"/>
        <w:ind w:right="0"/>
        <w:jc w:val="both"/>
        <w:textAlignment w:val="auto"/>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3.项目联系方式</w:t>
      </w:r>
    </w:p>
    <w:p w14:paraId="6E221E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360" w:lineRule="auto"/>
        <w:ind w:left="0" w:right="0" w:firstLine="480"/>
        <w:jc w:val="both"/>
        <w:textAlignment w:val="auto"/>
        <w:rPr>
          <w:rFonts w:hint="default"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项目联系人：袁工</w:t>
      </w:r>
    </w:p>
    <w:p w14:paraId="4A5784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360" w:lineRule="auto"/>
        <w:ind w:left="0" w:right="0" w:firstLine="480"/>
        <w:jc w:val="both"/>
        <w:textAlignment w:val="auto"/>
        <w:rPr>
          <w:rFonts w:hint="default" w:ascii="微软雅黑" w:hAnsi="微软雅黑" w:eastAsia="微软雅黑" w:cs="微软雅黑"/>
          <w:i w:val="0"/>
          <w:iCs w:val="0"/>
          <w:caps w:val="0"/>
          <w:color w:val="auto"/>
          <w:spacing w:val="0"/>
          <w:kern w:val="0"/>
          <w:sz w:val="21"/>
          <w:szCs w:val="21"/>
          <w:shd w:val="clear" w:color="auto" w:fill="auto"/>
          <w:lang w:val="en-US" w:eastAsia="zh-CN" w:bidi="ar-SA"/>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SA"/>
        </w:rPr>
        <w:t>电话：029-83479858-802</w:t>
      </w:r>
    </w:p>
    <w:p w14:paraId="29C48DCA">
      <w:pPr>
        <w:jc w:val="right"/>
        <w:rPr>
          <w:rFonts w:hint="eastAsia" w:ascii="微软雅黑" w:hAnsi="微软雅黑" w:eastAsia="微软雅黑" w:cs="微软雅黑"/>
          <w:i w:val="0"/>
          <w:iCs w:val="0"/>
          <w:caps w:val="0"/>
          <w:color w:val="auto"/>
          <w:spacing w:val="0"/>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lang w:eastAsia="zh-CN"/>
        </w:rPr>
        <w:t>陕西顶诚招标有限公司</w:t>
      </w:r>
    </w:p>
    <w:p w14:paraId="6F3EB242">
      <w:pPr>
        <w:pStyle w:val="35"/>
        <w:jc w:val="right"/>
        <w:rPr>
          <w:rFonts w:hint="default" w:eastAsia="微软雅黑"/>
          <w:color w:val="auto"/>
          <w:shd w:val="clear" w:color="auto" w:fill="auto"/>
          <w:lang w:val="en-US" w:eastAsia="zh-CN"/>
        </w:rPr>
      </w:pPr>
      <w:r>
        <w:rPr>
          <w:rFonts w:hint="eastAsia" w:ascii="微软雅黑" w:hAnsi="微软雅黑" w:eastAsia="微软雅黑" w:cs="微软雅黑"/>
          <w:i w:val="0"/>
          <w:iCs w:val="0"/>
          <w:caps w:val="0"/>
          <w:color w:val="auto"/>
          <w:spacing w:val="0"/>
          <w:sz w:val="21"/>
          <w:szCs w:val="21"/>
          <w:shd w:val="clear" w:color="auto" w:fill="auto"/>
          <w:lang w:val="en-US" w:eastAsia="zh-CN"/>
        </w:rPr>
        <w:t>2024年11月21日</w:t>
      </w:r>
    </w:p>
    <w:p w14:paraId="78736F4D">
      <w:pPr>
        <w:rPr>
          <w:color w:val="auto"/>
          <w:shd w:val="clear" w:color="auto" w:fill="auto"/>
        </w:rPr>
      </w:pPr>
    </w:p>
    <w:p w14:paraId="745A1E37">
      <w:pPr>
        <w:rPr>
          <w:rFonts w:hint="eastAsia" w:ascii="微软雅黑" w:hAnsi="微软雅黑" w:eastAsia="微软雅黑" w:cs="微软雅黑"/>
          <w:i w:val="0"/>
          <w:iCs w:val="0"/>
          <w:caps w:val="0"/>
          <w:color w:val="auto"/>
          <w:spacing w:val="0"/>
          <w:sz w:val="21"/>
          <w:szCs w:val="21"/>
          <w:shd w:val="clear" w:fill="FFFFFF"/>
          <w:lang w:eastAsia="zh-CN"/>
        </w:rPr>
      </w:pPr>
      <w:r>
        <w:rPr>
          <w:rFonts w:hint="eastAsia" w:ascii="微软雅黑" w:hAnsi="微软雅黑" w:eastAsia="微软雅黑" w:cs="微软雅黑"/>
          <w:i w:val="0"/>
          <w:iCs w:val="0"/>
          <w:caps w:val="0"/>
          <w:color w:val="auto"/>
          <w:spacing w:val="0"/>
          <w:sz w:val="21"/>
          <w:szCs w:val="21"/>
          <w:shd w:val="clear" w:fill="FFFFFF"/>
          <w:lang w:eastAsia="zh-CN"/>
        </w:rPr>
        <w:br w:type="page"/>
      </w:r>
    </w:p>
    <w:p w14:paraId="26CD72FF">
      <w:pPr>
        <w:pageBreakBefore w:val="0"/>
        <w:kinsoku/>
        <w:wordWrap/>
        <w:overflowPunct/>
        <w:topLinePunct w:val="0"/>
        <w:autoSpaceDE/>
        <w:autoSpaceDN/>
        <w:bidi w:val="0"/>
        <w:adjustRightInd/>
        <w:snapToGrid w:val="0"/>
        <w:jc w:val="center"/>
        <w:textAlignment w:val="auto"/>
        <w:rPr>
          <w:rStyle w:val="38"/>
          <w:rFonts w:hint="eastAsia" w:ascii="宋体" w:hAnsi="宋体" w:eastAsia="宋体" w:cs="宋体"/>
          <w:color w:val="auto"/>
          <w:sz w:val="36"/>
          <w:szCs w:val="36"/>
          <w:highlight w:val="none"/>
        </w:rPr>
      </w:pPr>
      <w:r>
        <w:rPr>
          <w:rStyle w:val="38"/>
          <w:rFonts w:hint="eastAsia" w:ascii="宋体" w:hAnsi="宋体" w:eastAsia="宋体" w:cs="宋体"/>
          <w:color w:val="auto"/>
          <w:sz w:val="36"/>
          <w:szCs w:val="36"/>
          <w:highlight w:val="none"/>
        </w:rPr>
        <w:t xml:space="preserve">第二章  </w:t>
      </w:r>
      <w:bookmarkEnd w:id="15"/>
      <w:bookmarkEnd w:id="16"/>
      <w:r>
        <w:rPr>
          <w:rStyle w:val="38"/>
          <w:rFonts w:hint="eastAsia" w:ascii="宋体" w:hAnsi="宋体" w:eastAsia="宋体" w:cs="宋体"/>
          <w:color w:val="auto"/>
          <w:sz w:val="36"/>
          <w:szCs w:val="36"/>
          <w:highlight w:val="none"/>
        </w:rPr>
        <w:t>投标人须知</w:t>
      </w:r>
      <w:bookmarkEnd w:id="17"/>
    </w:p>
    <w:bookmarkEnd w:id="18"/>
    <w:p w14:paraId="1B9474A5">
      <w:pPr>
        <w:pStyle w:val="4"/>
        <w:pageBreakBefore w:val="0"/>
        <w:kinsoku/>
        <w:wordWrap/>
        <w:overflowPunct/>
        <w:topLinePunct w:val="0"/>
        <w:autoSpaceDE/>
        <w:autoSpaceDN/>
        <w:bidi w:val="0"/>
        <w:adjustRightInd/>
        <w:snapToGrid w:val="0"/>
        <w:spacing w:before="120" w:after="120"/>
        <w:jc w:val="center"/>
        <w:textAlignment w:val="auto"/>
        <w:rPr>
          <w:rFonts w:hint="eastAsia" w:ascii="宋体" w:hAnsi="宋体" w:eastAsia="宋体" w:cs="宋体"/>
          <w:color w:val="auto"/>
          <w:sz w:val="32"/>
          <w:highlight w:val="none"/>
        </w:rPr>
      </w:pPr>
      <w:bookmarkStart w:id="19" w:name="_Toc426457693"/>
      <w:bookmarkStart w:id="20" w:name="_Toc11975"/>
      <w:bookmarkStart w:id="21" w:name="_Toc23108"/>
      <w:bookmarkStart w:id="22" w:name="_Toc30222"/>
      <w:r>
        <w:rPr>
          <w:rFonts w:hint="eastAsia" w:ascii="宋体" w:hAnsi="宋体" w:eastAsia="宋体" w:cs="宋体"/>
          <w:color w:val="auto"/>
          <w:sz w:val="32"/>
          <w:highlight w:val="none"/>
        </w:rPr>
        <w:t>投标人须知前附表</w:t>
      </w:r>
      <w:bookmarkEnd w:id="19"/>
      <w:bookmarkEnd w:id="20"/>
      <w:bookmarkEnd w:id="21"/>
      <w:bookmarkEnd w:id="22"/>
    </w:p>
    <w:tbl>
      <w:tblPr>
        <w:tblStyle w:val="20"/>
        <w:tblW w:w="920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72"/>
        <w:gridCol w:w="1850"/>
        <w:gridCol w:w="6685"/>
      </w:tblGrid>
      <w:tr w14:paraId="7FD57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99" w:hRule="atLeast"/>
          <w:jc w:val="center"/>
        </w:trPr>
        <w:tc>
          <w:tcPr>
            <w:tcW w:w="672" w:type="dxa"/>
            <w:noWrap w:val="0"/>
            <w:vAlign w:val="center"/>
          </w:tcPr>
          <w:p w14:paraId="410CDCA9">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850" w:type="dxa"/>
            <w:noWrap w:val="0"/>
            <w:vAlign w:val="center"/>
          </w:tcPr>
          <w:p w14:paraId="077E5641">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内容</w:t>
            </w:r>
          </w:p>
        </w:tc>
        <w:tc>
          <w:tcPr>
            <w:tcW w:w="6685" w:type="dxa"/>
            <w:noWrap w:val="0"/>
            <w:vAlign w:val="center"/>
          </w:tcPr>
          <w:p w14:paraId="229F36C7">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说明和要求</w:t>
            </w:r>
          </w:p>
        </w:tc>
      </w:tr>
      <w:tr w14:paraId="6A3F3C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3" w:hRule="atLeast"/>
          <w:jc w:val="center"/>
        </w:trPr>
        <w:tc>
          <w:tcPr>
            <w:tcW w:w="672" w:type="dxa"/>
            <w:noWrap w:val="0"/>
            <w:vAlign w:val="center"/>
          </w:tcPr>
          <w:p w14:paraId="395F8264">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c>
          <w:tcPr>
            <w:tcW w:w="1850" w:type="dxa"/>
            <w:noWrap w:val="0"/>
            <w:vAlign w:val="center"/>
          </w:tcPr>
          <w:p w14:paraId="6FD37035">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采购人</w:t>
            </w:r>
          </w:p>
        </w:tc>
        <w:tc>
          <w:tcPr>
            <w:tcW w:w="6685" w:type="dxa"/>
            <w:noWrap w:val="0"/>
            <w:vAlign w:val="center"/>
          </w:tcPr>
          <w:p w14:paraId="35AFBFCF">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白河县人民医院</w:t>
            </w:r>
          </w:p>
        </w:tc>
      </w:tr>
      <w:tr w14:paraId="0AF852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803" w:hRule="atLeast"/>
          <w:jc w:val="center"/>
        </w:trPr>
        <w:tc>
          <w:tcPr>
            <w:tcW w:w="672" w:type="dxa"/>
            <w:noWrap w:val="0"/>
            <w:vAlign w:val="center"/>
          </w:tcPr>
          <w:p w14:paraId="584B83C2">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850" w:type="dxa"/>
            <w:noWrap w:val="0"/>
            <w:vAlign w:val="center"/>
          </w:tcPr>
          <w:p w14:paraId="33791B6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采购代理机构</w:t>
            </w:r>
          </w:p>
        </w:tc>
        <w:tc>
          <w:tcPr>
            <w:tcW w:w="6685" w:type="dxa"/>
            <w:noWrap w:val="0"/>
            <w:vAlign w:val="center"/>
          </w:tcPr>
          <w:p w14:paraId="7F1EB3C0">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采购代理机构名称：</w:t>
            </w:r>
            <w:r>
              <w:rPr>
                <w:rFonts w:hint="eastAsia" w:ascii="宋体" w:hAnsi="宋体" w:eastAsia="宋体" w:cs="宋体"/>
                <w:color w:val="auto"/>
                <w:sz w:val="24"/>
                <w:szCs w:val="24"/>
                <w:highlight w:val="none"/>
                <w:lang w:eastAsia="zh-CN"/>
              </w:rPr>
              <w:t>陕西顶诚招标有限公司</w:t>
            </w:r>
          </w:p>
          <w:p w14:paraId="64AD3FF2">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陕西省西安市灞桥区长乐东路2999号京都国际3号楼1506号房</w:t>
            </w:r>
          </w:p>
          <w:p w14:paraId="128D8246">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项目联系人：袁工</w:t>
            </w:r>
          </w:p>
          <w:p w14:paraId="57F07BA0">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电话：029-83479858-802</w:t>
            </w:r>
          </w:p>
        </w:tc>
      </w:tr>
      <w:tr w14:paraId="6E3227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3" w:hRule="atLeast"/>
          <w:jc w:val="center"/>
        </w:trPr>
        <w:tc>
          <w:tcPr>
            <w:tcW w:w="672" w:type="dxa"/>
            <w:noWrap w:val="0"/>
            <w:vAlign w:val="center"/>
          </w:tcPr>
          <w:p w14:paraId="2A79464F">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850" w:type="dxa"/>
            <w:noWrap w:val="0"/>
            <w:vAlign w:val="center"/>
          </w:tcPr>
          <w:p w14:paraId="4E7BC01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采购项目名称</w:t>
            </w:r>
          </w:p>
        </w:tc>
        <w:tc>
          <w:tcPr>
            <w:tcW w:w="6685" w:type="dxa"/>
            <w:noWrap w:val="0"/>
            <w:vAlign w:val="center"/>
          </w:tcPr>
          <w:p w14:paraId="1D05AE29">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白河人民医院彩色多普勒超声系统采购项目</w:t>
            </w:r>
          </w:p>
        </w:tc>
      </w:tr>
      <w:tr w14:paraId="3E929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3" w:hRule="atLeast"/>
          <w:jc w:val="center"/>
        </w:trPr>
        <w:tc>
          <w:tcPr>
            <w:tcW w:w="672" w:type="dxa"/>
            <w:noWrap w:val="0"/>
            <w:vAlign w:val="center"/>
          </w:tcPr>
          <w:p w14:paraId="7D316CD9">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850" w:type="dxa"/>
            <w:noWrap w:val="0"/>
            <w:vAlign w:val="center"/>
          </w:tcPr>
          <w:p w14:paraId="3489A754">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采购项目编号</w:t>
            </w:r>
          </w:p>
        </w:tc>
        <w:tc>
          <w:tcPr>
            <w:tcW w:w="6685" w:type="dxa"/>
            <w:noWrap w:val="0"/>
            <w:vAlign w:val="center"/>
          </w:tcPr>
          <w:p w14:paraId="6FF3B65A">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DCZB-2024-AK-2041</w:t>
            </w:r>
          </w:p>
        </w:tc>
      </w:tr>
      <w:tr w14:paraId="223D6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3" w:hRule="atLeast"/>
          <w:jc w:val="center"/>
        </w:trPr>
        <w:tc>
          <w:tcPr>
            <w:tcW w:w="672" w:type="dxa"/>
            <w:noWrap w:val="0"/>
            <w:vAlign w:val="center"/>
          </w:tcPr>
          <w:p w14:paraId="6B789635">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850" w:type="dxa"/>
            <w:noWrap w:val="0"/>
            <w:vAlign w:val="center"/>
          </w:tcPr>
          <w:p w14:paraId="761EFCC6">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资金来源</w:t>
            </w:r>
          </w:p>
        </w:tc>
        <w:tc>
          <w:tcPr>
            <w:tcW w:w="6685" w:type="dxa"/>
            <w:noWrap w:val="0"/>
            <w:vAlign w:val="center"/>
          </w:tcPr>
          <w:p w14:paraId="69A5A1D5">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预算资金</w:t>
            </w:r>
          </w:p>
        </w:tc>
      </w:tr>
      <w:tr w14:paraId="35CAF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8" w:hRule="atLeast"/>
          <w:jc w:val="center"/>
        </w:trPr>
        <w:tc>
          <w:tcPr>
            <w:tcW w:w="672" w:type="dxa"/>
            <w:noWrap w:val="0"/>
            <w:vAlign w:val="center"/>
          </w:tcPr>
          <w:p w14:paraId="77C49D6E">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850" w:type="dxa"/>
            <w:noWrap w:val="0"/>
            <w:vAlign w:val="center"/>
          </w:tcPr>
          <w:p w14:paraId="217F125E">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采购预算金额</w:t>
            </w:r>
          </w:p>
          <w:p w14:paraId="775D3A2F">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（最高限价）</w:t>
            </w:r>
          </w:p>
        </w:tc>
        <w:tc>
          <w:tcPr>
            <w:tcW w:w="6685" w:type="dxa"/>
            <w:noWrap w:val="0"/>
            <w:vAlign w:val="center"/>
          </w:tcPr>
          <w:p w14:paraId="705EF809">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本项目采购预算金额（最高限价）为：1000000.00元</w:t>
            </w:r>
          </w:p>
          <w:p w14:paraId="67BDBE4C">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供应商报价大于采购预算金额或最高限价，作为不实质性响应招标文件，按无效投标处理。</w:t>
            </w:r>
          </w:p>
        </w:tc>
      </w:tr>
      <w:tr w14:paraId="7A7FC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5" w:hRule="atLeast"/>
          <w:jc w:val="center"/>
        </w:trPr>
        <w:tc>
          <w:tcPr>
            <w:tcW w:w="672" w:type="dxa"/>
            <w:noWrap w:val="0"/>
            <w:vAlign w:val="center"/>
          </w:tcPr>
          <w:p w14:paraId="5DB35BA3">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1850" w:type="dxa"/>
            <w:noWrap w:val="0"/>
            <w:vAlign w:val="center"/>
          </w:tcPr>
          <w:p w14:paraId="6A3C050D">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项目用途</w:t>
            </w:r>
          </w:p>
        </w:tc>
        <w:tc>
          <w:tcPr>
            <w:tcW w:w="6685" w:type="dxa"/>
            <w:noWrap w:val="0"/>
            <w:vAlign w:val="center"/>
          </w:tcPr>
          <w:p w14:paraId="2E2FB2BD">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自用</w:t>
            </w:r>
          </w:p>
        </w:tc>
      </w:tr>
      <w:tr w14:paraId="5C8A46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1" w:hRule="atLeast"/>
          <w:jc w:val="center"/>
        </w:trPr>
        <w:tc>
          <w:tcPr>
            <w:tcW w:w="672" w:type="dxa"/>
            <w:noWrap w:val="0"/>
            <w:vAlign w:val="center"/>
          </w:tcPr>
          <w:p w14:paraId="36CA1095">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1850" w:type="dxa"/>
            <w:noWrap w:val="0"/>
            <w:vAlign w:val="center"/>
          </w:tcPr>
          <w:p w14:paraId="1BC2B85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采购方式</w:t>
            </w:r>
          </w:p>
        </w:tc>
        <w:tc>
          <w:tcPr>
            <w:tcW w:w="6685" w:type="dxa"/>
            <w:noWrap w:val="0"/>
            <w:vAlign w:val="center"/>
          </w:tcPr>
          <w:p w14:paraId="523EF066">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公开招标</w:t>
            </w:r>
          </w:p>
        </w:tc>
      </w:tr>
      <w:tr w14:paraId="0A208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01" w:hRule="atLeast"/>
          <w:jc w:val="center"/>
        </w:trPr>
        <w:tc>
          <w:tcPr>
            <w:tcW w:w="672" w:type="dxa"/>
            <w:noWrap w:val="0"/>
            <w:vAlign w:val="center"/>
          </w:tcPr>
          <w:p w14:paraId="7657646D">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850" w:type="dxa"/>
            <w:noWrap w:val="0"/>
            <w:vAlign w:val="center"/>
          </w:tcPr>
          <w:p w14:paraId="7EC3C635">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采购内容</w:t>
            </w:r>
          </w:p>
        </w:tc>
        <w:tc>
          <w:tcPr>
            <w:tcW w:w="6685" w:type="dxa"/>
            <w:noWrap w:val="0"/>
            <w:vAlign w:val="center"/>
          </w:tcPr>
          <w:p w14:paraId="3F7AD4AF">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详见第四章</w:t>
            </w:r>
          </w:p>
        </w:tc>
      </w:tr>
      <w:tr w14:paraId="1F32A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72" w:type="dxa"/>
            <w:noWrap w:val="0"/>
            <w:vAlign w:val="center"/>
          </w:tcPr>
          <w:p w14:paraId="4631DEB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850" w:type="dxa"/>
            <w:noWrap w:val="0"/>
            <w:vAlign w:val="center"/>
          </w:tcPr>
          <w:p w14:paraId="4C8FB56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交货期限</w:t>
            </w:r>
          </w:p>
        </w:tc>
        <w:tc>
          <w:tcPr>
            <w:tcW w:w="6685" w:type="dxa"/>
            <w:noWrap w:val="0"/>
            <w:vAlign w:val="center"/>
          </w:tcPr>
          <w:p w14:paraId="26A36DAA">
            <w:pPr>
              <w:keepNext w:val="0"/>
              <w:keepLines w:val="0"/>
              <w:pageBreakBefore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30天。</w:t>
            </w:r>
          </w:p>
        </w:tc>
      </w:tr>
      <w:tr w14:paraId="7E02C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0" w:hRule="atLeast"/>
          <w:jc w:val="center"/>
        </w:trPr>
        <w:tc>
          <w:tcPr>
            <w:tcW w:w="672" w:type="dxa"/>
            <w:noWrap w:val="0"/>
            <w:vAlign w:val="center"/>
          </w:tcPr>
          <w:p w14:paraId="277A55E2">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1850" w:type="dxa"/>
            <w:noWrap w:val="0"/>
            <w:vAlign w:val="center"/>
          </w:tcPr>
          <w:p w14:paraId="25905ECD">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地点</w:t>
            </w:r>
          </w:p>
        </w:tc>
        <w:tc>
          <w:tcPr>
            <w:tcW w:w="6685" w:type="dxa"/>
            <w:noWrap w:val="0"/>
            <w:vAlign w:val="center"/>
          </w:tcPr>
          <w:p w14:paraId="4F49239D">
            <w:pPr>
              <w:keepNext w:val="0"/>
              <w:keepLines w:val="0"/>
              <w:pageBreakBefore w:val="0"/>
              <w:kinsoku/>
              <w:wordWrap/>
              <w:overflowPunct/>
              <w:topLinePunct w:val="0"/>
              <w:autoSpaceDE/>
              <w:autoSpaceDN/>
              <w:bidi w:val="0"/>
              <w:adjustRightInd w:val="0"/>
              <w:snapToGrid w:val="0"/>
              <w:spacing w:line="312" w:lineRule="auto"/>
              <w:ind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采购人指定地点</w:t>
            </w:r>
          </w:p>
        </w:tc>
      </w:tr>
      <w:tr w14:paraId="6157F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noWrap w:val="0"/>
            <w:vAlign w:val="center"/>
          </w:tcPr>
          <w:p w14:paraId="4C3721B9">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1850" w:type="dxa"/>
            <w:noWrap w:val="0"/>
            <w:vAlign w:val="center"/>
          </w:tcPr>
          <w:p w14:paraId="3E567B3A">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是否进口产品</w:t>
            </w:r>
          </w:p>
        </w:tc>
        <w:tc>
          <w:tcPr>
            <w:tcW w:w="6685" w:type="dxa"/>
            <w:noWrap w:val="0"/>
            <w:vAlign w:val="center"/>
          </w:tcPr>
          <w:p w14:paraId="63047A26">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lang w:val="en-US" w:eastAsia="zh-CN" w:bidi="ar"/>
              </w:rPr>
              <w:t>否，如投标人所投产品为进口产品，其投标将被认定为投标无效。</w:t>
            </w:r>
          </w:p>
        </w:tc>
      </w:tr>
      <w:tr w14:paraId="19ECD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noWrap w:val="0"/>
            <w:vAlign w:val="center"/>
          </w:tcPr>
          <w:p w14:paraId="73D313C8">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1850" w:type="dxa"/>
            <w:noWrap w:val="0"/>
            <w:vAlign w:val="center"/>
          </w:tcPr>
          <w:p w14:paraId="41F9896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中小企业</w:t>
            </w:r>
          </w:p>
        </w:tc>
        <w:tc>
          <w:tcPr>
            <w:tcW w:w="6685" w:type="dxa"/>
            <w:noWrap w:val="0"/>
            <w:vAlign w:val="center"/>
          </w:tcPr>
          <w:p w14:paraId="759E8FB2">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2"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是否为专门面向中小企业采购：否。</w:t>
            </w:r>
          </w:p>
        </w:tc>
      </w:tr>
      <w:tr w14:paraId="7B9518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noWrap w:val="0"/>
            <w:vAlign w:val="center"/>
          </w:tcPr>
          <w:p w14:paraId="003F08E5">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1850" w:type="dxa"/>
            <w:noWrap w:val="0"/>
            <w:vAlign w:val="center"/>
          </w:tcPr>
          <w:p w14:paraId="754FAF29">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0"/>
                <w:sz w:val="24"/>
                <w:szCs w:val="24"/>
                <w:lang w:val="en-US" w:eastAsia="zh-CN" w:bidi="ar"/>
              </w:rPr>
              <w:t>本项目标底所属行业</w:t>
            </w:r>
          </w:p>
        </w:tc>
        <w:tc>
          <w:tcPr>
            <w:tcW w:w="6685" w:type="dxa"/>
            <w:noWrap w:val="0"/>
            <w:vAlign w:val="center"/>
          </w:tcPr>
          <w:p w14:paraId="79BB39CF">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2" w:firstLineChars="200"/>
              <w:jc w:val="both"/>
              <w:textAlignment w:val="auto"/>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工业</w:t>
            </w:r>
          </w:p>
        </w:tc>
      </w:tr>
      <w:tr w14:paraId="1429F6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noWrap w:val="0"/>
            <w:vAlign w:val="center"/>
          </w:tcPr>
          <w:p w14:paraId="780BC2ED">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1850" w:type="dxa"/>
            <w:noWrap w:val="0"/>
            <w:vAlign w:val="center"/>
          </w:tcPr>
          <w:p w14:paraId="714E8B92">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质量要求</w:t>
            </w:r>
          </w:p>
        </w:tc>
        <w:tc>
          <w:tcPr>
            <w:tcW w:w="6685" w:type="dxa"/>
            <w:noWrap w:val="0"/>
            <w:vAlign w:val="center"/>
          </w:tcPr>
          <w:p w14:paraId="4FB9BF9F">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严格执行国家及行业标准规范。</w:t>
            </w:r>
          </w:p>
        </w:tc>
      </w:tr>
      <w:tr w14:paraId="59CA2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2D446841">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16</w:t>
            </w:r>
          </w:p>
        </w:tc>
        <w:tc>
          <w:tcPr>
            <w:tcW w:w="1850" w:type="dxa"/>
            <w:noWrap w:val="0"/>
            <w:vAlign w:val="center"/>
          </w:tcPr>
          <w:p w14:paraId="7548B48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合同价款支付方式、时间和条件</w:t>
            </w:r>
          </w:p>
        </w:tc>
        <w:tc>
          <w:tcPr>
            <w:tcW w:w="6685" w:type="dxa"/>
            <w:noWrap w:val="0"/>
            <w:vAlign w:val="center"/>
          </w:tcPr>
          <w:p w14:paraId="5543380E">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详见第三章</w:t>
            </w:r>
          </w:p>
        </w:tc>
      </w:tr>
      <w:tr w14:paraId="21C69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2E8C4A52">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17</w:t>
            </w:r>
          </w:p>
        </w:tc>
        <w:tc>
          <w:tcPr>
            <w:tcW w:w="1850" w:type="dxa"/>
            <w:noWrap w:val="0"/>
            <w:vAlign w:val="center"/>
          </w:tcPr>
          <w:p w14:paraId="414FB1EA">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联合体投标</w:t>
            </w:r>
          </w:p>
        </w:tc>
        <w:tc>
          <w:tcPr>
            <w:tcW w:w="6685" w:type="dxa"/>
            <w:noWrap w:val="0"/>
            <w:vAlign w:val="center"/>
          </w:tcPr>
          <w:p w14:paraId="2A5DE604">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本项目不接受联合体投标。</w:t>
            </w:r>
          </w:p>
        </w:tc>
      </w:tr>
      <w:tr w14:paraId="3CC10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73329346">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18</w:t>
            </w:r>
          </w:p>
        </w:tc>
        <w:tc>
          <w:tcPr>
            <w:tcW w:w="1850" w:type="dxa"/>
            <w:noWrap w:val="0"/>
            <w:vAlign w:val="center"/>
          </w:tcPr>
          <w:p w14:paraId="13998D91">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招标文件发售</w:t>
            </w:r>
          </w:p>
        </w:tc>
        <w:tc>
          <w:tcPr>
            <w:tcW w:w="6685" w:type="dxa"/>
            <w:noWrap w:val="0"/>
            <w:vAlign w:val="center"/>
          </w:tcPr>
          <w:p w14:paraId="15608261">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发售时间：详见公告。 </w:t>
            </w:r>
          </w:p>
          <w:p w14:paraId="035A047D">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发售地点：各潜在供应商投标确认成功后在全国公共资源交易中心平台（陕西省.安康市）下载招标文件</w:t>
            </w:r>
          </w:p>
        </w:tc>
      </w:tr>
      <w:tr w14:paraId="006281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70A744D6">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19</w:t>
            </w:r>
          </w:p>
        </w:tc>
        <w:tc>
          <w:tcPr>
            <w:tcW w:w="1850" w:type="dxa"/>
            <w:noWrap w:val="0"/>
            <w:vAlign w:val="center"/>
          </w:tcPr>
          <w:p w14:paraId="2929B971">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考察现场、标前</w:t>
            </w:r>
          </w:p>
          <w:p w14:paraId="63A8717A">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答疑会</w:t>
            </w:r>
          </w:p>
        </w:tc>
        <w:tc>
          <w:tcPr>
            <w:tcW w:w="6685" w:type="dxa"/>
            <w:noWrap w:val="0"/>
            <w:vAlign w:val="center"/>
          </w:tcPr>
          <w:p w14:paraId="0640F8A8">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不组织</w:t>
            </w:r>
          </w:p>
        </w:tc>
      </w:tr>
      <w:tr w14:paraId="69A23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220F42EC">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20</w:t>
            </w:r>
          </w:p>
        </w:tc>
        <w:tc>
          <w:tcPr>
            <w:tcW w:w="1850" w:type="dxa"/>
            <w:noWrap w:val="0"/>
            <w:vAlign w:val="center"/>
          </w:tcPr>
          <w:p w14:paraId="7B467C06">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lang w:val="en-US" w:eastAsia="zh-CN" w:bidi="ar"/>
              </w:rPr>
              <w:t>转包与分包履约</w:t>
            </w:r>
          </w:p>
        </w:tc>
        <w:tc>
          <w:tcPr>
            <w:tcW w:w="6685" w:type="dxa"/>
            <w:noWrap w:val="0"/>
            <w:vAlign w:val="center"/>
          </w:tcPr>
          <w:p w14:paraId="7F0BEC9C">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不得转包</w:t>
            </w:r>
          </w:p>
        </w:tc>
      </w:tr>
      <w:tr w14:paraId="47FA4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451EE0B4">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21</w:t>
            </w:r>
          </w:p>
        </w:tc>
        <w:tc>
          <w:tcPr>
            <w:tcW w:w="1850" w:type="dxa"/>
            <w:noWrap w:val="0"/>
            <w:vAlign w:val="center"/>
          </w:tcPr>
          <w:p w14:paraId="3AF0ABC1">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构成招标文件的其他文件</w:t>
            </w:r>
          </w:p>
        </w:tc>
        <w:tc>
          <w:tcPr>
            <w:tcW w:w="6685" w:type="dxa"/>
            <w:noWrap w:val="0"/>
            <w:vAlign w:val="center"/>
          </w:tcPr>
          <w:p w14:paraId="7AA6D2F1">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招标文件的澄清、修改书及有关补充通知为招标文件的有效组成部分</w:t>
            </w:r>
          </w:p>
        </w:tc>
      </w:tr>
      <w:tr w14:paraId="58DBB9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61BD338E">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22</w:t>
            </w:r>
          </w:p>
        </w:tc>
        <w:tc>
          <w:tcPr>
            <w:tcW w:w="1850" w:type="dxa"/>
            <w:noWrap w:val="0"/>
            <w:vAlign w:val="center"/>
          </w:tcPr>
          <w:p w14:paraId="45BD8656">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供应商对招标文</w:t>
            </w:r>
          </w:p>
          <w:p w14:paraId="128ADAFA">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件提出质疑的时</w:t>
            </w:r>
          </w:p>
          <w:p w14:paraId="118C6DEB">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间、形式</w:t>
            </w:r>
          </w:p>
        </w:tc>
        <w:tc>
          <w:tcPr>
            <w:tcW w:w="6685" w:type="dxa"/>
            <w:noWrap w:val="0"/>
            <w:vAlign w:val="center"/>
          </w:tcPr>
          <w:p w14:paraId="12B302F1">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时间：自供应商收到招标文件之日起7个工作日内 </w:t>
            </w:r>
          </w:p>
          <w:p w14:paraId="023D08F1">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形式：书面形式</w:t>
            </w:r>
          </w:p>
        </w:tc>
      </w:tr>
      <w:tr w14:paraId="0C360E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4A0B957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23</w:t>
            </w:r>
          </w:p>
        </w:tc>
        <w:tc>
          <w:tcPr>
            <w:tcW w:w="1850" w:type="dxa"/>
            <w:noWrap w:val="0"/>
            <w:vAlign w:val="center"/>
          </w:tcPr>
          <w:p w14:paraId="0B9115C0">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对供应商提出质疑答复</w:t>
            </w:r>
          </w:p>
        </w:tc>
        <w:tc>
          <w:tcPr>
            <w:tcW w:w="6685" w:type="dxa"/>
            <w:noWrap w:val="0"/>
            <w:vAlign w:val="center"/>
          </w:tcPr>
          <w:p w14:paraId="40AD6942">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时间：自收到供应商质疑函之日起7个工作日内 </w:t>
            </w:r>
          </w:p>
          <w:p w14:paraId="7FD4E4C2">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形式：书面形式</w:t>
            </w:r>
          </w:p>
        </w:tc>
      </w:tr>
      <w:tr w14:paraId="657BF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03315166">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24</w:t>
            </w:r>
          </w:p>
        </w:tc>
        <w:tc>
          <w:tcPr>
            <w:tcW w:w="1850" w:type="dxa"/>
            <w:noWrap w:val="0"/>
            <w:vAlign w:val="center"/>
          </w:tcPr>
          <w:p w14:paraId="29B94F3E">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投标有效期</w:t>
            </w:r>
          </w:p>
        </w:tc>
        <w:tc>
          <w:tcPr>
            <w:tcW w:w="6685" w:type="dxa"/>
            <w:noWrap w:val="0"/>
            <w:vAlign w:val="center"/>
          </w:tcPr>
          <w:p w14:paraId="3B2FB614">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从投标截止日起90日历天</w:t>
            </w:r>
          </w:p>
        </w:tc>
      </w:tr>
      <w:tr w14:paraId="1E56C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7FCEB608">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25</w:t>
            </w:r>
          </w:p>
        </w:tc>
        <w:tc>
          <w:tcPr>
            <w:tcW w:w="1850" w:type="dxa"/>
            <w:noWrap w:val="0"/>
            <w:vAlign w:val="center"/>
          </w:tcPr>
          <w:p w14:paraId="7CDC645F">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备选投标方案和报价</w:t>
            </w:r>
          </w:p>
        </w:tc>
        <w:tc>
          <w:tcPr>
            <w:tcW w:w="6685" w:type="dxa"/>
            <w:noWrap w:val="0"/>
            <w:vAlign w:val="center"/>
          </w:tcPr>
          <w:p w14:paraId="5DEB9435">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不接受备选投标方案和多个报价。</w:t>
            </w:r>
          </w:p>
        </w:tc>
      </w:tr>
      <w:tr w14:paraId="0FE55F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1DA23833">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26</w:t>
            </w:r>
          </w:p>
        </w:tc>
        <w:tc>
          <w:tcPr>
            <w:tcW w:w="1850" w:type="dxa"/>
            <w:noWrap w:val="0"/>
            <w:vAlign w:val="center"/>
          </w:tcPr>
          <w:p w14:paraId="18F1CA68">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递交投标文件地</w:t>
            </w:r>
          </w:p>
          <w:p w14:paraId="67C663CC">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点和地点</w:t>
            </w:r>
          </w:p>
        </w:tc>
        <w:tc>
          <w:tcPr>
            <w:tcW w:w="6685" w:type="dxa"/>
            <w:noWrap w:val="0"/>
            <w:vAlign w:val="center"/>
          </w:tcPr>
          <w:p w14:paraId="126DAD3C">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递交时间：详见公告 </w:t>
            </w:r>
          </w:p>
          <w:p w14:paraId="4F5B26A3">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递交地点： 全国公共资源交易中心平台（陕西省.安康市）</w:t>
            </w:r>
          </w:p>
        </w:tc>
      </w:tr>
      <w:tr w14:paraId="5C742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456CB211">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27</w:t>
            </w:r>
          </w:p>
        </w:tc>
        <w:tc>
          <w:tcPr>
            <w:tcW w:w="1850" w:type="dxa"/>
            <w:noWrap w:val="0"/>
            <w:vAlign w:val="center"/>
          </w:tcPr>
          <w:p w14:paraId="7EBDD019">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评标方法及标准</w:t>
            </w:r>
          </w:p>
        </w:tc>
        <w:tc>
          <w:tcPr>
            <w:tcW w:w="6685" w:type="dxa"/>
            <w:noWrap w:val="0"/>
            <w:vAlign w:val="center"/>
          </w:tcPr>
          <w:p w14:paraId="2596852C">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详见第五章评标方法</w:t>
            </w:r>
          </w:p>
        </w:tc>
      </w:tr>
      <w:tr w14:paraId="41FBB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5AC12269">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28</w:t>
            </w:r>
          </w:p>
        </w:tc>
        <w:tc>
          <w:tcPr>
            <w:tcW w:w="1850" w:type="dxa"/>
            <w:noWrap w:val="0"/>
            <w:vAlign w:val="center"/>
          </w:tcPr>
          <w:p w14:paraId="5343522C">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评标委员会的组建</w:t>
            </w:r>
          </w:p>
        </w:tc>
        <w:tc>
          <w:tcPr>
            <w:tcW w:w="6685" w:type="dxa"/>
            <w:noWrap w:val="0"/>
            <w:vAlign w:val="center"/>
          </w:tcPr>
          <w:p w14:paraId="716B8C45">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评标委员会组建：依法组成。</w:t>
            </w:r>
          </w:p>
          <w:p w14:paraId="179595F8">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80" w:firstLineChars="20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 xml:space="preserve">评标委员会构成：5 人，其中专家 4 人；采购人代表 1 人。 </w:t>
            </w:r>
          </w:p>
          <w:p w14:paraId="5C84E013">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80" w:firstLineChars="20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评标专家确定方式：评标前 24 小时内在省级财政部门设立的政府采购评审专家库中随机抽取技术、经济方面的专家。</w:t>
            </w:r>
          </w:p>
        </w:tc>
      </w:tr>
      <w:tr w14:paraId="5F03C5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470" w:hRule="atLeast"/>
          <w:jc w:val="center"/>
        </w:trPr>
        <w:tc>
          <w:tcPr>
            <w:tcW w:w="672" w:type="dxa"/>
            <w:shd w:val="clear" w:color="auto" w:fill="auto"/>
            <w:noWrap w:val="0"/>
            <w:vAlign w:val="center"/>
          </w:tcPr>
          <w:p w14:paraId="01A2EB4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29</w:t>
            </w:r>
          </w:p>
        </w:tc>
        <w:tc>
          <w:tcPr>
            <w:tcW w:w="1850" w:type="dxa"/>
            <w:noWrap w:val="0"/>
            <w:vAlign w:val="center"/>
          </w:tcPr>
          <w:p w14:paraId="3E7E6C12">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供应商资格条件</w:t>
            </w:r>
          </w:p>
        </w:tc>
        <w:tc>
          <w:tcPr>
            <w:tcW w:w="6685" w:type="dxa"/>
            <w:noWrap w:val="0"/>
            <w:vAlign w:val="center"/>
          </w:tcPr>
          <w:p w14:paraId="6E2F7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（1）具有独立承担民事责任能力的法人、其他组织或自然人，并出具合法有效的营业执照或事业单位法人证书等国家规定的相关证明，自然人参与的提供其身份证明。</w:t>
            </w:r>
          </w:p>
          <w:p w14:paraId="74D9D3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（2）法定代表人授权书及被授权人身份证。（法定代表人直接投标只须提交其身份证复印件）。</w:t>
            </w:r>
          </w:p>
          <w:p w14:paraId="27F42D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（3）投标人须提供“信用中国”（www.creditchina.gov.cn）或“中国政府采购网”（www.ccgp.gov.cn）的信用信息查询记录(查询日期为从招标文件发售之日起至投标截止日前)，以网页截图加盖投标人公章为准。</w:t>
            </w:r>
          </w:p>
          <w:p w14:paraId="6A960B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（4）书面声明：投标人必须提供参加政府采购活动前3年内在经营活动中没有重大违法记录的书面声明。</w:t>
            </w:r>
          </w:p>
          <w:p w14:paraId="3EFECE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（5）财务状况报告：提供2022年或2023年度经审计的财务审计报告或财务报表（成立时间至提交响应文件截止时间不足一年的可提供成立后任意时段的资产负债表）或其基本存款账户开户银行出具的资信证明。</w:t>
            </w:r>
          </w:p>
          <w:p w14:paraId="7A34EE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（6）税收缴纳证明：提供2023年至今任意三个月缴纳的纳税证明或完税证明，依法免税的单位应提供相关证明材料，纳税证明或完税证明上应有代收机构或税务机关的公章或业务专用章。</w:t>
            </w:r>
          </w:p>
          <w:p w14:paraId="2F509A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7）社会保障资金缴纳证明：提供2023年至今任意三个月社会保障资金缴存单据或社保机构开具的社会保险参保缴费情况证明，依法不需要缴纳社会保障资金的单位应提供相关证明材料，单据或证明上应有社保机构或代收机构的印章。</w:t>
            </w:r>
          </w:p>
          <w:p w14:paraId="3A5AE7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12" w:lineRule="auto"/>
              <w:ind w:left="0" w:right="0" w:firstLine="480" w:firstLineChars="20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SA"/>
              </w:rPr>
            </w:pPr>
            <w:r>
              <w:rPr>
                <w:rFonts w:hint="eastAsia" w:ascii="宋体" w:hAnsi="宋体" w:eastAsia="宋体" w:cs="宋体"/>
                <w:i w:val="0"/>
                <w:iCs w:val="0"/>
                <w:caps w:val="0"/>
                <w:color w:val="auto"/>
                <w:spacing w:val="0"/>
                <w:kern w:val="0"/>
                <w:sz w:val="24"/>
                <w:szCs w:val="24"/>
                <w:shd w:val="clear" w:fill="FFFFFF"/>
                <w:lang w:val="en-US" w:eastAsia="zh-CN" w:bidi="ar-SA"/>
              </w:rPr>
              <w:t>（8）投标单位为制造厂商的须提供医疗器械生产许可证及所投产品医疗器械注册证；投标单位为代理商的须提供医疗器械经营许可证或医疗器械经营备案凭证（投标产品须在其经营范围内）及所投产品医疗器械注册证（复印件加盖厂家公章）；</w:t>
            </w:r>
          </w:p>
          <w:p w14:paraId="0E4E248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12" w:lineRule="auto"/>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shd w:val="clear" w:fill="FFFFFF"/>
                <w:lang w:val="en-US" w:eastAsia="zh-CN" w:bidi="ar-SA"/>
              </w:rPr>
              <w:t>（9）本项目不接受联合体投标。</w:t>
            </w:r>
          </w:p>
        </w:tc>
      </w:tr>
      <w:tr w14:paraId="1A0D93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672" w:type="dxa"/>
            <w:shd w:val="clear" w:color="auto" w:fill="auto"/>
            <w:noWrap w:val="0"/>
            <w:vAlign w:val="center"/>
          </w:tcPr>
          <w:p w14:paraId="2E0210EB">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30</w:t>
            </w:r>
          </w:p>
        </w:tc>
        <w:tc>
          <w:tcPr>
            <w:tcW w:w="1850" w:type="dxa"/>
            <w:noWrap w:val="0"/>
            <w:vAlign w:val="center"/>
          </w:tcPr>
          <w:p w14:paraId="42A8E7BC">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招标代理服务费</w:t>
            </w:r>
          </w:p>
        </w:tc>
        <w:tc>
          <w:tcPr>
            <w:tcW w:w="6685" w:type="dxa"/>
            <w:noWrap w:val="0"/>
            <w:vAlign w:val="center"/>
          </w:tcPr>
          <w:p w14:paraId="4129D2B8">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本项目须由中标人向招标代理机构按如下标准和规定缴纳招标 </w:t>
            </w:r>
          </w:p>
          <w:p w14:paraId="65708ED7">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代理服务费： </w:t>
            </w:r>
          </w:p>
          <w:p w14:paraId="6E86F4F8">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1、以项目中标金额作为收费的计算基数； </w:t>
            </w:r>
          </w:p>
          <w:p w14:paraId="7C7617C4">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2、按照国家计委颁布的《招标代理服务收费管理暂行办法》（计 </w:t>
            </w:r>
          </w:p>
          <w:p w14:paraId="6396EE01">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价格【2002】1980 号及发改办价格【2003】857 号文件中规定的标准收取。</w:t>
            </w:r>
          </w:p>
        </w:tc>
      </w:tr>
      <w:tr w14:paraId="14E0A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81" w:hRule="atLeast"/>
          <w:jc w:val="center"/>
        </w:trPr>
        <w:tc>
          <w:tcPr>
            <w:tcW w:w="672" w:type="dxa"/>
            <w:noWrap w:val="0"/>
            <w:vAlign w:val="center"/>
          </w:tcPr>
          <w:p w14:paraId="5622C359">
            <w:pPr>
              <w:keepNext w:val="0"/>
              <w:keepLines w:val="0"/>
              <w:pageBreakBefore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1850" w:type="dxa"/>
            <w:noWrap w:val="0"/>
            <w:vAlign w:val="center"/>
          </w:tcPr>
          <w:p w14:paraId="480B487F">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0" w:firstLineChars="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其他</w:t>
            </w:r>
          </w:p>
        </w:tc>
        <w:tc>
          <w:tcPr>
            <w:tcW w:w="6685" w:type="dxa"/>
            <w:noWrap w:val="0"/>
            <w:vAlign w:val="center"/>
          </w:tcPr>
          <w:p w14:paraId="038DF705">
            <w:pPr>
              <w:keepNext w:val="0"/>
              <w:keepLines w:val="0"/>
              <w:pageBreakBefore w:val="0"/>
              <w:widowControl/>
              <w:suppressLineNumbers w:val="0"/>
              <w:kinsoku/>
              <w:wordWrap/>
              <w:overflowPunct/>
              <w:topLinePunct w:val="0"/>
              <w:autoSpaceDE/>
              <w:autoSpaceDN/>
              <w:bidi w:val="0"/>
              <w:adjustRightInd w:val="0"/>
              <w:snapToGrid w:val="0"/>
              <w:spacing w:line="312" w:lineRule="auto"/>
              <w:ind w:firstLine="482"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成交/中标单位应在成交公示结束后三日内提交投标文件正、副本各一份至代理机构。</w:t>
            </w:r>
          </w:p>
        </w:tc>
      </w:tr>
    </w:tbl>
    <w:p w14:paraId="37DE75CB">
      <w:pPr>
        <w:keepNext w:val="0"/>
        <w:keepLines w:val="0"/>
        <w:pageBreakBefore w:val="0"/>
        <w:widowControl w:val="0"/>
        <w:tabs>
          <w:tab w:val="left" w:pos="1054"/>
          <w:tab w:val="center" w:pos="4738"/>
        </w:tabs>
        <w:kinsoku/>
        <w:wordWrap/>
        <w:overflowPunct/>
        <w:topLinePunct w:val="0"/>
        <w:autoSpaceDE/>
        <w:autoSpaceDN/>
        <w:bidi w:val="0"/>
        <w:adjustRightInd/>
        <w:snapToGrid/>
        <w:spacing w:before="333" w:beforeLines="100" w:line="300" w:lineRule="exact"/>
        <w:jc w:val="left"/>
        <w:textAlignment w:val="auto"/>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bookmarkEnd w:id="12"/>
      <w:bookmarkEnd w:id="13"/>
      <w:bookmarkEnd w:id="14"/>
      <w:bookmarkStart w:id="23" w:name="_Toc363473972"/>
      <w:bookmarkStart w:id="24" w:name="_Toc403077639"/>
      <w:bookmarkStart w:id="25" w:name="_Toc363474017"/>
      <w:r>
        <w:rPr>
          <w:rFonts w:hint="eastAsia" w:ascii="宋体" w:hAnsi="宋体" w:eastAsia="宋体" w:cs="宋体"/>
          <w:color w:val="auto"/>
          <w:highlight w:val="none"/>
        </w:rPr>
        <w:tab/>
      </w:r>
      <w:r>
        <w:rPr>
          <w:rFonts w:hint="eastAsia" w:ascii="宋体" w:hAnsi="宋体" w:eastAsia="宋体" w:cs="宋体"/>
          <w:color w:val="auto"/>
          <w:highlight w:val="none"/>
        </w:rPr>
        <w:tab/>
      </w:r>
      <w:r>
        <w:rPr>
          <w:rFonts w:hint="eastAsia" w:ascii="宋体" w:hAnsi="宋体" w:eastAsia="宋体" w:cs="宋体"/>
          <w:b/>
          <w:color w:val="auto"/>
          <w:sz w:val="32"/>
          <w:szCs w:val="32"/>
          <w:highlight w:val="none"/>
        </w:rPr>
        <w:t>一.总  则</w:t>
      </w:r>
      <w:bookmarkEnd w:id="23"/>
      <w:bookmarkEnd w:id="24"/>
      <w:bookmarkEnd w:id="25"/>
    </w:p>
    <w:p w14:paraId="22DEFD55">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本次招标依据《中华人民共和国政府采购法》、《政府采购货物和服务招标投标管理办法》、及国家现行有关法律法规执行。 </w:t>
      </w:r>
    </w:p>
    <w:p w14:paraId="22AA136E">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1．采购人、采购代理机构、监督管理机构 </w:t>
      </w:r>
    </w:p>
    <w:p w14:paraId="37F2A0A4">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 采购人：</w:t>
      </w:r>
      <w:r>
        <w:rPr>
          <w:rFonts w:hint="eastAsia" w:hAnsi="宋体" w:cs="宋体"/>
          <w:color w:val="auto"/>
          <w:highlight w:val="none"/>
          <w:lang w:val="en-US" w:eastAsia="zh-CN"/>
        </w:rPr>
        <w:t>白河县人民医院</w:t>
      </w:r>
    </w:p>
    <w:p w14:paraId="71A18C7B">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1.2 采购代理机构：</w:t>
      </w:r>
      <w:r>
        <w:rPr>
          <w:rFonts w:hint="eastAsia" w:hAnsi="宋体" w:cs="宋体"/>
          <w:color w:val="auto"/>
          <w:highlight w:val="none"/>
          <w:lang w:val="en-US" w:eastAsia="zh-CN"/>
        </w:rPr>
        <w:t>陕西顶诚招标有限公司</w:t>
      </w:r>
    </w:p>
    <w:p w14:paraId="033E4B85">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1.3 监督管理机构：</w:t>
      </w:r>
      <w:r>
        <w:rPr>
          <w:rFonts w:hint="eastAsia" w:hAnsi="宋体" w:cs="宋体"/>
          <w:color w:val="auto"/>
          <w:highlight w:val="none"/>
          <w:lang w:val="en-US" w:eastAsia="zh-CN"/>
        </w:rPr>
        <w:t>白河县</w:t>
      </w:r>
      <w:r>
        <w:rPr>
          <w:rFonts w:hint="eastAsia" w:ascii="宋体" w:hAnsi="宋体" w:eastAsia="宋体" w:cs="宋体"/>
          <w:color w:val="auto"/>
          <w:highlight w:val="none"/>
          <w:lang w:val="en-US" w:eastAsia="zh-CN"/>
        </w:rPr>
        <w:t xml:space="preserve">财政局 </w:t>
      </w:r>
    </w:p>
    <w:p w14:paraId="3AAC56A7">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2．合格的投标人、合格的货物和服务 </w:t>
      </w:r>
    </w:p>
    <w:p w14:paraId="4159DD4F">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2.1 合格的投标人 </w:t>
      </w:r>
    </w:p>
    <w:p w14:paraId="2004AB0C">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2.1.1 资质要求： </w:t>
      </w:r>
    </w:p>
    <w:p w14:paraId="394B327B">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基本资格条件：符合《中华人民共和国政府采购法》第二十二条的规定；（出具符合第二十二条规定的声明函）； </w:t>
      </w:r>
    </w:p>
    <w:p w14:paraId="010A184E">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特定资格要求： </w:t>
      </w:r>
    </w:p>
    <w:p w14:paraId="035429C5">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具有独立承担民事责任能力的法人、其他组织或自然人，并出具合法有效的营业执照或事业单位法人证书等国家规定的相关证明，自然人参与的提供其身份证明。（2）法定代表人授权书及被授权人身份证。（法定代表人直接投标只须提交其身份证复印件）。（3）投标人须提供“信用中国”（www.creditchina.gov.cn）或“中国政府采购网”（www.ccgp.gov.cn）的信用信息查询记录(查询日期为从招标文件发售之日起至投标截止日前)，以网页截图加盖投标人公章为准。（4）书面声明：投标人必须提供参加政府采购活动前3年内在经营活动中没有重大违法记录的书面声明。（5）财务状况报告：提供2022年或2023年度经审计的财务审计报告或财务报表（成立时间至提交响应文件截止时间不足一年的可提供成立后任意时段的资产负债表）或其基本存款账户开户银行出具的资信证明。（6）税收缴纳证明：提供2023年至今任意三个月缴纳的纳税证明或完税证明，依法免税的单位应提供相关证明材料，纳税证明或完税证明上应有代收机构或税务机关的公章或业务专用章。（7）社会保障资金缴纳证明：提供2023年至今任意三个月社会保障资金缴存单据或社保机构开具的社会保险参保缴费情况证明，依法不需要缴纳社会保障资金的单位应提供相关证明材料，单据或证明上应有社保机构或代收机构的印章。（8）投标单位为制造厂商的须提供医疗器械生产许可证及所投产品医疗器械注册证；投标单位为代理商的须提供医疗器械经营许可证或医疗器械经营备案凭证（投标产品须在其经营范围内）及所投产品医疗器械注册证（复印件加盖厂家公章）；（9）本项目不接受联合体投标。注：供应商要保证在投标文件中有上述资质扫描件并加盖公章。缺少其中任何一项或有一项达不到要求，按废标处理。 </w:t>
      </w:r>
    </w:p>
    <w:p w14:paraId="66D876EE">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2.1.2 根据《陕西省财政厅关于政府采购供应商注册登记有关事项的通知》的要求，参加本项目投标且符合《政府采购法》第二十二条规定的合格供应商须通过陕西省政府采购网（</w:t>
      </w:r>
    </w:p>
    <w:p w14:paraId="5934BD5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http://www.ccgp-shaanxi.gov.cn/）注册登记加入陕西省政府采购供应商库，以便中标后能顺利录入中标单位信息，若未办理入库手续，造成不能发布中标公告，责任自负； </w:t>
      </w:r>
    </w:p>
    <w:p w14:paraId="0FBF1327">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2.1.3 单位负责人为同一人或者存在直接控股、管理关系的不同供应商，不得同时参加本项目的投标。 </w:t>
      </w:r>
    </w:p>
    <w:p w14:paraId="1E54BA15">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2.2 合格的货物与服务 </w:t>
      </w:r>
    </w:p>
    <w:p w14:paraId="072B6864">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2.2.1 投标所用货物及其有关服务，均应来自上述 2.1 条款所规定的合格投标人。 </w:t>
      </w:r>
    </w:p>
    <w:p w14:paraId="5C7950AA">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2.2.2 货物系指投标人按招标文件规定，向采购人提供的符合招标文件要求的相关的货物。 </w:t>
      </w:r>
    </w:p>
    <w:p w14:paraId="1B0BDBFB">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2.2.3 服务系指招标文件规定的，投标人须承担的与投标货物有关的辅助服务,如包装、运输、保险、安装、调试、技术培训、售后服务以及其他类似的义务。 </w:t>
      </w:r>
    </w:p>
    <w:p w14:paraId="61119EC7">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3．投标费用 </w:t>
      </w:r>
    </w:p>
    <w:p w14:paraId="6B650ABE">
      <w:pPr>
        <w:spacing w:line="360" w:lineRule="auto"/>
        <w:ind w:left="0" w:lef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投标人应承担所有与准备和参加投标有关的费用。</w:t>
      </w:r>
    </w:p>
    <w:p w14:paraId="7558DA63">
      <w:pPr>
        <w:rPr>
          <w:rFonts w:hint="eastAsia" w:ascii="宋体" w:hAnsi="宋体" w:eastAsia="宋体" w:cs="宋体"/>
          <w:color w:val="auto"/>
          <w:highlight w:val="none"/>
        </w:rPr>
      </w:pPr>
    </w:p>
    <w:p w14:paraId="681D56D7">
      <w:pPr>
        <w:jc w:val="center"/>
        <w:rPr>
          <w:rFonts w:hint="eastAsia" w:ascii="宋体" w:hAnsi="宋体" w:eastAsia="宋体" w:cs="宋体"/>
          <w:b/>
          <w:color w:val="auto"/>
          <w:sz w:val="32"/>
          <w:szCs w:val="32"/>
          <w:highlight w:val="none"/>
        </w:rPr>
      </w:pPr>
      <w:bookmarkStart w:id="26" w:name="_Toc363474018"/>
      <w:bookmarkStart w:id="27" w:name="_Toc403077640"/>
      <w:bookmarkStart w:id="28" w:name="_Toc363473973"/>
      <w:r>
        <w:rPr>
          <w:rFonts w:hint="eastAsia" w:ascii="宋体" w:hAnsi="宋体" w:eastAsia="宋体" w:cs="宋体"/>
          <w:b/>
          <w:color w:val="auto"/>
          <w:sz w:val="32"/>
          <w:szCs w:val="32"/>
          <w:highlight w:val="none"/>
        </w:rPr>
        <w:t>二.招标文件</w:t>
      </w:r>
      <w:bookmarkEnd w:id="26"/>
      <w:bookmarkEnd w:id="27"/>
      <w:bookmarkEnd w:id="28"/>
    </w:p>
    <w:p w14:paraId="09737C59">
      <w:pPr>
        <w:spacing w:line="5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4．招标文件构成 </w:t>
      </w:r>
    </w:p>
    <w:p w14:paraId="53960A9A">
      <w:pPr>
        <w:spacing w:line="5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招标文件包括下列内容： </w:t>
      </w:r>
    </w:p>
    <w:p w14:paraId="02547A9E">
      <w:pPr>
        <w:spacing w:line="50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第一章 招标公告</w:t>
      </w:r>
    </w:p>
    <w:p w14:paraId="23E7DC3D">
      <w:pPr>
        <w:spacing w:line="50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第二章 投标人须知</w:t>
      </w:r>
    </w:p>
    <w:p w14:paraId="67CC3135">
      <w:pPr>
        <w:spacing w:line="50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第三章 商务部分（合同条款及格式）</w:t>
      </w:r>
    </w:p>
    <w:p w14:paraId="00DAC7D5">
      <w:pPr>
        <w:spacing w:line="50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第四章 采购内容及技术要求</w:t>
      </w:r>
    </w:p>
    <w:p w14:paraId="6F45FA80">
      <w:pPr>
        <w:spacing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第五章 投标文件构成及格式</w:t>
      </w:r>
    </w:p>
    <w:p w14:paraId="5C92C221">
      <w:pPr>
        <w:tabs>
          <w:tab w:val="left" w:pos="2305"/>
        </w:tabs>
        <w:bidi w:val="0"/>
        <w:spacing w:line="360" w:lineRule="auto"/>
        <w:ind w:firstLine="48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5．招标文件的澄清和修改 </w:t>
      </w:r>
    </w:p>
    <w:p w14:paraId="4D5C52E8">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5.1 采购代理机构如果对已发出的招标文件进行澄清或修改，澄清或修改的内容可能影响投标文件编制的，将在招标文件要求提交投标文件截止时间15日前，在原公告发布媒体上发布变更公告，并以书面形式通知所有获取招标文件潜在投标人。该澄清或者修改的内容为招标文件的组成部分。</w:t>
      </w:r>
    </w:p>
    <w:p w14:paraId="548BA3F6">
      <w:pPr>
        <w:spacing w:line="5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5.2 投标人对招标文件若有疑点要求澄清，应自收到招标文件之日起7个工作日内，按招标公告中的通讯地址，以书面形式通知采购代理机构（sndczb@163.com）。采购代理机构对投标人的澄清要求均以书面形式予以答复，并将根据澄清要求涉及的范围把书面答复送达给相关的每一个购买招标文件的投标人。投标人在收到后应立即以书面形式（电子邮件）予以确认，投标人在规定的时间内未要求对招标文件澄清或提出疑问的，将视其为无异议。 </w:t>
      </w:r>
    </w:p>
    <w:p w14:paraId="52D578F7">
      <w:pPr>
        <w:spacing w:line="5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5.3 该项目如有变更文件，采购代理机构会将变更后的招标文件将上传至（安康市公共资源交易平台-答疑文件），并通知所有投标人下载，变更后的招标文件对投标单位有约束力。投标单位下载了变更后的招标文件，应以电子邮件发至此邮件号：sndczb@163.com 或其他书面形式予以确认，使用旧版电子招标文件制作的电子投标文件，系统将拒绝接收。 </w:t>
      </w:r>
    </w:p>
    <w:p w14:paraId="1A58946E">
      <w:pPr>
        <w:spacing w:line="5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5.4 采购人可以视采购具体情况，延长投标截止时间和开标时间。在招标文件要求提交投标文件的截止时间三日前，将变更时间书面通知所有投标人，并在政府采购网上发布变更公告。 </w:t>
      </w:r>
    </w:p>
    <w:p w14:paraId="18117425">
      <w:pPr>
        <w:spacing w:line="5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6 招标文件的解释权归采购代理机构。 </w:t>
      </w:r>
    </w:p>
    <w:p w14:paraId="2C87C0A2">
      <w:pPr>
        <w:jc w:val="center"/>
        <w:rPr>
          <w:rFonts w:hint="eastAsia" w:ascii="宋体" w:hAnsi="宋体" w:eastAsia="宋体" w:cs="宋体"/>
          <w:b/>
          <w:color w:val="auto"/>
          <w:sz w:val="32"/>
          <w:szCs w:val="32"/>
          <w:highlight w:val="none"/>
        </w:rPr>
      </w:pPr>
      <w:bookmarkStart w:id="29" w:name="_Toc363474019"/>
      <w:bookmarkStart w:id="30" w:name="_Toc363473974"/>
      <w:bookmarkStart w:id="31" w:name="_Toc403077641"/>
      <w:r>
        <w:rPr>
          <w:rFonts w:hint="eastAsia" w:ascii="宋体" w:hAnsi="宋体" w:eastAsia="宋体" w:cs="宋体"/>
          <w:b/>
          <w:color w:val="auto"/>
          <w:sz w:val="32"/>
          <w:szCs w:val="32"/>
          <w:highlight w:val="none"/>
        </w:rPr>
        <w:t>三.投标文件的编制</w:t>
      </w:r>
      <w:bookmarkEnd w:id="29"/>
      <w:bookmarkEnd w:id="30"/>
      <w:bookmarkEnd w:id="31"/>
    </w:p>
    <w:p w14:paraId="5429E2C3">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bookmarkStart w:id="32" w:name="_Toc403077642"/>
      <w:bookmarkStart w:id="33" w:name="_Toc363474020"/>
      <w:bookmarkStart w:id="34" w:name="_Toc363473975"/>
      <w:r>
        <w:rPr>
          <w:rFonts w:hint="eastAsia" w:ascii="宋体" w:hAnsi="宋体" w:eastAsia="宋体" w:cs="宋体"/>
          <w:b/>
          <w:bCs/>
          <w:color w:val="auto"/>
          <w:kern w:val="0"/>
          <w:sz w:val="24"/>
          <w:szCs w:val="24"/>
          <w:lang w:val="en-US" w:eastAsia="zh-CN" w:bidi="ar"/>
        </w:rPr>
        <w:t xml:space="preserve">7．编制要求 </w:t>
      </w:r>
    </w:p>
    <w:p w14:paraId="382896C7">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7.1 投标人应认真阅读招标文件的所有内容，严格按照招标文件的要求编制和提供投标文件，并保证所提供的全部资料的真实性，使投标文件对招标文件作出实质性响应。 </w:t>
      </w:r>
    </w:p>
    <w:p w14:paraId="2193F47E">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如果投标人在投标文件中没有按照招标文件要求提交全部资料或者投标文件没有对招标文件在各方面都做出实质性响应，其投标将被拒绝。 </w:t>
      </w:r>
    </w:p>
    <w:p w14:paraId="6F963AAA">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7.2 投标人提交的投标文件（包括项目的技术资料）以及投标人与采购代理机构就有关投标的所有来往函电均应以中文书写。 </w:t>
      </w:r>
    </w:p>
    <w:p w14:paraId="570DA17D">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8．投标文件构成和格式 </w:t>
      </w:r>
    </w:p>
    <w:p w14:paraId="6231F4B0">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8.1 投标人编写的投标文件应包括，但不限于下列部分，请按招标文件提供的相应格式并依照下列顺序编写： </w:t>
      </w:r>
    </w:p>
    <w:p w14:paraId="6151EC1D">
      <w:pPr>
        <w:numPr>
          <w:ilvl w:val="0"/>
          <w:numId w:val="0"/>
        </w:numPr>
        <w:tabs>
          <w:tab w:val="left" w:pos="1418"/>
        </w:tabs>
        <w:spacing w:line="360" w:lineRule="auto"/>
        <w:ind w:left="1570" w:leftChars="0" w:hanging="870" w:firstLineChars="0"/>
        <w:rPr>
          <w:rFonts w:hint="eastAsia" w:ascii="宋体" w:hAnsi="宋体" w:eastAsia="宋体" w:cs="宋体"/>
          <w:color w:val="auto"/>
          <w:spacing w:val="4"/>
          <w:szCs w:val="24"/>
          <w:highlight w:val="none"/>
        </w:rPr>
      </w:pPr>
      <w:r>
        <w:rPr>
          <w:rFonts w:hint="default" w:ascii="宋体" w:hAnsi="宋体" w:eastAsia="宋体" w:cs="宋体"/>
          <w:color w:val="auto"/>
          <w:spacing w:val="4"/>
          <w:sz w:val="24"/>
          <w:szCs w:val="24"/>
          <w:lang w:val="en-US" w:eastAsia="zh-CN" w:bidi="ar-SA"/>
        </w:rPr>
        <w:t>（一）</w:t>
      </w:r>
      <w:r>
        <w:rPr>
          <w:rFonts w:hint="eastAsia" w:ascii="宋体" w:hAnsi="宋体" w:eastAsia="宋体" w:cs="宋体"/>
          <w:color w:val="auto"/>
          <w:spacing w:val="4"/>
          <w:szCs w:val="24"/>
          <w:highlight w:val="none"/>
        </w:rPr>
        <w:t>投标函</w:t>
      </w:r>
    </w:p>
    <w:p w14:paraId="6E7450C6">
      <w:pPr>
        <w:numPr>
          <w:ilvl w:val="0"/>
          <w:numId w:val="0"/>
        </w:numPr>
        <w:tabs>
          <w:tab w:val="left" w:pos="1418"/>
        </w:tabs>
        <w:spacing w:line="360" w:lineRule="auto"/>
        <w:ind w:left="1570" w:leftChars="0" w:hanging="870" w:firstLineChars="0"/>
        <w:rPr>
          <w:rFonts w:hint="eastAsia" w:ascii="宋体" w:hAnsi="宋体" w:eastAsia="宋体" w:cs="宋体"/>
          <w:color w:val="auto"/>
          <w:spacing w:val="4"/>
          <w:szCs w:val="24"/>
          <w:highlight w:val="none"/>
        </w:rPr>
      </w:pPr>
      <w:r>
        <w:rPr>
          <w:rFonts w:hint="default" w:ascii="宋体" w:hAnsi="宋体" w:eastAsia="宋体" w:cs="宋体"/>
          <w:color w:val="auto"/>
          <w:spacing w:val="4"/>
          <w:sz w:val="24"/>
          <w:szCs w:val="24"/>
          <w:lang w:val="en-US" w:eastAsia="zh-CN" w:bidi="ar-SA"/>
        </w:rPr>
        <w:t>（二）</w:t>
      </w:r>
      <w:r>
        <w:rPr>
          <w:rFonts w:hint="eastAsia" w:ascii="宋体" w:hAnsi="宋体" w:eastAsia="宋体" w:cs="宋体"/>
          <w:color w:val="auto"/>
          <w:spacing w:val="4"/>
          <w:szCs w:val="24"/>
          <w:highlight w:val="none"/>
        </w:rPr>
        <w:t>投标报价表</w:t>
      </w:r>
    </w:p>
    <w:p w14:paraId="7E6786F8">
      <w:pPr>
        <w:numPr>
          <w:ilvl w:val="0"/>
          <w:numId w:val="0"/>
        </w:numPr>
        <w:tabs>
          <w:tab w:val="left" w:pos="1418"/>
        </w:tabs>
        <w:spacing w:line="360" w:lineRule="auto"/>
        <w:ind w:left="2351" w:leftChars="0" w:hanging="1631" w:firstLineChars="0"/>
        <w:rPr>
          <w:rFonts w:hint="eastAsia" w:ascii="宋体" w:hAnsi="宋体" w:eastAsia="宋体" w:cs="宋体"/>
          <w:color w:val="auto"/>
          <w:spacing w:val="4"/>
          <w:szCs w:val="24"/>
          <w:highlight w:val="none"/>
        </w:rPr>
      </w:pPr>
      <w:r>
        <w:rPr>
          <w:rFonts w:hint="default" w:ascii="宋体" w:hAnsi="宋体" w:eastAsia="宋体" w:cs="宋体"/>
          <w:color w:val="auto"/>
          <w:spacing w:val="4"/>
          <w:sz w:val="24"/>
          <w:szCs w:val="24"/>
          <w:lang w:val="en-US" w:eastAsia="zh-CN" w:bidi="ar-SA"/>
        </w:rPr>
        <w:t>（三）</w:t>
      </w:r>
      <w:r>
        <w:rPr>
          <w:rFonts w:hint="eastAsia" w:ascii="宋体" w:hAnsi="宋体" w:eastAsia="宋体" w:cs="宋体"/>
          <w:color w:val="auto"/>
          <w:szCs w:val="24"/>
          <w:highlight w:val="none"/>
        </w:rPr>
        <w:t>资格证明文件</w:t>
      </w:r>
    </w:p>
    <w:p w14:paraId="2BBA2CC9">
      <w:pPr>
        <w:numPr>
          <w:ilvl w:val="0"/>
          <w:numId w:val="0"/>
        </w:numPr>
        <w:tabs>
          <w:tab w:val="left" w:pos="1701"/>
        </w:tabs>
        <w:spacing w:line="360" w:lineRule="auto"/>
        <w:ind w:left="1287" w:leftChars="0" w:hanging="567" w:firstLineChars="0"/>
        <w:rPr>
          <w:rFonts w:hint="eastAsia" w:ascii="宋体" w:hAnsi="宋体" w:eastAsia="宋体" w:cs="宋体"/>
          <w:color w:val="auto"/>
          <w:spacing w:val="4"/>
          <w:szCs w:val="24"/>
          <w:highlight w:val="none"/>
        </w:rPr>
      </w:pPr>
      <w:r>
        <w:rPr>
          <w:rFonts w:hint="default" w:ascii="宋体" w:hAnsi="宋体" w:eastAsia="宋体" w:cs="宋体"/>
          <w:color w:val="auto"/>
          <w:spacing w:val="4"/>
          <w:sz w:val="24"/>
          <w:szCs w:val="24"/>
          <w:lang w:val="en-US" w:eastAsia="zh-CN" w:bidi="ar-SA"/>
        </w:rPr>
        <w:t>（四）</w:t>
      </w:r>
      <w:r>
        <w:rPr>
          <w:rFonts w:hint="eastAsia" w:ascii="宋体" w:hAnsi="宋体" w:eastAsia="宋体" w:cs="宋体"/>
          <w:color w:val="auto"/>
          <w:szCs w:val="24"/>
          <w:highlight w:val="none"/>
          <w:lang w:eastAsia="zh-CN"/>
        </w:rPr>
        <w:t>供应商概况</w:t>
      </w:r>
    </w:p>
    <w:p w14:paraId="69B0F058">
      <w:pPr>
        <w:numPr>
          <w:ilvl w:val="0"/>
          <w:numId w:val="0"/>
        </w:numPr>
        <w:tabs>
          <w:tab w:val="left" w:pos="1418"/>
        </w:tabs>
        <w:spacing w:line="360" w:lineRule="auto"/>
        <w:ind w:left="2351" w:leftChars="0" w:hanging="1631" w:firstLineChars="0"/>
        <w:rPr>
          <w:rFonts w:hint="eastAsia" w:ascii="宋体" w:hAnsi="宋体" w:eastAsia="宋体" w:cs="宋体"/>
          <w:color w:val="auto"/>
          <w:spacing w:val="4"/>
          <w:szCs w:val="24"/>
          <w:highlight w:val="none"/>
        </w:rPr>
      </w:pPr>
      <w:r>
        <w:rPr>
          <w:rFonts w:hint="default" w:ascii="宋体" w:hAnsi="宋体" w:eastAsia="宋体" w:cs="宋体"/>
          <w:color w:val="auto"/>
          <w:spacing w:val="4"/>
          <w:sz w:val="24"/>
          <w:szCs w:val="24"/>
          <w:lang w:val="en-US" w:eastAsia="zh-CN" w:bidi="ar-SA"/>
        </w:rPr>
        <w:t>（五）</w:t>
      </w:r>
      <w:r>
        <w:rPr>
          <w:rFonts w:hint="eastAsia" w:ascii="宋体" w:hAnsi="宋体" w:eastAsia="宋体" w:cs="宋体"/>
          <w:color w:val="auto"/>
          <w:szCs w:val="24"/>
          <w:highlight w:val="none"/>
        </w:rPr>
        <w:t>陕西省政府采购供应商拒绝政府采购领域商业贿赂承诺书</w:t>
      </w:r>
    </w:p>
    <w:p w14:paraId="1B94787E">
      <w:pPr>
        <w:numPr>
          <w:ilvl w:val="0"/>
          <w:numId w:val="0"/>
        </w:numPr>
        <w:tabs>
          <w:tab w:val="left" w:pos="1418"/>
        </w:tabs>
        <w:spacing w:line="360" w:lineRule="auto"/>
        <w:ind w:left="2351" w:leftChars="0" w:hanging="1631" w:firstLineChars="0"/>
        <w:rPr>
          <w:rFonts w:hint="eastAsia" w:ascii="宋体" w:hAnsi="宋体" w:eastAsia="宋体" w:cs="宋体"/>
          <w:color w:val="auto"/>
          <w:spacing w:val="4"/>
          <w:szCs w:val="24"/>
          <w:highlight w:val="none"/>
        </w:rPr>
      </w:pPr>
      <w:r>
        <w:rPr>
          <w:rFonts w:hint="default" w:ascii="宋体" w:hAnsi="宋体" w:eastAsia="宋体" w:cs="宋体"/>
          <w:color w:val="auto"/>
          <w:spacing w:val="4"/>
          <w:sz w:val="24"/>
          <w:szCs w:val="24"/>
          <w:lang w:val="en-US" w:eastAsia="zh-CN" w:bidi="ar-SA"/>
        </w:rPr>
        <w:t>（六）</w:t>
      </w:r>
      <w:r>
        <w:rPr>
          <w:rFonts w:hint="eastAsia" w:ascii="宋体" w:hAnsi="宋体" w:eastAsia="宋体" w:cs="宋体"/>
          <w:color w:val="auto"/>
          <w:szCs w:val="24"/>
          <w:highlight w:val="none"/>
        </w:rPr>
        <w:t>投标方案</w:t>
      </w:r>
    </w:p>
    <w:p w14:paraId="38E7B7AB">
      <w:pPr>
        <w:numPr>
          <w:ilvl w:val="0"/>
          <w:numId w:val="0"/>
        </w:numPr>
        <w:tabs>
          <w:tab w:val="left" w:pos="1418"/>
        </w:tabs>
        <w:spacing w:line="360" w:lineRule="auto"/>
        <w:ind w:left="2351" w:leftChars="0" w:hanging="1631" w:firstLineChars="0"/>
        <w:rPr>
          <w:rFonts w:hint="eastAsia" w:ascii="宋体" w:hAnsi="宋体" w:eastAsia="宋体" w:cs="宋体"/>
          <w:color w:val="auto"/>
          <w:spacing w:val="4"/>
          <w:szCs w:val="24"/>
          <w:highlight w:val="none"/>
        </w:rPr>
      </w:pPr>
      <w:r>
        <w:rPr>
          <w:rFonts w:hint="default" w:ascii="宋体" w:hAnsi="宋体" w:eastAsia="宋体" w:cs="宋体"/>
          <w:color w:val="auto"/>
          <w:spacing w:val="4"/>
          <w:sz w:val="24"/>
          <w:szCs w:val="24"/>
          <w:lang w:val="en-US" w:eastAsia="zh-CN" w:bidi="ar-SA"/>
        </w:rPr>
        <w:t>（七）</w:t>
      </w:r>
      <w:r>
        <w:rPr>
          <w:rFonts w:hint="eastAsia" w:ascii="宋体" w:hAnsi="宋体" w:eastAsia="宋体" w:cs="宋体"/>
          <w:color w:val="auto"/>
          <w:szCs w:val="24"/>
          <w:highlight w:val="none"/>
        </w:rPr>
        <w:t>响应偏离表</w:t>
      </w:r>
    </w:p>
    <w:p w14:paraId="5DFEAADB">
      <w:pPr>
        <w:numPr>
          <w:ilvl w:val="0"/>
          <w:numId w:val="0"/>
        </w:numPr>
        <w:tabs>
          <w:tab w:val="left" w:pos="1418"/>
        </w:tabs>
        <w:spacing w:line="360" w:lineRule="auto"/>
        <w:ind w:left="2351" w:leftChars="0" w:hanging="1631" w:firstLineChars="0"/>
        <w:rPr>
          <w:rFonts w:hint="eastAsia" w:ascii="宋体" w:hAnsi="宋体" w:eastAsia="宋体" w:cs="宋体"/>
          <w:color w:val="auto"/>
          <w:szCs w:val="24"/>
          <w:highlight w:val="none"/>
        </w:rPr>
      </w:pPr>
      <w:r>
        <w:rPr>
          <w:rFonts w:hint="default" w:ascii="宋体" w:hAnsi="宋体" w:eastAsia="宋体" w:cs="宋体"/>
          <w:color w:val="auto"/>
          <w:sz w:val="24"/>
          <w:szCs w:val="24"/>
          <w:lang w:val="en-US" w:eastAsia="zh-CN" w:bidi="ar-SA"/>
        </w:rPr>
        <w:t>（八）</w:t>
      </w:r>
      <w:r>
        <w:rPr>
          <w:rFonts w:hint="eastAsia" w:ascii="宋体" w:hAnsi="宋体" w:eastAsia="宋体" w:cs="宋体"/>
          <w:color w:val="auto"/>
          <w:szCs w:val="24"/>
          <w:highlight w:val="none"/>
          <w:lang w:eastAsia="zh-CN"/>
        </w:rPr>
        <w:t>售后</w:t>
      </w:r>
      <w:r>
        <w:rPr>
          <w:rFonts w:hint="eastAsia" w:ascii="宋体" w:hAnsi="宋体" w:eastAsia="宋体" w:cs="宋体"/>
          <w:color w:val="auto"/>
          <w:szCs w:val="24"/>
          <w:highlight w:val="none"/>
        </w:rPr>
        <w:t>服务</w:t>
      </w:r>
      <w:r>
        <w:rPr>
          <w:rFonts w:hint="eastAsia" w:ascii="宋体" w:hAnsi="宋体" w:eastAsia="宋体" w:cs="宋体"/>
          <w:color w:val="auto"/>
          <w:szCs w:val="24"/>
          <w:highlight w:val="none"/>
          <w:lang w:eastAsia="zh-CN"/>
        </w:rPr>
        <w:t>及</w:t>
      </w:r>
      <w:r>
        <w:rPr>
          <w:rFonts w:hint="eastAsia" w:ascii="宋体" w:hAnsi="宋体" w:eastAsia="宋体" w:cs="宋体"/>
          <w:color w:val="auto"/>
          <w:szCs w:val="24"/>
          <w:highlight w:val="none"/>
        </w:rPr>
        <w:t>承诺</w:t>
      </w:r>
    </w:p>
    <w:p w14:paraId="30B761AF">
      <w:pPr>
        <w:numPr>
          <w:ilvl w:val="0"/>
          <w:numId w:val="0"/>
        </w:numPr>
        <w:tabs>
          <w:tab w:val="left" w:pos="1418"/>
        </w:tabs>
        <w:spacing w:line="360" w:lineRule="auto"/>
        <w:ind w:left="1570" w:leftChars="0" w:hanging="870" w:firstLineChars="0"/>
        <w:rPr>
          <w:rFonts w:hint="eastAsia" w:ascii="宋体" w:hAnsi="宋体" w:eastAsia="宋体" w:cs="宋体"/>
          <w:color w:val="auto"/>
          <w:spacing w:val="4"/>
          <w:szCs w:val="24"/>
          <w:highlight w:val="none"/>
          <w:lang w:val="en-US" w:eastAsia="zh-CN"/>
        </w:rPr>
      </w:pPr>
      <w:r>
        <w:rPr>
          <w:rFonts w:hint="default" w:ascii="宋体" w:hAnsi="宋体" w:eastAsia="宋体" w:cs="宋体"/>
          <w:color w:val="auto"/>
          <w:spacing w:val="4"/>
          <w:sz w:val="24"/>
          <w:szCs w:val="24"/>
          <w:lang w:val="en-US" w:eastAsia="zh-CN" w:bidi="ar-SA"/>
        </w:rPr>
        <w:t>（九）</w:t>
      </w:r>
      <w:r>
        <w:rPr>
          <w:rFonts w:hint="eastAsia" w:ascii="宋体" w:hAnsi="宋体" w:eastAsia="宋体" w:cs="宋体"/>
          <w:color w:val="auto"/>
          <w:spacing w:val="4"/>
          <w:szCs w:val="24"/>
          <w:highlight w:val="none"/>
          <w:lang w:val="en-US" w:eastAsia="zh-CN"/>
        </w:rPr>
        <w:t xml:space="preserve">业绩 </w:t>
      </w:r>
    </w:p>
    <w:p w14:paraId="5DD7E523">
      <w:pPr>
        <w:numPr>
          <w:ilvl w:val="0"/>
          <w:numId w:val="0"/>
        </w:numPr>
        <w:tabs>
          <w:tab w:val="left" w:pos="1418"/>
        </w:tabs>
        <w:spacing w:line="360" w:lineRule="auto"/>
        <w:ind w:left="1570" w:leftChars="0" w:hanging="870" w:firstLineChars="0"/>
        <w:rPr>
          <w:rFonts w:hint="eastAsia" w:ascii="宋体" w:hAnsi="宋体" w:eastAsia="宋体" w:cs="宋体"/>
          <w:color w:val="auto"/>
          <w:spacing w:val="4"/>
          <w:szCs w:val="24"/>
          <w:highlight w:val="none"/>
          <w:lang w:eastAsia="zh-CN"/>
        </w:rPr>
      </w:pPr>
      <w:r>
        <w:rPr>
          <w:rFonts w:hint="default" w:ascii="宋体" w:hAnsi="宋体" w:eastAsia="宋体" w:cs="宋体"/>
          <w:color w:val="auto"/>
          <w:spacing w:val="4"/>
          <w:sz w:val="24"/>
          <w:szCs w:val="24"/>
          <w:lang w:val="en-US" w:eastAsia="zh-CN" w:bidi="ar-SA"/>
        </w:rPr>
        <w:t>（十）</w:t>
      </w:r>
      <w:r>
        <w:rPr>
          <w:rFonts w:hint="eastAsia" w:ascii="宋体" w:hAnsi="宋体" w:eastAsia="宋体" w:cs="宋体"/>
          <w:color w:val="auto"/>
          <w:spacing w:val="4"/>
          <w:szCs w:val="24"/>
          <w:highlight w:val="none"/>
          <w:lang w:eastAsia="zh-CN"/>
        </w:rPr>
        <w:t>其他</w:t>
      </w:r>
    </w:p>
    <w:p w14:paraId="2BC146DA">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8.2 投标单位应按照本须知第 8.1 条的内容及第五章提供的格式编写响应文件，不得缺少招标文件要求填写的表格或提交的资料。 </w:t>
      </w:r>
    </w:p>
    <w:p w14:paraId="134B6A8B">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8.3 </w:t>
      </w:r>
      <w:r>
        <w:rPr>
          <w:rFonts w:hint="eastAsia" w:ascii="宋体" w:hAnsi="宋体" w:eastAsia="宋体" w:cs="宋体"/>
          <w:b/>
          <w:bCs/>
          <w:color w:val="auto"/>
          <w:kern w:val="0"/>
          <w:sz w:val="24"/>
          <w:szCs w:val="24"/>
          <w:lang w:val="en-US" w:eastAsia="zh-CN" w:bidi="ar"/>
        </w:rPr>
        <w:t xml:space="preserve">投标单位应将响应文件按本须知第 8.1 条规定的顺序编排、并应编制目录，扩展名为“.SXSTF”的电子投标文件页码不做要求。 </w:t>
      </w:r>
    </w:p>
    <w:p w14:paraId="56D850ED">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9．投标报价 </w:t>
      </w:r>
    </w:p>
    <w:p w14:paraId="7F47002F">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9.1 投标报价为完成本项目所要求货物和服务的全部内容、中标服务费及国家按现行税收政策征收的一切税费。 </w:t>
      </w:r>
    </w:p>
    <w:p w14:paraId="6EE23E52">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9.2 投标人须对货物和服务要求进行完整报价。采购人拒绝只对部分货物和服务进行报价的投标。投标人应在投标文件中的投标分项报价表上标明对本次招标拟提供货物和服务的单价和总价，任何有选择的报价将不予接受。 </w:t>
      </w:r>
    </w:p>
    <w:p w14:paraId="68EF88DD">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9.3. 所有根据合同或其它原因应由投标人支付的税款和其它应交纳的费用都要包括在投标人提交的投标报价中。 </w:t>
      </w:r>
    </w:p>
    <w:p w14:paraId="3CE3A73F">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9.4 投标人所报的投标价在合同执行过程中是固定不变的，不得以任何理由予以变更。任何包含价格调整要求的投标，将被认为是非响应性投标而予以拒绝。 </w:t>
      </w:r>
    </w:p>
    <w:p w14:paraId="7D8948D9">
      <w:pPr>
        <w:keepNext w:val="0"/>
        <w:keepLines w:val="0"/>
        <w:widowControl/>
        <w:suppressLineNumbers w:val="0"/>
        <w:spacing w:line="360" w:lineRule="auto"/>
        <w:ind w:left="0" w:leftChars="0" w:firstLine="482" w:firstLineChars="200"/>
        <w:jc w:val="left"/>
        <w:rPr>
          <w:rFonts w:hint="eastAsia" w:hAnsi="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9.5 本项目采购预算：本项目采购预算金额（最高限价）为：</w:t>
      </w:r>
      <w:r>
        <w:rPr>
          <w:rFonts w:hint="eastAsia" w:hAnsi="宋体" w:cs="宋体"/>
          <w:b/>
          <w:bCs/>
          <w:color w:val="auto"/>
          <w:kern w:val="0"/>
          <w:sz w:val="24"/>
          <w:szCs w:val="24"/>
          <w:highlight w:val="none"/>
          <w:lang w:val="en-US" w:eastAsia="zh-CN" w:bidi="ar"/>
        </w:rPr>
        <w:t>1000000.00</w:t>
      </w:r>
      <w:r>
        <w:rPr>
          <w:rFonts w:hint="eastAsia" w:ascii="宋体" w:hAnsi="宋体" w:eastAsia="宋体" w:cs="宋体"/>
          <w:b/>
          <w:bCs/>
          <w:color w:val="auto"/>
          <w:kern w:val="0"/>
          <w:sz w:val="24"/>
          <w:szCs w:val="24"/>
          <w:highlight w:val="none"/>
          <w:lang w:val="en-US" w:eastAsia="zh-CN" w:bidi="ar"/>
        </w:rPr>
        <w:t>元</w:t>
      </w:r>
      <w:r>
        <w:rPr>
          <w:rFonts w:hint="eastAsia" w:hAnsi="宋体" w:cs="宋体"/>
          <w:b/>
          <w:bCs/>
          <w:color w:val="auto"/>
          <w:kern w:val="0"/>
          <w:sz w:val="24"/>
          <w:szCs w:val="24"/>
          <w:highlight w:val="none"/>
          <w:lang w:val="en-US" w:eastAsia="zh-CN" w:bidi="ar"/>
        </w:rPr>
        <w:t>。</w:t>
      </w:r>
    </w:p>
    <w:p w14:paraId="19974EA2">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注：投标报价大于本项目采购预算时按废标处理。</w:t>
      </w:r>
    </w:p>
    <w:p w14:paraId="3EDC10DA">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9.6 </w:t>
      </w:r>
      <w:r>
        <w:rPr>
          <w:rFonts w:hint="eastAsia" w:ascii="宋体" w:hAnsi="宋体" w:eastAsia="宋体" w:cs="宋体"/>
          <w:b/>
          <w:bCs/>
          <w:color w:val="auto"/>
          <w:kern w:val="0"/>
          <w:sz w:val="24"/>
          <w:szCs w:val="24"/>
          <w:lang w:val="en-US" w:eastAsia="zh-CN" w:bidi="ar"/>
        </w:rPr>
        <w:t xml:space="preserve">评标委员会认为投标人的报价明显低于其他通过符合性审查投标人的报价，有可能影响质量或者不能诚信履约的，应当要求其在合理的时间内提供书面说明，必要时提交相关证明材料；投标人不能证明其报价合理性的，招标小组应当将其作为无效投标处理。 </w:t>
      </w:r>
    </w:p>
    <w:p w14:paraId="419B1266">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10．投标货币 </w:t>
      </w:r>
    </w:p>
    <w:p w14:paraId="79E50173">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10.1 投标人提供的</w:t>
      </w:r>
      <w:r>
        <w:rPr>
          <w:rFonts w:hint="eastAsia" w:hAnsi="宋体" w:cs="宋体"/>
          <w:color w:val="auto"/>
          <w:kern w:val="0"/>
          <w:sz w:val="24"/>
          <w:szCs w:val="24"/>
          <w:lang w:val="en-US" w:eastAsia="zh-CN" w:bidi="ar"/>
        </w:rPr>
        <w:t>货物</w:t>
      </w:r>
      <w:r>
        <w:rPr>
          <w:rFonts w:hint="eastAsia" w:ascii="宋体" w:hAnsi="宋体" w:eastAsia="宋体" w:cs="宋体"/>
          <w:color w:val="auto"/>
          <w:kern w:val="0"/>
          <w:sz w:val="24"/>
          <w:szCs w:val="24"/>
          <w:lang w:val="en-US" w:eastAsia="zh-CN" w:bidi="ar"/>
        </w:rPr>
        <w:t xml:space="preserve">与服务一律以人民币报价。 </w:t>
      </w:r>
    </w:p>
    <w:p w14:paraId="5EE6D8F6">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11．投标保证金：本项目不缴纳投标保证金 </w:t>
      </w:r>
    </w:p>
    <w:p w14:paraId="0A731A21">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12．投标有效期 </w:t>
      </w:r>
    </w:p>
    <w:p w14:paraId="5C4DF26D">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12.1 招标响应文件有效期为招标之日起九十（90）个日历日（成交投标单位的响应文件有效期与合同有效期一致）。投标单位的招标响应文件有效期比招标文件规定短的将被视为非响应性投标，按废标处理。 </w:t>
      </w:r>
    </w:p>
    <w:p w14:paraId="423B9921">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12.2 在特殊情况下，在原招标响应文件有效期期满之前，招标采购单位可征得投标单位同意延长响应文件有效期。这种要求与答复均应为书面形式提交。 </w:t>
      </w:r>
    </w:p>
    <w:p w14:paraId="74E37C84">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13．投标文件的制作和签署 </w:t>
      </w:r>
    </w:p>
    <w:p w14:paraId="7027BED3">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13.1本项目采用电子化投标（不见面开标方式）。供应商在投标时只需提供电子投标文件（</w:t>
      </w:r>
      <w:r>
        <w:rPr>
          <w:rFonts w:hint="eastAsia" w:hAnsi="宋体" w:cs="宋体"/>
          <w:color w:val="auto"/>
          <w:kern w:val="0"/>
          <w:sz w:val="24"/>
          <w:szCs w:val="24"/>
          <w:lang w:val="en-US" w:eastAsia="zh-CN" w:bidi="ar"/>
        </w:rPr>
        <w:t>*.SXSZF</w:t>
      </w:r>
      <w:r>
        <w:rPr>
          <w:rFonts w:hint="eastAsia" w:ascii="宋体" w:hAnsi="宋体" w:eastAsia="宋体" w:cs="宋体"/>
          <w:color w:val="auto"/>
          <w:kern w:val="0"/>
          <w:sz w:val="24"/>
          <w:szCs w:val="24"/>
          <w:lang w:val="en-US" w:eastAsia="zh-CN" w:bidi="ar"/>
        </w:rPr>
        <w:t xml:space="preserve">格式）。 </w:t>
      </w:r>
    </w:p>
    <w:p w14:paraId="5FF82D15">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13.2 编制电子投标文件时，应使用最新发布的电子招标文件及专用制作工具进行编制。并使用数字认证证书（CA）对电子投标文件进行签署、加密、递交及开标时解密等相关操作。 </w:t>
      </w:r>
    </w:p>
    <w:p w14:paraId="0E09B445">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（1）电子招标文件下载 </w:t>
      </w:r>
    </w:p>
    <w:p w14:paraId="36085ACC">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供应商登录全国公共资源交易平台（陕西省）网站[电子交易平台-企业端]后，在[我的项目]中点击“项目流程-交易文件下载”下载电子招标文件（</w:t>
      </w:r>
      <w:r>
        <w:rPr>
          <w:rFonts w:hint="eastAsia"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.SXSZF）；</w:t>
      </w:r>
    </w:p>
    <w:p w14:paraId="45943595">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注意：该项目如有变更文件，则应点击“项目流程&gt;答疑文件下载”下载更新后的电子招标文件（</w:t>
      </w:r>
      <w:r>
        <w:rPr>
          <w:rFonts w:hint="eastAsia"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 xml:space="preserve">.SXSCF），使用旧版电子招标文件制作的电子投标文件，系统将拒绝接收。 </w:t>
      </w:r>
    </w:p>
    <w:p w14:paraId="42F9FA1B">
      <w:pPr>
        <w:spacing w:line="360" w:lineRule="auto"/>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2）电子招标文件需要使用专用软件打开、浏览供应商登录全国公共资源交易平台（陕西省）网站[服务指南-下载专区]免费下载《陕西省公共资源交易平台政府采购电子标书制作工具(V8.0.0.47)》，并升级至最新版本，使用该客户端可以打开电子招标文件。软件操作手册详见全国公共资源交易平台（陕西省）网站[服务指南-下载专区]中的《陕西省公共资源交易（政府采购类）投标文件制作软件操作手册》；制作工具</w:t>
      </w:r>
      <w:r>
        <w:rPr>
          <w:rFonts w:hint="eastAsia" w:ascii="宋体" w:hAnsi="宋体" w:eastAsia="宋体" w:cs="宋体"/>
          <w:color w:val="auto"/>
          <w:lang w:val="en-US" w:eastAsia="zh-CN"/>
        </w:rPr>
        <w:t>下载地址：</w:t>
      </w:r>
      <w:r>
        <w:rPr>
          <w:rFonts w:hint="eastAsia" w:ascii="宋体" w:hAnsi="宋体" w:eastAsia="宋体" w:cs="宋体"/>
          <w:color w:val="auto"/>
          <w:kern w:val="0"/>
          <w:sz w:val="24"/>
          <w:szCs w:val="24"/>
          <w:lang w:val="en-US" w:eastAsia="zh-CN" w:bidi="ar"/>
        </w:rPr>
        <w:t xml:space="preserve"> https://zhidao.bqpoint.com/epointknow2/bqepointknowquestion.html?producttype=1&amp;platformguid=684edb0d-467c-4a6a-b31b-9e7929e1fdee&amp;areacode=610000&amp;CategoryCode=16； </w:t>
      </w:r>
    </w:p>
    <w:p w14:paraId="6B815599">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（3）制作电子投标文件 </w:t>
      </w:r>
    </w:p>
    <w:p w14:paraId="79D94058">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电子投标文件同样需要使用上述软件进行编制。在编制过程中，如有技术性问题，请先翻阅操作手册或致电软件开发商，技术支持热线：4009280095、4009980000； </w:t>
      </w:r>
    </w:p>
    <w:p w14:paraId="6ACCF992">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13.3 纸质投标文件 </w:t>
      </w:r>
    </w:p>
    <w:p w14:paraId="7884ADBF">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本项目</w:t>
      </w:r>
      <w:r>
        <w:rPr>
          <w:rFonts w:hint="eastAsia" w:hAnsi="宋体" w:cs="宋体"/>
          <w:color w:val="auto"/>
          <w:kern w:val="0"/>
          <w:sz w:val="24"/>
          <w:szCs w:val="24"/>
          <w:lang w:val="en-US" w:eastAsia="zh-CN" w:bidi="ar"/>
        </w:rPr>
        <w:t>现场</w:t>
      </w:r>
      <w:r>
        <w:rPr>
          <w:rFonts w:hint="eastAsia" w:ascii="宋体" w:hAnsi="宋体" w:eastAsia="宋体" w:cs="宋体"/>
          <w:color w:val="auto"/>
          <w:kern w:val="0"/>
          <w:sz w:val="24"/>
          <w:szCs w:val="24"/>
          <w:lang w:val="en-US" w:eastAsia="zh-CN" w:bidi="ar"/>
        </w:rPr>
        <w:t>不提供纸质投标文件</w:t>
      </w:r>
    </w:p>
    <w:p w14:paraId="68E2AA1D">
      <w:pPr>
        <w:spacing w:line="500" w:lineRule="exact"/>
        <w:ind w:firstLine="643" w:firstLineChars="20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四.投标文件的递交</w:t>
      </w:r>
      <w:bookmarkEnd w:id="32"/>
      <w:bookmarkEnd w:id="33"/>
      <w:bookmarkEnd w:id="34"/>
    </w:p>
    <w:p w14:paraId="655F9C40">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bookmarkStart w:id="35" w:name="_Toc363474021"/>
      <w:bookmarkStart w:id="36" w:name="_Toc363473976"/>
      <w:bookmarkStart w:id="37" w:name="_Toc403077643"/>
      <w:r>
        <w:rPr>
          <w:rFonts w:hint="eastAsia" w:ascii="宋体" w:hAnsi="宋体" w:eastAsia="宋体" w:cs="宋体"/>
          <w:b/>
          <w:bCs/>
          <w:color w:val="auto"/>
          <w:kern w:val="0"/>
          <w:sz w:val="24"/>
          <w:szCs w:val="24"/>
          <w:lang w:val="en-US" w:eastAsia="zh-CN" w:bidi="ar"/>
        </w:rPr>
        <w:t xml:space="preserve">14．投标文件的提交 </w:t>
      </w:r>
    </w:p>
    <w:p w14:paraId="38C166FD">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14.1 登录全国公共资源交易中心平台（陕西省）http://www.sxggzyjy.cn，选择“电 </w:t>
      </w:r>
    </w:p>
    <w:p w14:paraId="7017DD88">
      <w:pPr>
        <w:keepNext w:val="0"/>
        <w:keepLines w:val="0"/>
        <w:widowControl/>
        <w:suppressLineNumbers w:val="0"/>
        <w:spacing w:line="360" w:lineRule="auto"/>
        <w:ind w:left="0" w:leftChars="0" w:firstLine="0" w:firstLineChars="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子交易平台→陕西政府采购交易系统→企业端”进行登录，登录后选择“交易乙方”身 </w:t>
      </w:r>
    </w:p>
    <w:p w14:paraId="0F2B3CEB">
      <w:pPr>
        <w:keepNext w:val="0"/>
        <w:keepLines w:val="0"/>
        <w:widowControl/>
        <w:suppressLineNumbers w:val="0"/>
        <w:spacing w:line="360" w:lineRule="auto"/>
        <w:ind w:left="0" w:leftChars="0" w:firstLine="0" w:firstLineChars="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份进入，进入菜单“采购业务→我的项目→项目流程→上传响应文件”，上传加密的电 </w:t>
      </w:r>
    </w:p>
    <w:p w14:paraId="5BE41B6D">
      <w:pPr>
        <w:keepNext w:val="0"/>
        <w:keepLines w:val="0"/>
        <w:widowControl/>
        <w:suppressLineNumbers w:val="0"/>
        <w:spacing w:line="360" w:lineRule="auto"/>
        <w:ind w:left="0" w:leftChars="0" w:firstLine="0" w:firstLineChars="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子投标文件（</w:t>
      </w:r>
      <w:r>
        <w:rPr>
          <w:rFonts w:hint="eastAsia"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 xml:space="preserve">.SXSTF），上传成功后，电子化平台将予以记录。 </w:t>
      </w:r>
    </w:p>
    <w:p w14:paraId="491A9385">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14.2 电子投标文件在投标文件截止时间前，可进行撤回文件操作。撤回后，可在提交投标文件截止时间前重新提交文件。提交投标文件截止时间后，不能进行撤回文件操作。是否进行撤回文件操作，由投标供应商决定，责任由投标供应商自行承担。 </w:t>
      </w:r>
    </w:p>
    <w:p w14:paraId="76B69D38">
      <w:pPr>
        <w:keepNext w:val="0"/>
        <w:keepLines w:val="0"/>
        <w:widowControl/>
        <w:suppressLineNumbers w:val="0"/>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15．投标截止日期 </w:t>
      </w:r>
    </w:p>
    <w:p w14:paraId="3B9BDBD6">
      <w:pPr>
        <w:keepNext w:val="0"/>
        <w:keepLines w:val="0"/>
        <w:widowControl/>
        <w:suppressLineNumbers w:val="0"/>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15.1电子投标文件可于提交投标文件截止时间前任意时段登录全国公共资源交易平台（陕西省） 网站进行提交，提交投标文件截止时间后系统将拒绝接收。 </w:t>
      </w:r>
    </w:p>
    <w:p w14:paraId="0058800C">
      <w:pPr>
        <w:keepNext w:val="0"/>
        <w:keepLines w:val="0"/>
        <w:widowControl/>
        <w:suppressLineNumbers w:val="0"/>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15.2 采购代理机构可以按本须知第5.3条规定，通知因修改招标文件而适当延长招标 </w:t>
      </w:r>
    </w:p>
    <w:p w14:paraId="3E4414CB">
      <w:pPr>
        <w:keepNext w:val="0"/>
        <w:keepLines w:val="0"/>
        <w:widowControl/>
        <w:suppressLineNumbers w:val="0"/>
        <w:spacing w:line="360" w:lineRule="auto"/>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截止期。在此情况下，招标采购单位和供应商受招标截止期制约的所有权利和义务均应延长至新的截止期。 </w:t>
      </w:r>
    </w:p>
    <w:p w14:paraId="1C0F5FCB">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16．迟交的投标文件 </w:t>
      </w:r>
    </w:p>
    <w:p w14:paraId="2406063C">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16.1采购代理机构将拒绝接收投标截止期后送达的任何投标文件。 </w:t>
      </w:r>
    </w:p>
    <w:p w14:paraId="1E887D4A">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17．投标文件的修改和撤回 </w:t>
      </w:r>
    </w:p>
    <w:p w14:paraId="6B30561D">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17.1 供应商在递交投标文件后，招标截止时间前，可以修改或撤回其投标文件。但供应商必须在规定的投标截止期之前将修改或撤回的书面通知递交到采购代理机构。 </w:t>
      </w:r>
    </w:p>
    <w:p w14:paraId="70B155D2">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17.2 供应商的修改或撤回通知书应在内层封套上加注“修改”或“撤回”字样。 </w:t>
      </w:r>
    </w:p>
    <w:p w14:paraId="4CC0D6C6">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17.3 在招标截止日期之后，供应商不得对其招标响应文件做任何修改。 </w:t>
      </w:r>
    </w:p>
    <w:p w14:paraId="1F103896">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17.4从招标截止期始至招标文件确定的招标有效期期满这段时间内，供应商不得撤回其招标响应文件。 </w:t>
      </w:r>
    </w:p>
    <w:p w14:paraId="20D53341">
      <w:pPr>
        <w:jc w:val="center"/>
        <w:rPr>
          <w:rFonts w:hint="eastAsia" w:ascii="宋体" w:hAnsi="宋体" w:eastAsia="宋体" w:cs="宋体"/>
          <w:b/>
          <w:color w:val="auto"/>
          <w:sz w:val="32"/>
          <w:szCs w:val="32"/>
          <w:highlight w:val="none"/>
        </w:rPr>
      </w:pPr>
    </w:p>
    <w:p w14:paraId="2A631BC8">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五.开标与评标</w:t>
      </w:r>
      <w:bookmarkEnd w:id="35"/>
      <w:bookmarkEnd w:id="36"/>
      <w:bookmarkEnd w:id="37"/>
    </w:p>
    <w:p w14:paraId="4000EC7C">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bookmarkStart w:id="38" w:name="_Toc363474022"/>
      <w:bookmarkStart w:id="39" w:name="_Toc363473977"/>
      <w:bookmarkStart w:id="40" w:name="_Toc403077644"/>
      <w:r>
        <w:rPr>
          <w:rFonts w:hint="eastAsia" w:ascii="宋体" w:hAnsi="宋体" w:eastAsia="宋体" w:cs="宋体"/>
          <w:color w:val="auto"/>
          <w:kern w:val="0"/>
          <w:sz w:val="24"/>
          <w:szCs w:val="24"/>
          <w:lang w:val="en-US" w:eastAsia="zh-CN" w:bidi="ar"/>
        </w:rPr>
        <w:t xml:space="preserve">18．投标文件开启和评审 </w:t>
      </w:r>
    </w:p>
    <w:p w14:paraId="76C2D53C">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18.1 采购代理机构组织招标、文件开启、评审工作，招标整个过程接受监督部门的监督。 </w:t>
      </w:r>
    </w:p>
    <w:p w14:paraId="00CD224A">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18.2 </w:t>
      </w:r>
      <w:r>
        <w:rPr>
          <w:rFonts w:hint="eastAsia" w:ascii="宋体" w:hAnsi="宋体" w:eastAsia="宋体" w:cs="宋体"/>
          <w:b/>
          <w:bCs/>
          <w:color w:val="auto"/>
          <w:kern w:val="0"/>
          <w:sz w:val="24"/>
          <w:szCs w:val="24"/>
          <w:lang w:val="en-US" w:eastAsia="zh-CN" w:bidi="ar"/>
        </w:rPr>
        <w:t xml:space="preserve">本项目采用远程不见面开标方式进行开标、评标，采购代理机构在规定的时间和地点组织开标，投标单位授权代表不到现场参加开标，须自行在各自办公场所，自备电脑在投标截止时间前登录不见面开标大厅，进行远程开标、评标。 </w:t>
      </w:r>
    </w:p>
    <w:p w14:paraId="354D872C">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18.3 投标供应商在获取招标文件后应在全国公共资源交易平台（陕西省.安康市）网站[新闻咨询→通知公告]中下载并详细阅读《安康公共资源交易中心不见面开标系统（投标人） </w:t>
      </w:r>
    </w:p>
    <w:p w14:paraId="2F5C35A9">
      <w:pPr>
        <w:keepNext w:val="0"/>
        <w:keepLines w:val="0"/>
        <w:widowControl/>
        <w:suppressLineNumbers w:val="0"/>
        <w:spacing w:line="360" w:lineRule="auto"/>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操作手册》，下载地址http://ak.sxggzyjy.cn/xwzx/002002/20210812/f8d1e823-ae2d-4a4d-bd23-288b7355443d.html。 </w:t>
      </w:r>
    </w:p>
    <w:p w14:paraId="2340A683">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 xml:space="preserve">为顺利实现不见面开标系统的远程交互，建议投标人配置的软硬件设施有：高配置电脑、高速稳定的网络、电源（不间断）、CA锁、音视频设备（话筒、耳麦、高清摄像头、音响），浏览器要求使用IE11浏览器，且电脑已经正确安装了陕西省公共资源CA驱动。 </w:t>
      </w:r>
    </w:p>
    <w:p w14:paraId="4FFDA628">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 xml:space="preserve"> 投标人需注意CA锁一定要提前准备好，并确保CA锁为制作投标文件的CA锁。不见面开标方式因投标人不来开标现场，资格审查如需提供原件，请按招标文件中要求，在投标文件中上传电子版。 </w:t>
      </w:r>
    </w:p>
    <w:p w14:paraId="33AEBB1B">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开标时间</w:t>
      </w:r>
      <w:r>
        <w:rPr>
          <w:rFonts w:hint="eastAsia" w:hAnsi="宋体" w:cs="宋体"/>
          <w:color w:val="auto"/>
          <w:kern w:val="0"/>
          <w:sz w:val="24"/>
          <w:szCs w:val="24"/>
          <w:lang w:val="en-US" w:eastAsia="zh-CN" w:bidi="ar"/>
        </w:rPr>
        <w:t>截止</w:t>
      </w:r>
      <w:r>
        <w:rPr>
          <w:rFonts w:hint="eastAsia" w:ascii="宋体" w:hAnsi="宋体" w:eastAsia="宋体" w:cs="宋体"/>
          <w:color w:val="auto"/>
          <w:kern w:val="0"/>
          <w:sz w:val="24"/>
          <w:szCs w:val="24"/>
          <w:lang w:val="en-US" w:eastAsia="zh-CN" w:bidi="ar"/>
        </w:rPr>
        <w:t>后</w:t>
      </w:r>
      <w:r>
        <w:rPr>
          <w:rFonts w:hint="eastAsia" w:hAnsi="宋体" w:cs="宋体"/>
          <w:color w:val="auto"/>
          <w:kern w:val="0"/>
          <w:sz w:val="24"/>
          <w:szCs w:val="24"/>
          <w:lang w:val="en-US" w:eastAsia="zh-CN" w:bidi="ar"/>
        </w:rPr>
        <w:t>将不再</w:t>
      </w:r>
      <w:r>
        <w:rPr>
          <w:rFonts w:hint="eastAsia" w:ascii="宋体" w:hAnsi="宋体" w:eastAsia="宋体" w:cs="宋体"/>
          <w:color w:val="auto"/>
          <w:kern w:val="0"/>
          <w:sz w:val="24"/>
          <w:szCs w:val="24"/>
          <w:lang w:val="en-US" w:eastAsia="zh-CN" w:bidi="ar"/>
        </w:rPr>
        <w:t>签到，投标人</w:t>
      </w:r>
      <w:r>
        <w:rPr>
          <w:rFonts w:hint="eastAsia" w:hAnsi="宋体" w:cs="宋体"/>
          <w:color w:val="auto"/>
          <w:kern w:val="0"/>
          <w:sz w:val="24"/>
          <w:szCs w:val="24"/>
          <w:lang w:val="en-US" w:eastAsia="zh-CN" w:bidi="ar"/>
        </w:rPr>
        <w:t>可</w:t>
      </w:r>
      <w:r>
        <w:rPr>
          <w:rFonts w:hint="eastAsia" w:ascii="宋体" w:hAnsi="宋体" w:eastAsia="宋体" w:cs="宋体"/>
          <w:color w:val="auto"/>
          <w:kern w:val="0"/>
          <w:sz w:val="24"/>
          <w:szCs w:val="24"/>
          <w:lang w:val="en-US" w:eastAsia="zh-CN" w:bidi="ar"/>
        </w:rPr>
        <w:t>在开标前半小时登录不见面开标大厅，并及时签到（开标前60分钟即可签到），遇到问题及时联系客服4009280095</w:t>
      </w:r>
      <w:r>
        <w:rPr>
          <w:rFonts w:hint="eastAsia" w:hAnsi="宋体" w:cs="宋体"/>
          <w:color w:val="auto"/>
          <w:kern w:val="0"/>
          <w:sz w:val="24"/>
          <w:szCs w:val="24"/>
          <w:lang w:val="en-US" w:eastAsia="zh-CN" w:bidi="ar"/>
        </w:rPr>
        <w:t>或招标代理机构</w:t>
      </w:r>
      <w:r>
        <w:rPr>
          <w:rFonts w:hint="eastAsia" w:ascii="宋体" w:hAnsi="宋体" w:eastAsia="宋体" w:cs="宋体"/>
          <w:color w:val="auto"/>
          <w:kern w:val="0"/>
          <w:sz w:val="24"/>
          <w:szCs w:val="24"/>
          <w:lang w:val="en-US" w:eastAsia="zh-CN" w:bidi="ar"/>
        </w:rPr>
        <w:t xml:space="preserve">。 </w:t>
      </w:r>
    </w:p>
    <w:p w14:paraId="561E36F7">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7</w:t>
      </w:r>
      <w:r>
        <w:rPr>
          <w:rFonts w:hint="eastAsia" w:ascii="宋体" w:hAnsi="宋体" w:eastAsia="宋体" w:cs="宋体"/>
          <w:color w:val="auto"/>
          <w:kern w:val="0"/>
          <w:sz w:val="24"/>
          <w:szCs w:val="24"/>
          <w:lang w:val="en-US" w:eastAsia="zh-CN" w:bidi="ar"/>
        </w:rPr>
        <w:t xml:space="preserve">开标时，供应商须使用电子投标文件加密时所用的数字认证证书（CA 锁）在自备电脑上自行远程解密电子投标文件，由电子交易系统进行自动唱标。 </w:t>
      </w:r>
    </w:p>
    <w:p w14:paraId="1FFD0A12">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.8</w:t>
      </w:r>
      <w:r>
        <w:rPr>
          <w:rFonts w:hint="eastAsia" w:ascii="宋体" w:hAnsi="宋体" w:eastAsia="宋体" w:cs="宋体"/>
          <w:color w:val="auto"/>
          <w:kern w:val="0"/>
          <w:sz w:val="24"/>
          <w:szCs w:val="24"/>
          <w:lang w:val="en-US" w:eastAsia="zh-CN" w:bidi="ar"/>
        </w:rPr>
        <w:t xml:space="preserve">系统默认解密时长为 20 分钟，投标单位需在解密时间规定内完成标书解密。所有投标单位解密完成后由开标人员将响应文件导入开评标系统。 </w:t>
      </w:r>
    </w:p>
    <w:p w14:paraId="46088B8A">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9</w:t>
      </w:r>
      <w:r>
        <w:rPr>
          <w:rFonts w:hint="eastAsia" w:ascii="宋体" w:hAnsi="宋体" w:eastAsia="宋体" w:cs="宋体"/>
          <w:color w:val="auto"/>
          <w:kern w:val="0"/>
          <w:sz w:val="24"/>
          <w:szCs w:val="24"/>
          <w:lang w:val="en-US" w:eastAsia="zh-CN" w:bidi="ar"/>
        </w:rPr>
        <w:t xml:space="preserve"> 如遇招标、谈判等招标方式及投标单位有关澄清或说明的事项，评标小组将分别与每位供应商远程进行询问，请及时关注不见面开播大厅右侧公告及互动栏目信息。 </w:t>
      </w:r>
    </w:p>
    <w:p w14:paraId="7755D1ED">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10</w:t>
      </w:r>
      <w:r>
        <w:rPr>
          <w:rFonts w:hint="eastAsia" w:ascii="宋体" w:hAnsi="宋体" w:eastAsia="宋体" w:cs="宋体"/>
          <w:color w:val="auto"/>
          <w:kern w:val="0"/>
          <w:sz w:val="24"/>
          <w:szCs w:val="24"/>
          <w:lang w:val="en-US" w:eastAsia="zh-CN" w:bidi="ar"/>
        </w:rPr>
        <w:t>如遇</w:t>
      </w:r>
      <w:r>
        <w:rPr>
          <w:rFonts w:hint="eastAsia" w:hAnsi="宋体" w:cs="宋体"/>
          <w:color w:val="auto"/>
          <w:kern w:val="0"/>
          <w:sz w:val="24"/>
          <w:szCs w:val="24"/>
          <w:lang w:val="en-US" w:eastAsia="zh-CN" w:bidi="ar"/>
        </w:rPr>
        <w:t>磋商</w:t>
      </w:r>
      <w:r>
        <w:rPr>
          <w:rFonts w:hint="eastAsia" w:ascii="宋体" w:hAnsi="宋体" w:eastAsia="宋体" w:cs="宋体"/>
          <w:color w:val="auto"/>
          <w:kern w:val="0"/>
          <w:sz w:val="24"/>
          <w:szCs w:val="24"/>
          <w:lang w:val="en-US" w:eastAsia="zh-CN" w:bidi="ar"/>
        </w:rPr>
        <w:t xml:space="preserve">、谈判等招标方式，询问结束后，供应商在自备电脑上用数字认证证书（CA主锁）登陆系统进行二次报价，系统按照评标规则自动排序。 </w:t>
      </w:r>
    </w:p>
    <w:p w14:paraId="18B91B00">
      <w:pPr>
        <w:keepNext w:val="0"/>
        <w:keepLines w:val="0"/>
        <w:widowControl/>
        <w:suppressLineNumbers w:val="0"/>
        <w:spacing w:line="360" w:lineRule="auto"/>
        <w:ind w:left="0" w:leftChars="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18.</w:t>
      </w:r>
      <w:r>
        <w:rPr>
          <w:rFonts w:hint="eastAsia" w:hAnsi="宋体" w:cs="宋体"/>
          <w:color w:val="auto"/>
          <w:kern w:val="0"/>
          <w:sz w:val="24"/>
          <w:szCs w:val="24"/>
          <w:lang w:val="en-US" w:eastAsia="zh-CN" w:bidi="ar"/>
        </w:rPr>
        <w:t>11</w:t>
      </w:r>
      <w:r>
        <w:rPr>
          <w:rFonts w:hint="eastAsia" w:ascii="宋体" w:hAnsi="宋体" w:eastAsia="宋体" w:cs="宋体"/>
          <w:color w:val="auto"/>
          <w:kern w:val="0"/>
          <w:sz w:val="24"/>
          <w:szCs w:val="24"/>
          <w:lang w:val="en-US" w:eastAsia="zh-CN" w:bidi="ar"/>
        </w:rPr>
        <w:t>在开标环节出现下列情况之一的，其电子投标文件视为无效文件：</w:t>
      </w:r>
    </w:p>
    <w:p w14:paraId="67D7F792">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 供应商拒绝对电子投标文件进行解密的：</w:t>
      </w:r>
    </w:p>
    <w:p w14:paraId="48A1B237">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 因供应商自身原因（如未带 CA 锁、或所带 CA 锁与制作电子投标文件使用的 CA 锁不一致、或沿用旧版招标文件编制投标文件等情形），导致在规定时间内无法解密投标文件的； </w:t>
      </w:r>
    </w:p>
    <w:p w14:paraId="2CE99C80">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(3) 上传的电子投标文件无法打开的； </w:t>
      </w:r>
    </w:p>
    <w:p w14:paraId="1E80FF63">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(4)政府采购法律法规规定的其他无效情形。 </w:t>
      </w:r>
    </w:p>
    <w:p w14:paraId="08EB4904">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19．评标委员会 </w:t>
      </w:r>
    </w:p>
    <w:p w14:paraId="3C041D35">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19.1  按照《中华人民共和国政府采购法》及实施条例和中华人民共和国财政部令第87号--《政府采购货物和服务招标投标管理办法》的规定，依法组建评标委员会。评标委员会成员人数应当为5人以上单数，其中采购人代表1人（采购人代表需携带授权委托书），评审专家库随机抽取评审专家4人。评标委员会按照招标文件规定的评标方法独立进行评标工作。</w:t>
      </w:r>
    </w:p>
    <w:p w14:paraId="2518B09D">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19.2 评标委员会负责评标工作，对投标文件进行审查和评估，并向采购人提交书面评审意见。 </w:t>
      </w:r>
    </w:p>
    <w:p w14:paraId="3F0D3972">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20．评标过程的保密性 </w:t>
      </w:r>
    </w:p>
    <w:p w14:paraId="0FEC4004">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20.1 公开开标后，直至发布中标公告时止，凡与审查、澄清、评价和比较投标的有关资料以及授标意见等，均属保密范围，评标委员会及招标工作人员不得向投标人及与评标无关的其他人透露。 </w:t>
      </w:r>
    </w:p>
    <w:p w14:paraId="4138281D">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20.2 在评标过程中，如果投标人试图在投标文件审查、澄清、比较及授予合同方面向评标委员会或采购人施加任何影响，其投标将被拒绝。 </w:t>
      </w:r>
    </w:p>
    <w:p w14:paraId="51C07CC6">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21、投标文件的澄清 </w:t>
      </w:r>
    </w:p>
    <w:p w14:paraId="1FA491C1">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21.1 在评标期间，为有助于对投标文件的审查、评价和比较，评标委员会可分别要求投标人对其投标文件进行澄清或说明，有关澄清或说明的要求和答复应以书面形式提交。澄清和说明的内容不得超出投标文件的范围或改变投标文件实质性内容。 </w:t>
      </w:r>
    </w:p>
    <w:p w14:paraId="0B32C3F4">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22．投标文件的初审 （含资格性、符合性审查）</w:t>
      </w:r>
    </w:p>
    <w:p w14:paraId="08778A29">
      <w:pPr>
        <w:keepNext w:val="0"/>
        <w:keepLines w:val="0"/>
        <w:widowControl/>
        <w:suppressLineNumbers w:val="0"/>
        <w:spacing w:line="360" w:lineRule="auto"/>
        <w:ind w:left="0" w:leftChars="0"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22.1 采购人将审查资格证明文件是否齐全有效。</w:t>
      </w:r>
    </w:p>
    <w:tbl>
      <w:tblPr>
        <w:tblStyle w:val="20"/>
        <w:tblW w:w="9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1598"/>
        <w:gridCol w:w="8173"/>
      </w:tblGrid>
      <w:tr w14:paraId="6B92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51A1B7DB">
            <w:pPr>
              <w:spacing w:line="440" w:lineRule="exact"/>
              <w:jc w:val="center"/>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序号</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0A147A99">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审查因素</w:t>
            </w:r>
          </w:p>
        </w:tc>
      </w:tr>
      <w:tr w14:paraId="0C70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31"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1FFED270">
            <w:pPr>
              <w:spacing w:line="440" w:lineRule="exact"/>
              <w:jc w:val="center"/>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1</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59324D76">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具有独立承担民事责任能力的法人、其他组织或自然人，并出具合法有效的营业执照或事业单位法人证书等国家规定的相关证明，自然人参与的提供其身份证明。</w:t>
            </w:r>
          </w:p>
        </w:tc>
      </w:tr>
      <w:tr w14:paraId="7630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23" w:hRule="exact"/>
        </w:trPr>
        <w:tc>
          <w:tcPr>
            <w:tcW w:w="1598" w:type="dxa"/>
            <w:tcBorders>
              <w:top w:val="single" w:color="auto" w:sz="4" w:space="0"/>
              <w:left w:val="single" w:color="auto" w:sz="4" w:space="0"/>
              <w:bottom w:val="single" w:color="auto" w:sz="4" w:space="0"/>
              <w:right w:val="single" w:color="auto" w:sz="4" w:space="0"/>
            </w:tcBorders>
            <w:noWrap w:val="0"/>
            <w:vAlign w:val="center"/>
          </w:tcPr>
          <w:p w14:paraId="3D335BFC">
            <w:pPr>
              <w:spacing w:line="440" w:lineRule="exact"/>
              <w:jc w:val="center"/>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2</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70D671CB">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法定代表人授权书及被授权人身份证。（法定代表人直接投标只须提交其身份证复印件）。</w:t>
            </w:r>
          </w:p>
        </w:tc>
      </w:tr>
      <w:tr w14:paraId="6039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66" w:hRule="atLeast"/>
        </w:trPr>
        <w:tc>
          <w:tcPr>
            <w:tcW w:w="1598" w:type="dxa"/>
            <w:tcBorders>
              <w:top w:val="single" w:color="auto" w:sz="4" w:space="0"/>
              <w:left w:val="single" w:color="auto" w:sz="4" w:space="0"/>
              <w:right w:val="single" w:color="auto" w:sz="4" w:space="0"/>
            </w:tcBorders>
            <w:noWrap w:val="0"/>
            <w:vAlign w:val="center"/>
          </w:tcPr>
          <w:p w14:paraId="55CFF0EB">
            <w:pPr>
              <w:spacing w:line="440" w:lineRule="exact"/>
              <w:jc w:val="center"/>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3</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6E2AA6AD">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投标人须提供“信用中国”（www.creditchina.gov.cn）或“中国政府采购网”（www.ccgp.gov.cn）的信用信息查询记录(查询日期为从招标文件发售之日起至投标截止日前)，以网页截图加盖投标人公章为准。</w:t>
            </w:r>
          </w:p>
        </w:tc>
      </w:tr>
      <w:tr w14:paraId="7514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364"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1D340740">
            <w:pPr>
              <w:spacing w:line="440" w:lineRule="exact"/>
              <w:jc w:val="center"/>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4</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7FDE5E09">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书面声明：投标人必须提供参加政府采购活动前3年内在经营活动中没有重大违法记录的书面声明。</w:t>
            </w:r>
          </w:p>
        </w:tc>
      </w:tr>
      <w:tr w14:paraId="7533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2"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30466998">
            <w:pPr>
              <w:spacing w:line="440" w:lineRule="exact"/>
              <w:jc w:val="center"/>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5</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10EE6059">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财务状况报告：提供2022年或2023年度经审计的财务审计报告或财务报表（成立时间至提交响应文件截止时间不足一年的可提供成立后任意时段的资产负债表）或其基本存款账户开户银行出具的资信证明。</w:t>
            </w:r>
          </w:p>
        </w:tc>
      </w:tr>
      <w:tr w14:paraId="7955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2"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4672637D">
            <w:pPr>
              <w:spacing w:line="440" w:lineRule="exact"/>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750AF5F0">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税收缴纳证明：提供2023年至今任意三个月缴纳的纳税证明或完税证明，依法免税的单位应提供相关证明材料，纳税证明或完税证明上应有代收机构或税务机关的公章或业务专用章。</w:t>
            </w:r>
          </w:p>
        </w:tc>
      </w:tr>
      <w:tr w14:paraId="4354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2"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543AC922">
            <w:pPr>
              <w:spacing w:line="440" w:lineRule="exact"/>
              <w:jc w:val="center"/>
              <w:rPr>
                <w:rFonts w:hint="default" w:ascii="宋体" w:hAnsi="宋体" w:eastAsia="宋体" w:cs="宋体"/>
                <w:color w:val="auto"/>
                <w:kern w:val="0"/>
                <w:sz w:val="24"/>
                <w:szCs w:val="24"/>
                <w:highlight w:val="none"/>
                <w:lang w:val="en-US" w:eastAsia="zh-CN" w:bidi="ar-SA"/>
              </w:rPr>
            </w:pPr>
            <w:r>
              <w:rPr>
                <w:rFonts w:hint="eastAsia" w:hAnsi="宋体" w:cs="宋体"/>
                <w:color w:val="auto"/>
                <w:kern w:val="0"/>
                <w:sz w:val="24"/>
                <w:szCs w:val="24"/>
                <w:highlight w:val="none"/>
                <w:lang w:val="en-US" w:eastAsia="zh-CN" w:bidi="ar-SA"/>
              </w:rPr>
              <w:t>7</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1FB144BF">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社会保障资金缴纳证明：提供2023年至今任意三个月社会保障资金缴存单据或社保机构开具的社会保险参保缴费情况证明，依法不需要缴纳社会保障资金的单位应提供相关证明材料，单据或证明上应有社保机构或代收机构的印章。</w:t>
            </w:r>
          </w:p>
        </w:tc>
      </w:tr>
      <w:tr w14:paraId="26CD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2"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5366E674">
            <w:pPr>
              <w:spacing w:line="440" w:lineRule="exact"/>
              <w:jc w:val="center"/>
              <w:rPr>
                <w:rFonts w:hint="default" w:ascii="宋体" w:hAnsi="宋体" w:eastAsia="宋体" w:cs="宋体"/>
                <w:color w:val="auto"/>
                <w:kern w:val="0"/>
                <w:sz w:val="24"/>
                <w:szCs w:val="24"/>
                <w:highlight w:val="none"/>
                <w:lang w:val="en-US" w:eastAsia="zh-CN" w:bidi="ar-SA"/>
              </w:rPr>
            </w:pPr>
            <w:r>
              <w:rPr>
                <w:rFonts w:hint="eastAsia" w:hAnsi="宋体" w:cs="宋体"/>
                <w:color w:val="auto"/>
                <w:kern w:val="0"/>
                <w:sz w:val="24"/>
                <w:szCs w:val="24"/>
                <w:highlight w:val="none"/>
                <w:lang w:val="en-US" w:eastAsia="zh-CN" w:bidi="ar-SA"/>
              </w:rPr>
              <w:t>8</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5990CC31">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投标单位为制造厂商的须提供医疗器械生产许可证及所投产品医疗器械注册证；投标单位为代理商的须提供医疗器械经营许可证或医疗器械经营备案凭证（投标产品须在其经营范围内）及所投产品医疗器械注册证（复印件加盖厂家公章）；</w:t>
            </w:r>
          </w:p>
        </w:tc>
      </w:tr>
      <w:tr w14:paraId="784D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2" w:hRule="atLeast"/>
        </w:trPr>
        <w:tc>
          <w:tcPr>
            <w:tcW w:w="1598" w:type="dxa"/>
            <w:tcBorders>
              <w:top w:val="single" w:color="auto" w:sz="4" w:space="0"/>
              <w:left w:val="single" w:color="auto" w:sz="4" w:space="0"/>
              <w:bottom w:val="single" w:color="auto" w:sz="4" w:space="0"/>
              <w:right w:val="single" w:color="auto" w:sz="4" w:space="0"/>
            </w:tcBorders>
            <w:noWrap w:val="0"/>
            <w:vAlign w:val="center"/>
          </w:tcPr>
          <w:p w14:paraId="7CA06D01">
            <w:pPr>
              <w:spacing w:line="440" w:lineRule="exact"/>
              <w:jc w:val="center"/>
              <w:rPr>
                <w:rFonts w:hint="default" w:ascii="宋体" w:hAnsi="宋体" w:eastAsia="宋体" w:cs="宋体"/>
                <w:color w:val="auto"/>
                <w:kern w:val="0"/>
                <w:sz w:val="24"/>
                <w:szCs w:val="24"/>
                <w:highlight w:val="none"/>
                <w:lang w:val="en-US" w:eastAsia="zh-CN" w:bidi="ar-SA"/>
              </w:rPr>
            </w:pPr>
            <w:r>
              <w:rPr>
                <w:rFonts w:hint="eastAsia" w:hAnsi="宋体" w:cs="宋体"/>
                <w:color w:val="auto"/>
                <w:kern w:val="0"/>
                <w:sz w:val="24"/>
                <w:szCs w:val="24"/>
                <w:highlight w:val="none"/>
                <w:lang w:val="en-US" w:eastAsia="zh-CN" w:bidi="ar-SA"/>
              </w:rPr>
              <w:t>9</w:t>
            </w:r>
          </w:p>
        </w:tc>
        <w:tc>
          <w:tcPr>
            <w:tcW w:w="8173" w:type="dxa"/>
            <w:tcBorders>
              <w:top w:val="single" w:color="auto" w:sz="4" w:space="0"/>
              <w:left w:val="single" w:color="auto" w:sz="4" w:space="0"/>
              <w:bottom w:val="single" w:color="auto" w:sz="4" w:space="0"/>
              <w:right w:val="single" w:color="auto" w:sz="4" w:space="0"/>
            </w:tcBorders>
            <w:noWrap w:val="0"/>
            <w:vAlign w:val="center"/>
          </w:tcPr>
          <w:p w14:paraId="2A860D9D">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本项目不接受联合体投标</w:t>
            </w:r>
            <w:r>
              <w:rPr>
                <w:rFonts w:hint="eastAsia" w:hAnsi="宋体" w:cs="宋体"/>
                <w:color w:val="auto"/>
                <w:kern w:val="0"/>
                <w:sz w:val="24"/>
                <w:szCs w:val="24"/>
                <w:lang w:val="en-US" w:eastAsia="zh-CN" w:bidi="ar"/>
              </w:rPr>
              <w:t>（提供非联合体投标函）</w:t>
            </w:r>
            <w:r>
              <w:rPr>
                <w:rFonts w:hint="eastAsia" w:ascii="宋体" w:hAnsi="宋体" w:eastAsia="宋体" w:cs="宋体"/>
                <w:color w:val="auto"/>
                <w:kern w:val="0"/>
                <w:sz w:val="24"/>
                <w:szCs w:val="24"/>
                <w:lang w:val="en-US" w:eastAsia="zh-CN" w:bidi="ar"/>
              </w:rPr>
              <w:t>。</w:t>
            </w:r>
          </w:p>
        </w:tc>
      </w:tr>
    </w:tbl>
    <w:p w14:paraId="2C25EB20">
      <w:pPr>
        <w:keepNext w:val="0"/>
        <w:keepLines w:val="0"/>
        <w:widowControl/>
        <w:suppressLineNumbers w:val="0"/>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22.2 评标委员会将审查每份投标文件是否实质上响应了招标文件的要求。实质上响应的投标应该是与招标文件要求的全部条款、条件和规格相符，没有重大偏离或保留的投标。对关键条文的偏离、保留或反对将被认为是实质上的偏离。重大偏离或保留是指实质上影响服务内容；或者实质上与招标文件不一致，而且限制了采购人的权利或投标人的义务。纠正这些偏离或保留将会对其他实质上响应要求的投标人的竞争地位产生不公正的影响。对于投标文件中不构成实质性偏差的不正规、不一致或不规则，采购人可以接受，但这种接受将影响投标人的综合得分。评标委员会只根据投标文件本身的内容确定投标文件的响应性，而不寻求外部的证据。</w:t>
      </w:r>
    </w:p>
    <w:p w14:paraId="66D0DC1C">
      <w:pPr>
        <w:keepNext w:val="0"/>
        <w:keepLines w:val="0"/>
        <w:widowControl/>
        <w:suppressLineNumbers w:val="0"/>
        <w:ind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22.3 符合性评审：如发现下列情况之一的，其投标将按无效处理：</w:t>
      </w:r>
    </w:p>
    <w:tbl>
      <w:tblPr>
        <w:tblStyle w:val="20"/>
        <w:tblW w:w="9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678"/>
        <w:gridCol w:w="8514"/>
      </w:tblGrid>
      <w:tr w14:paraId="2D27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50" w:hRule="atLeast"/>
          <w:jc w:val="center"/>
        </w:trPr>
        <w:tc>
          <w:tcPr>
            <w:tcW w:w="678" w:type="dxa"/>
            <w:tcBorders>
              <w:top w:val="single" w:color="auto" w:sz="4" w:space="0"/>
              <w:left w:val="single" w:color="auto" w:sz="4" w:space="0"/>
              <w:bottom w:val="single" w:color="auto" w:sz="4" w:space="0"/>
              <w:right w:val="single" w:color="auto" w:sz="4" w:space="0"/>
            </w:tcBorders>
            <w:noWrap w:val="0"/>
            <w:vAlign w:val="center"/>
          </w:tcPr>
          <w:p w14:paraId="759BD524">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4419E930">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审查因素</w:t>
            </w:r>
          </w:p>
        </w:tc>
      </w:tr>
      <w:tr w14:paraId="3FC6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7" w:hRule="atLeast"/>
          <w:jc w:val="center"/>
        </w:trPr>
        <w:tc>
          <w:tcPr>
            <w:tcW w:w="678" w:type="dxa"/>
            <w:tcBorders>
              <w:top w:val="single" w:color="auto" w:sz="4" w:space="0"/>
              <w:left w:val="single" w:color="auto" w:sz="4" w:space="0"/>
              <w:right w:val="single" w:color="auto" w:sz="4" w:space="0"/>
            </w:tcBorders>
            <w:noWrap w:val="0"/>
            <w:vAlign w:val="center"/>
          </w:tcPr>
          <w:p w14:paraId="0C6B8A2F">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42C20659">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投标文件项目名称、项目编号与招标文件一致</w:t>
            </w:r>
          </w:p>
        </w:tc>
      </w:tr>
      <w:tr w14:paraId="6DA3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84" w:hRule="atLeast"/>
          <w:jc w:val="center"/>
        </w:trPr>
        <w:tc>
          <w:tcPr>
            <w:tcW w:w="678" w:type="dxa"/>
            <w:tcBorders>
              <w:left w:val="single" w:color="auto" w:sz="4" w:space="0"/>
              <w:right w:val="single" w:color="auto" w:sz="4" w:space="0"/>
            </w:tcBorders>
            <w:noWrap w:val="0"/>
            <w:vAlign w:val="center"/>
          </w:tcPr>
          <w:p w14:paraId="3ECF678C">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40080C37">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只能有一个有效报价</w:t>
            </w:r>
          </w:p>
        </w:tc>
      </w:tr>
      <w:tr w14:paraId="142B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99" w:hRule="atLeast"/>
          <w:jc w:val="center"/>
        </w:trPr>
        <w:tc>
          <w:tcPr>
            <w:tcW w:w="678" w:type="dxa"/>
            <w:tcBorders>
              <w:left w:val="single" w:color="auto" w:sz="4" w:space="0"/>
              <w:right w:val="single" w:color="auto" w:sz="4" w:space="0"/>
            </w:tcBorders>
            <w:noWrap w:val="0"/>
            <w:vAlign w:val="center"/>
          </w:tcPr>
          <w:p w14:paraId="5C1EC314">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3699BCE1">
            <w:pPr>
              <w:spacing w:line="440" w:lineRule="exact"/>
              <w:ind w:firstLine="480" w:firstLineChars="200"/>
              <w:jc w:val="center"/>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交货期</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期符合招标文件要求</w:t>
            </w:r>
          </w:p>
        </w:tc>
      </w:tr>
      <w:tr w14:paraId="25C8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42" w:hRule="atLeast"/>
          <w:jc w:val="center"/>
        </w:trPr>
        <w:tc>
          <w:tcPr>
            <w:tcW w:w="678" w:type="dxa"/>
            <w:tcBorders>
              <w:left w:val="single" w:color="auto" w:sz="4" w:space="0"/>
              <w:right w:val="single" w:color="auto" w:sz="4" w:space="0"/>
            </w:tcBorders>
            <w:noWrap w:val="0"/>
            <w:vAlign w:val="center"/>
          </w:tcPr>
          <w:p w14:paraId="19586369">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48F58844">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投标有效期符合招标文件要求</w:t>
            </w:r>
          </w:p>
        </w:tc>
      </w:tr>
      <w:tr w14:paraId="0AB5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75" w:hRule="exact"/>
          <w:jc w:val="center"/>
        </w:trPr>
        <w:tc>
          <w:tcPr>
            <w:tcW w:w="678" w:type="dxa"/>
            <w:tcBorders>
              <w:left w:val="single" w:color="auto" w:sz="4" w:space="0"/>
              <w:right w:val="single" w:color="auto" w:sz="4" w:space="0"/>
            </w:tcBorders>
            <w:noWrap w:val="0"/>
            <w:vAlign w:val="center"/>
          </w:tcPr>
          <w:p w14:paraId="19AE5391">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49A36964">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投标文件按招标文件要求逐条响应、无缺项、且要求实质性条款全部响应，不能有采购人不能接受的附加条件；</w:t>
            </w:r>
          </w:p>
        </w:tc>
      </w:tr>
      <w:tr w14:paraId="7FB1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31" w:hRule="atLeast"/>
          <w:jc w:val="center"/>
        </w:trPr>
        <w:tc>
          <w:tcPr>
            <w:tcW w:w="678" w:type="dxa"/>
            <w:tcBorders>
              <w:left w:val="single" w:color="auto" w:sz="4" w:space="0"/>
              <w:right w:val="single" w:color="auto" w:sz="4" w:space="0"/>
            </w:tcBorders>
            <w:noWrap w:val="0"/>
            <w:vAlign w:val="center"/>
          </w:tcPr>
          <w:p w14:paraId="404D8BAA">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6D19F7E6">
            <w:pPr>
              <w:spacing w:line="44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投标方案没有出现严重漏项，没有造成系统缺陷，能够保证该项目的顺利实施</w:t>
            </w:r>
            <w:r>
              <w:rPr>
                <w:rFonts w:hint="eastAsia" w:ascii="宋体" w:hAnsi="宋体" w:eastAsia="宋体" w:cs="宋体"/>
                <w:color w:val="auto"/>
                <w:sz w:val="24"/>
                <w:szCs w:val="24"/>
                <w:highlight w:val="none"/>
                <w:lang w:eastAsia="zh-CN"/>
              </w:rPr>
              <w:t>。</w:t>
            </w:r>
          </w:p>
        </w:tc>
      </w:tr>
      <w:tr w14:paraId="12C6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94" w:hRule="atLeast"/>
          <w:jc w:val="center"/>
        </w:trPr>
        <w:tc>
          <w:tcPr>
            <w:tcW w:w="678" w:type="dxa"/>
            <w:tcBorders>
              <w:left w:val="single" w:color="auto" w:sz="4" w:space="0"/>
              <w:bottom w:val="single" w:color="auto" w:sz="4" w:space="0"/>
              <w:right w:val="single" w:color="auto" w:sz="4" w:space="0"/>
            </w:tcBorders>
            <w:noWrap w:val="0"/>
            <w:vAlign w:val="center"/>
          </w:tcPr>
          <w:p w14:paraId="215E0BD1">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10DCE9A8">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投标文件构成和格式（符合招标文件要求）</w:t>
            </w:r>
          </w:p>
        </w:tc>
      </w:tr>
      <w:tr w14:paraId="7B8B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79" w:hRule="atLeast"/>
          <w:jc w:val="center"/>
        </w:trPr>
        <w:tc>
          <w:tcPr>
            <w:tcW w:w="678" w:type="dxa"/>
            <w:tcBorders>
              <w:left w:val="single" w:color="auto" w:sz="4" w:space="0"/>
              <w:right w:val="single" w:color="auto" w:sz="4" w:space="0"/>
            </w:tcBorders>
            <w:noWrap w:val="0"/>
            <w:vAlign w:val="center"/>
          </w:tcPr>
          <w:p w14:paraId="592DE258">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8514" w:type="dxa"/>
            <w:tcBorders>
              <w:top w:val="single" w:color="auto" w:sz="4" w:space="0"/>
              <w:left w:val="single" w:color="auto" w:sz="4" w:space="0"/>
              <w:bottom w:val="single" w:color="auto" w:sz="4" w:space="0"/>
              <w:right w:val="single" w:color="auto" w:sz="4" w:space="0"/>
            </w:tcBorders>
            <w:noWrap w:val="0"/>
            <w:vAlign w:val="center"/>
          </w:tcPr>
          <w:p w14:paraId="57600751">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其他情况：符合招标文件或法律法规有关规定的其他情形</w:t>
            </w:r>
          </w:p>
        </w:tc>
      </w:tr>
      <w:tr w14:paraId="5881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11" w:hRule="exact"/>
          <w:jc w:val="center"/>
        </w:trPr>
        <w:tc>
          <w:tcPr>
            <w:tcW w:w="9192" w:type="dxa"/>
            <w:gridSpan w:val="2"/>
            <w:tcBorders>
              <w:left w:val="single" w:color="auto" w:sz="4" w:space="0"/>
              <w:bottom w:val="single" w:color="auto" w:sz="4" w:space="0"/>
              <w:right w:val="single" w:color="auto" w:sz="4" w:space="0"/>
            </w:tcBorders>
            <w:noWrap w:val="0"/>
            <w:vAlign w:val="center"/>
          </w:tcPr>
          <w:p w14:paraId="238BDCAF">
            <w:pPr>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备注：符合性审查不合格的投标单位不得进入下一评审环节。</w:t>
            </w:r>
          </w:p>
        </w:tc>
      </w:tr>
    </w:tbl>
    <w:p w14:paraId="1900C187">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22.3.1 有下列情形之一的，视为投标人相互恶意串通投标响应，其投标文件按无效处理： </w:t>
      </w:r>
    </w:p>
    <w:p w14:paraId="68C73CDB">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1）不同投标人的投标文件由同一单位或者个人编制；</w:t>
      </w:r>
      <w:r>
        <w:rPr>
          <w:rFonts w:hint="eastAsia" w:ascii="宋体" w:hAnsi="宋体" w:eastAsia="宋体" w:cs="宋体"/>
          <w:color w:val="auto"/>
          <w:kern w:val="0"/>
          <w:sz w:val="18"/>
          <w:szCs w:val="18"/>
          <w:lang w:val="en-US" w:eastAsia="zh-CN" w:bidi="ar"/>
        </w:rPr>
        <w:t xml:space="preserve"> </w:t>
      </w:r>
    </w:p>
    <w:p w14:paraId="77849977">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2）不同投标人委托同一单位或者个人办理投标事宜； </w:t>
      </w:r>
    </w:p>
    <w:p w14:paraId="6259F096">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3）不同投标人的响应文件载明的项目管理成员为同一人； </w:t>
      </w:r>
    </w:p>
    <w:p w14:paraId="38835833">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4）不同投标人的响应文件异常一致或者投标报价呈规律性差异； </w:t>
      </w:r>
    </w:p>
    <w:p w14:paraId="0850D0A3">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5）不同投标人的响应文件相互混装； </w:t>
      </w:r>
    </w:p>
    <w:p w14:paraId="1EAE2EBB">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6）不同投标人的响应文件由同一单位送达。 </w:t>
      </w:r>
    </w:p>
    <w:p w14:paraId="2059A882">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22.4 如果投标文件实质上没有响应招标文件的要求，评标委员会将予以拒绝，投标人不得通过修正或撤销不合要求的偏离从而使其投标成为实质上响应的投标。 </w:t>
      </w:r>
    </w:p>
    <w:p w14:paraId="19007F04">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22.5 评标委员会将只对确定为实质上响应的投标进行审核，看其是否有计算上和累加上的算术错误，修正错误的原则如下： </w:t>
      </w:r>
    </w:p>
    <w:p w14:paraId="20EE19BA">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1）投标报价表中内容与投标文件投标分项报价表内容不一致的，应以投标报价表为准； </w:t>
      </w:r>
    </w:p>
    <w:p w14:paraId="428017E0">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2）投标文件的大写金额和小写金额不一致的，以大写金额为准；总价金额与按单价汇总金额不一致的，以单价金额计算结果为准；单价金额小数点有明显错位的，应以总价为准，并修改单价； </w:t>
      </w:r>
    </w:p>
    <w:p w14:paraId="2FC91013">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22.6 评标委员会将按上述修正错误的原则调整投标文件中的投标报价，调整后的价格应对投标人具有约束力。如果投标人不接受修正后的价格，则其投标将被拒绝。 </w:t>
      </w:r>
    </w:p>
    <w:p w14:paraId="34E60DFF">
      <w:pPr>
        <w:keepNext w:val="0"/>
        <w:keepLines w:val="0"/>
        <w:widowControl/>
        <w:suppressLineNumbers w:val="0"/>
        <w:spacing w:line="360" w:lineRule="auto"/>
        <w:ind w:left="0" w:leftChars="0" w:firstLine="482" w:firstLineChars="200"/>
        <w:jc w:val="left"/>
        <w:rPr>
          <w:rFonts w:hint="eastAsia" w:ascii="宋体" w:hAnsi="宋体" w:eastAsia="宋体" w:cs="宋体"/>
          <w:color w:val="auto"/>
        </w:rPr>
      </w:pPr>
      <w:r>
        <w:rPr>
          <w:rFonts w:hint="eastAsia" w:ascii="宋体" w:hAnsi="宋体" w:eastAsia="宋体" w:cs="宋体"/>
          <w:b/>
          <w:bCs/>
          <w:color w:val="auto"/>
          <w:kern w:val="0"/>
          <w:sz w:val="24"/>
          <w:szCs w:val="24"/>
          <w:lang w:val="en-US" w:eastAsia="zh-CN" w:bidi="ar"/>
        </w:rPr>
        <w:t xml:space="preserve">23．投标文件的详细评审 </w:t>
      </w:r>
    </w:p>
    <w:p w14:paraId="3A6AEEC4">
      <w:pPr>
        <w:keepNext w:val="0"/>
        <w:keepLines w:val="0"/>
        <w:widowControl/>
        <w:suppressLineNumbers w:val="0"/>
        <w:spacing w:line="360" w:lineRule="auto"/>
        <w:ind w:left="0" w:leftChars="0" w:firstLine="480" w:firstLineChars="20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23.1 评标委员会将按照第 22 条规定只对确定为实质上响应招标文件要求的投标进行详细的评价和比较。 </w:t>
      </w:r>
    </w:p>
    <w:p w14:paraId="3E113506">
      <w:pPr>
        <w:keepNext w:val="0"/>
        <w:keepLines w:val="0"/>
        <w:widowControl/>
        <w:suppressLineNumbers w:val="0"/>
        <w:spacing w:line="360" w:lineRule="auto"/>
        <w:ind w:left="0" w:leftChars="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23.2 评标方法：综合评分法</w:t>
      </w:r>
    </w:p>
    <w:p w14:paraId="175E326C">
      <w:pPr>
        <w:spacing w:line="360" w:lineRule="auto"/>
        <w:ind w:firstLine="496" w:firstLineChars="200"/>
        <w:rPr>
          <w:rFonts w:hint="eastAsia" w:ascii="宋体" w:hAnsi="宋体" w:eastAsia="宋体" w:cs="宋体"/>
          <w:color w:val="auto"/>
          <w:spacing w:val="4"/>
          <w:szCs w:val="24"/>
          <w:highlight w:val="none"/>
        </w:rPr>
      </w:pPr>
      <w:r>
        <w:rPr>
          <w:rFonts w:hint="eastAsia" w:ascii="宋体" w:hAnsi="宋体" w:eastAsia="宋体" w:cs="宋体"/>
          <w:color w:val="auto"/>
          <w:spacing w:val="4"/>
          <w:szCs w:val="24"/>
          <w:highlight w:val="none"/>
        </w:rPr>
        <w:t>按照</w:t>
      </w:r>
      <w:r>
        <w:rPr>
          <w:rFonts w:hint="eastAsia" w:ascii="宋体" w:hAnsi="宋体" w:eastAsia="宋体" w:cs="宋体"/>
          <w:color w:val="auto"/>
          <w:highlight w:val="none"/>
        </w:rPr>
        <w:t>《中华人民共和国政府采购法》及实施条例和</w:t>
      </w:r>
      <w:r>
        <w:rPr>
          <w:rFonts w:hint="eastAsia" w:ascii="宋体" w:hAnsi="宋体" w:eastAsia="宋体" w:cs="宋体"/>
          <w:color w:val="auto"/>
          <w:spacing w:val="4"/>
          <w:szCs w:val="24"/>
          <w:highlight w:val="none"/>
        </w:rPr>
        <w:t>中华人民共和国财政部令第87号--《政府采购货物和服务招标投标管理办法》的规定，本次评标采用综合评分法，即在最大限度地满足招标文件实质性要求前提下，按照招标文件中规定的各项因素和相应的权重分值进行综合评审后，以总得分最高的投标人作为中标候选人并依次排序（最低报价不是中标的唯一标准）。</w:t>
      </w:r>
    </w:p>
    <w:p w14:paraId="761F9216">
      <w:pPr>
        <w:pStyle w:val="36"/>
        <w:rPr>
          <w:rFonts w:hint="eastAsia" w:ascii="宋体" w:hAnsi="宋体" w:eastAsia="宋体" w:cs="宋体"/>
          <w:color w:val="auto"/>
        </w:rPr>
      </w:pPr>
    </w:p>
    <w:tbl>
      <w:tblPr>
        <w:tblStyle w:val="20"/>
        <w:tblW w:w="93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003"/>
        <w:gridCol w:w="1004"/>
        <w:gridCol w:w="7367"/>
      </w:tblGrid>
      <w:tr w14:paraId="5A9D5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43" w:hRule="atLeast"/>
          <w:jc w:val="center"/>
        </w:trPr>
        <w:tc>
          <w:tcPr>
            <w:tcW w:w="1003" w:type="dxa"/>
            <w:noWrap w:val="0"/>
            <w:vAlign w:val="center"/>
          </w:tcPr>
          <w:p w14:paraId="1555497B">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评标项目</w:t>
            </w:r>
          </w:p>
        </w:tc>
        <w:tc>
          <w:tcPr>
            <w:tcW w:w="1004" w:type="dxa"/>
            <w:noWrap w:val="0"/>
            <w:vAlign w:val="center"/>
          </w:tcPr>
          <w:p w14:paraId="5316807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分值</w:t>
            </w:r>
          </w:p>
        </w:tc>
        <w:tc>
          <w:tcPr>
            <w:tcW w:w="7367" w:type="dxa"/>
            <w:noWrap w:val="0"/>
            <w:vAlign w:val="center"/>
          </w:tcPr>
          <w:p w14:paraId="6EFDB05E">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评标内容及分值</w:t>
            </w:r>
          </w:p>
        </w:tc>
      </w:tr>
      <w:tr w14:paraId="23A5B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58" w:hRule="atLeast"/>
          <w:jc w:val="center"/>
        </w:trPr>
        <w:tc>
          <w:tcPr>
            <w:tcW w:w="1003" w:type="dxa"/>
            <w:noWrap w:val="0"/>
            <w:vAlign w:val="center"/>
          </w:tcPr>
          <w:p w14:paraId="09AD58E7">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价格部分</w:t>
            </w:r>
          </w:p>
          <w:p w14:paraId="7C587ADE">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p>
        </w:tc>
        <w:tc>
          <w:tcPr>
            <w:tcW w:w="1004" w:type="dxa"/>
            <w:noWrap w:val="0"/>
            <w:vAlign w:val="center"/>
          </w:tcPr>
          <w:p w14:paraId="4CF5771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30分</w:t>
            </w:r>
          </w:p>
        </w:tc>
        <w:tc>
          <w:tcPr>
            <w:tcW w:w="7367" w:type="dxa"/>
            <w:noWrap w:val="0"/>
            <w:vAlign w:val="center"/>
          </w:tcPr>
          <w:p w14:paraId="7D56A5C6">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经初审合格的投标文件，其投标报价为有效投标价。对符合政策性扣减的有效投标报价进行政策性扣减，并依据扣减后的价格（评审价格）进行价格评审。</w:t>
            </w:r>
          </w:p>
          <w:p w14:paraId="3317D0A2">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有效最低报价为基准价，其价格分为满分。</w:t>
            </w:r>
          </w:p>
          <w:p w14:paraId="2697C6CB">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按（有效最低报价/有效投标报价）×30的公式计算其得分。</w:t>
            </w:r>
          </w:p>
          <w:p w14:paraId="3FCB37AF">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投标报价不完整的，不进入评标标准价的计算，本项得0分。</w:t>
            </w:r>
          </w:p>
        </w:tc>
      </w:tr>
      <w:tr w14:paraId="35A3A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73" w:hRule="atLeast"/>
          <w:jc w:val="center"/>
        </w:trPr>
        <w:tc>
          <w:tcPr>
            <w:tcW w:w="1003" w:type="dxa"/>
            <w:noWrap w:val="0"/>
            <w:vAlign w:val="center"/>
          </w:tcPr>
          <w:p w14:paraId="2EB335BB">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实施方案</w:t>
            </w:r>
          </w:p>
        </w:tc>
        <w:tc>
          <w:tcPr>
            <w:tcW w:w="1004" w:type="dxa"/>
            <w:noWrap w:val="0"/>
            <w:vAlign w:val="center"/>
          </w:tcPr>
          <w:p w14:paraId="6BB8830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20分</w:t>
            </w:r>
          </w:p>
        </w:tc>
        <w:tc>
          <w:tcPr>
            <w:tcW w:w="7367" w:type="dxa"/>
            <w:noWrap w:val="0"/>
            <w:vAlign w:val="center"/>
          </w:tcPr>
          <w:p w14:paraId="49CA28DD">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1、针对本项目的制定实施方案科学合理、可行性强，根据其合理及可行性进行赋分</w:t>
            </w:r>
            <w:r>
              <w:rPr>
                <w:rFonts w:hint="eastAsia" w:hAnsi="宋体" w:cs="宋体"/>
                <w:color w:val="auto"/>
                <w:kern w:val="2"/>
                <w:sz w:val="24"/>
                <w:szCs w:val="24"/>
                <w:highlight w:val="none"/>
                <w:lang w:val="en-US" w:eastAsia="zh-CN" w:bidi="ar-SA"/>
              </w:rPr>
              <w:t>：</w:t>
            </w:r>
          </w:p>
          <w:p w14:paraId="1D940586">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方案合理、可满足正常项目进行需求计</w:t>
            </w:r>
            <w:r>
              <w:rPr>
                <w:rFonts w:hint="eastAsia" w:hAnsi="宋体" w:cs="宋体"/>
                <w:color w:val="auto"/>
                <w:kern w:val="2"/>
                <w:sz w:val="24"/>
                <w:szCs w:val="24"/>
                <w:highlight w:val="none"/>
                <w:lang w:val="en-US" w:eastAsia="zh-CN" w:bidi="ar-SA"/>
              </w:rPr>
              <w:t>3-4</w:t>
            </w:r>
            <w:r>
              <w:rPr>
                <w:rFonts w:hint="eastAsia" w:ascii="宋体" w:hAnsi="宋体" w:eastAsia="宋体" w:cs="宋体"/>
                <w:color w:val="auto"/>
                <w:kern w:val="2"/>
                <w:sz w:val="24"/>
                <w:szCs w:val="24"/>
                <w:highlight w:val="none"/>
                <w:lang w:val="en-US" w:eastAsia="zh-CN" w:bidi="ar-SA"/>
              </w:rPr>
              <w:t>分</w:t>
            </w:r>
          </w:p>
          <w:p w14:paraId="159546B9">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方案不合理、无法满足项目进行需求或未提供计</w:t>
            </w:r>
            <w:r>
              <w:rPr>
                <w:rFonts w:hint="eastAsia" w:hAnsi="宋体" w:cs="宋体"/>
                <w:color w:val="auto"/>
                <w:kern w:val="2"/>
                <w:sz w:val="24"/>
                <w:szCs w:val="24"/>
                <w:highlight w:val="none"/>
                <w:lang w:val="en-US" w:eastAsia="zh-CN" w:bidi="ar-SA"/>
              </w:rPr>
              <w:t>0-2</w:t>
            </w:r>
            <w:r>
              <w:rPr>
                <w:rFonts w:hint="eastAsia" w:ascii="宋体" w:hAnsi="宋体" w:eastAsia="宋体" w:cs="宋体"/>
                <w:color w:val="auto"/>
                <w:kern w:val="2"/>
                <w:sz w:val="24"/>
                <w:szCs w:val="24"/>
                <w:highlight w:val="none"/>
                <w:lang w:val="en-US" w:eastAsia="zh-CN" w:bidi="ar-SA"/>
              </w:rPr>
              <w:t>分</w:t>
            </w:r>
          </w:p>
          <w:p w14:paraId="30EA7272">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2、针对本项目拟投入实施人员科学合理、分工明确</w:t>
            </w:r>
            <w:r>
              <w:rPr>
                <w:rFonts w:hint="eastAsia" w:hAnsi="宋体" w:cs="宋体"/>
                <w:color w:val="auto"/>
                <w:kern w:val="2"/>
                <w:sz w:val="24"/>
                <w:szCs w:val="24"/>
                <w:highlight w:val="none"/>
                <w:lang w:val="en-US" w:eastAsia="zh-CN" w:bidi="ar-SA"/>
              </w:rPr>
              <w:t>，根据其合理及可行性进行赋</w:t>
            </w:r>
            <w:r>
              <w:rPr>
                <w:rFonts w:hint="eastAsia" w:ascii="宋体" w:hAnsi="宋体" w:eastAsia="宋体" w:cs="宋体"/>
                <w:color w:val="auto"/>
                <w:kern w:val="2"/>
                <w:sz w:val="24"/>
                <w:szCs w:val="24"/>
                <w:highlight w:val="none"/>
                <w:lang w:val="en-US" w:eastAsia="zh-CN" w:bidi="ar-SA"/>
              </w:rPr>
              <w:t>分</w:t>
            </w:r>
            <w:r>
              <w:rPr>
                <w:rFonts w:hint="eastAsia" w:hAnsi="宋体" w:cs="宋体"/>
                <w:color w:val="auto"/>
                <w:kern w:val="2"/>
                <w:sz w:val="24"/>
                <w:szCs w:val="24"/>
                <w:highlight w:val="none"/>
                <w:lang w:val="en-US" w:eastAsia="zh-CN" w:bidi="ar-SA"/>
              </w:rPr>
              <w:t>：</w:t>
            </w:r>
          </w:p>
          <w:p w14:paraId="5DAA7FED">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拟派人员组成</w:t>
            </w:r>
            <w:r>
              <w:rPr>
                <w:rFonts w:hint="eastAsia" w:ascii="宋体" w:hAnsi="宋体" w:eastAsia="宋体" w:cs="宋体"/>
                <w:color w:val="auto"/>
                <w:kern w:val="2"/>
                <w:sz w:val="24"/>
                <w:szCs w:val="24"/>
                <w:highlight w:val="none"/>
                <w:lang w:val="en-US" w:eastAsia="zh-CN" w:bidi="ar-SA"/>
              </w:rPr>
              <w:t>科学合理、可满足正常项目进行需求计</w:t>
            </w:r>
            <w:r>
              <w:rPr>
                <w:rFonts w:hint="eastAsia" w:hAnsi="宋体" w:cs="宋体"/>
                <w:color w:val="auto"/>
                <w:kern w:val="2"/>
                <w:sz w:val="24"/>
                <w:szCs w:val="24"/>
                <w:highlight w:val="none"/>
                <w:lang w:val="en-US" w:eastAsia="zh-CN" w:bidi="ar-SA"/>
              </w:rPr>
              <w:t>3-4</w:t>
            </w:r>
            <w:r>
              <w:rPr>
                <w:rFonts w:hint="eastAsia" w:ascii="宋体" w:hAnsi="宋体" w:eastAsia="宋体" w:cs="宋体"/>
                <w:color w:val="auto"/>
                <w:kern w:val="2"/>
                <w:sz w:val="24"/>
                <w:szCs w:val="24"/>
                <w:highlight w:val="none"/>
                <w:lang w:val="en-US" w:eastAsia="zh-CN" w:bidi="ar-SA"/>
              </w:rPr>
              <w:t>分</w:t>
            </w:r>
          </w:p>
          <w:p w14:paraId="10CDCB2C">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lang w:val="en-US" w:eastAsia="zh-CN"/>
              </w:rPr>
            </w:pPr>
            <w:r>
              <w:rPr>
                <w:rFonts w:hint="eastAsia" w:ascii="宋体" w:hAnsi="宋体" w:eastAsia="宋体" w:cs="宋体"/>
                <w:color w:val="auto"/>
                <w:kern w:val="2"/>
                <w:sz w:val="24"/>
                <w:szCs w:val="24"/>
                <w:highlight w:val="none"/>
                <w:lang w:val="en-US" w:eastAsia="zh-CN" w:bidi="ar-SA"/>
              </w:rPr>
              <w:t>拟派人员组成不合理、无法满足项目进行需求或未提供计</w:t>
            </w:r>
            <w:r>
              <w:rPr>
                <w:rFonts w:hint="eastAsia" w:hAnsi="宋体" w:cs="宋体"/>
                <w:color w:val="auto"/>
                <w:kern w:val="2"/>
                <w:sz w:val="24"/>
                <w:szCs w:val="24"/>
                <w:highlight w:val="none"/>
                <w:lang w:val="en-US" w:eastAsia="zh-CN" w:bidi="ar-SA"/>
              </w:rPr>
              <w:t>0-2</w:t>
            </w:r>
            <w:r>
              <w:rPr>
                <w:rFonts w:hint="eastAsia" w:ascii="宋体" w:hAnsi="宋体" w:eastAsia="宋体" w:cs="宋体"/>
                <w:color w:val="auto"/>
                <w:kern w:val="2"/>
                <w:sz w:val="24"/>
                <w:szCs w:val="24"/>
                <w:highlight w:val="none"/>
                <w:lang w:val="en-US" w:eastAsia="zh-CN" w:bidi="ar-SA"/>
              </w:rPr>
              <w:t>分</w:t>
            </w:r>
          </w:p>
          <w:p w14:paraId="66376196">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3、针对本项目的供货、安装方案，满足招标文件进度时限要求</w:t>
            </w:r>
            <w:r>
              <w:rPr>
                <w:rFonts w:hint="eastAsia" w:hAnsi="宋体" w:cs="宋体"/>
                <w:color w:val="auto"/>
                <w:kern w:val="2"/>
                <w:sz w:val="24"/>
                <w:szCs w:val="24"/>
                <w:highlight w:val="none"/>
                <w:lang w:val="en-US" w:eastAsia="zh-CN" w:bidi="ar-SA"/>
              </w:rPr>
              <w:t>，根据其合理及可行性</w:t>
            </w:r>
            <w:r>
              <w:rPr>
                <w:rFonts w:hint="eastAsia" w:ascii="宋体" w:hAnsi="宋体" w:eastAsia="宋体" w:cs="宋体"/>
                <w:color w:val="auto"/>
                <w:kern w:val="2"/>
                <w:sz w:val="24"/>
                <w:szCs w:val="24"/>
                <w:highlight w:val="none"/>
                <w:lang w:val="en-US" w:eastAsia="zh-CN" w:bidi="ar-SA"/>
              </w:rPr>
              <w:t>计</w:t>
            </w:r>
            <w:r>
              <w:rPr>
                <w:rFonts w:hint="eastAsia" w:hAnsi="宋体" w:cs="宋体"/>
                <w:color w:val="auto"/>
                <w:kern w:val="2"/>
                <w:sz w:val="24"/>
                <w:szCs w:val="24"/>
                <w:highlight w:val="none"/>
                <w:lang w:val="en-US" w:eastAsia="zh-CN" w:bidi="ar-SA"/>
              </w:rPr>
              <w:t>进行赋</w:t>
            </w:r>
            <w:r>
              <w:rPr>
                <w:rFonts w:hint="eastAsia" w:ascii="宋体" w:hAnsi="宋体" w:eastAsia="宋体" w:cs="宋体"/>
                <w:color w:val="auto"/>
                <w:kern w:val="2"/>
                <w:sz w:val="24"/>
                <w:szCs w:val="24"/>
                <w:highlight w:val="none"/>
                <w:lang w:val="en-US" w:eastAsia="zh-CN" w:bidi="ar-SA"/>
              </w:rPr>
              <w:t xml:space="preserve">分； </w:t>
            </w:r>
          </w:p>
          <w:p w14:paraId="306E7ADC">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方案合理、可满足正常项目进行需求计</w:t>
            </w:r>
            <w:r>
              <w:rPr>
                <w:rFonts w:hint="eastAsia" w:hAnsi="宋体" w:cs="宋体"/>
                <w:color w:val="auto"/>
                <w:kern w:val="2"/>
                <w:sz w:val="24"/>
                <w:szCs w:val="24"/>
                <w:highlight w:val="none"/>
                <w:lang w:val="en-US" w:eastAsia="zh-CN" w:bidi="ar-SA"/>
              </w:rPr>
              <w:t>3-4</w:t>
            </w:r>
            <w:r>
              <w:rPr>
                <w:rFonts w:hint="eastAsia" w:ascii="宋体" w:hAnsi="宋体" w:eastAsia="宋体" w:cs="宋体"/>
                <w:color w:val="auto"/>
                <w:kern w:val="2"/>
                <w:sz w:val="24"/>
                <w:szCs w:val="24"/>
                <w:highlight w:val="none"/>
                <w:lang w:val="en-US" w:eastAsia="zh-CN" w:bidi="ar-SA"/>
              </w:rPr>
              <w:t>分</w:t>
            </w:r>
          </w:p>
          <w:p w14:paraId="3F38F894">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方案不合理、无法满足项目进行需求或未提供计</w:t>
            </w:r>
            <w:r>
              <w:rPr>
                <w:rFonts w:hint="eastAsia" w:hAnsi="宋体" w:cs="宋体"/>
                <w:color w:val="auto"/>
                <w:kern w:val="2"/>
                <w:sz w:val="24"/>
                <w:szCs w:val="24"/>
                <w:highlight w:val="none"/>
                <w:lang w:val="en-US" w:eastAsia="zh-CN" w:bidi="ar-SA"/>
              </w:rPr>
              <w:t>0-2</w:t>
            </w:r>
            <w:r>
              <w:rPr>
                <w:rFonts w:hint="eastAsia" w:ascii="宋体" w:hAnsi="宋体" w:eastAsia="宋体" w:cs="宋体"/>
                <w:color w:val="auto"/>
                <w:kern w:val="2"/>
                <w:sz w:val="24"/>
                <w:szCs w:val="24"/>
                <w:highlight w:val="none"/>
                <w:lang w:val="en-US" w:eastAsia="zh-CN" w:bidi="ar-SA"/>
              </w:rPr>
              <w:t>分</w:t>
            </w:r>
          </w:p>
          <w:p w14:paraId="09D7B030">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4、针对本项目的质量保证措施，</w:t>
            </w:r>
            <w:r>
              <w:rPr>
                <w:rFonts w:hint="eastAsia" w:hAnsi="宋体" w:cs="宋体"/>
                <w:color w:val="auto"/>
                <w:kern w:val="2"/>
                <w:sz w:val="24"/>
                <w:szCs w:val="24"/>
                <w:highlight w:val="none"/>
                <w:lang w:val="en-US" w:eastAsia="zh-CN" w:bidi="ar-SA"/>
              </w:rPr>
              <w:t>根据其合理及可行性进行赋</w:t>
            </w:r>
            <w:r>
              <w:rPr>
                <w:rFonts w:hint="eastAsia" w:ascii="宋体" w:hAnsi="宋体" w:eastAsia="宋体" w:cs="宋体"/>
                <w:color w:val="auto"/>
                <w:kern w:val="2"/>
                <w:sz w:val="24"/>
                <w:szCs w:val="24"/>
                <w:highlight w:val="none"/>
                <w:lang w:val="en-US" w:eastAsia="zh-CN" w:bidi="ar-SA"/>
              </w:rPr>
              <w:t>分；</w:t>
            </w:r>
          </w:p>
          <w:p w14:paraId="778F1ECF">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措施</w:t>
            </w:r>
            <w:r>
              <w:rPr>
                <w:rFonts w:hint="eastAsia" w:ascii="宋体" w:hAnsi="宋体" w:eastAsia="宋体" w:cs="宋体"/>
                <w:color w:val="auto"/>
                <w:kern w:val="2"/>
                <w:sz w:val="24"/>
                <w:szCs w:val="24"/>
                <w:highlight w:val="none"/>
                <w:lang w:val="en-US" w:eastAsia="zh-CN" w:bidi="ar-SA"/>
              </w:rPr>
              <w:t>方案科学合理、可满足正常项目进行需求3-4分</w:t>
            </w:r>
          </w:p>
          <w:p w14:paraId="293713A1">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措施</w:t>
            </w:r>
            <w:r>
              <w:rPr>
                <w:rFonts w:hint="eastAsia" w:ascii="宋体" w:hAnsi="宋体" w:eastAsia="宋体" w:cs="宋体"/>
                <w:color w:val="auto"/>
                <w:kern w:val="2"/>
                <w:sz w:val="24"/>
                <w:szCs w:val="24"/>
                <w:highlight w:val="none"/>
                <w:lang w:val="en-US" w:eastAsia="zh-CN" w:bidi="ar-SA"/>
              </w:rPr>
              <w:t>方案不合理、无法满足项目进行需求或未提供计</w:t>
            </w:r>
            <w:r>
              <w:rPr>
                <w:rFonts w:hint="eastAsia" w:hAnsi="宋体" w:cs="宋体"/>
                <w:color w:val="auto"/>
                <w:kern w:val="2"/>
                <w:sz w:val="24"/>
                <w:szCs w:val="24"/>
                <w:highlight w:val="none"/>
                <w:lang w:val="en-US" w:eastAsia="zh-CN" w:bidi="ar-SA"/>
              </w:rPr>
              <w:t>0-2</w:t>
            </w:r>
            <w:r>
              <w:rPr>
                <w:rFonts w:hint="eastAsia" w:ascii="宋体" w:hAnsi="宋体" w:eastAsia="宋体" w:cs="宋体"/>
                <w:color w:val="auto"/>
                <w:kern w:val="2"/>
                <w:sz w:val="24"/>
                <w:szCs w:val="24"/>
                <w:highlight w:val="none"/>
                <w:lang w:val="en-US" w:eastAsia="zh-CN" w:bidi="ar-SA"/>
              </w:rPr>
              <w:t>分</w:t>
            </w:r>
          </w:p>
          <w:p w14:paraId="145BF6E9">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5、针对本项目的验收方案</w:t>
            </w:r>
            <w:r>
              <w:rPr>
                <w:rFonts w:hint="eastAsia" w:hAnsi="宋体" w:cs="宋体"/>
                <w:color w:val="auto"/>
                <w:kern w:val="2"/>
                <w:sz w:val="24"/>
                <w:szCs w:val="24"/>
                <w:highlight w:val="none"/>
                <w:lang w:val="en-US" w:eastAsia="zh-CN" w:bidi="ar-SA"/>
              </w:rPr>
              <w:t>，根据其合理及可行性进行赋</w:t>
            </w:r>
            <w:r>
              <w:rPr>
                <w:rFonts w:hint="eastAsia" w:ascii="宋体" w:hAnsi="宋体" w:eastAsia="宋体" w:cs="宋体"/>
                <w:color w:val="auto"/>
                <w:kern w:val="2"/>
                <w:sz w:val="24"/>
                <w:szCs w:val="24"/>
                <w:highlight w:val="none"/>
                <w:lang w:val="en-US" w:eastAsia="zh-CN" w:bidi="ar-SA"/>
              </w:rPr>
              <w:t>分；</w:t>
            </w:r>
          </w:p>
          <w:p w14:paraId="2F594250">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措施</w:t>
            </w:r>
            <w:r>
              <w:rPr>
                <w:rFonts w:hint="eastAsia" w:ascii="宋体" w:hAnsi="宋体" w:eastAsia="宋体" w:cs="宋体"/>
                <w:color w:val="auto"/>
                <w:kern w:val="2"/>
                <w:sz w:val="24"/>
                <w:szCs w:val="24"/>
                <w:highlight w:val="none"/>
                <w:lang w:val="en-US" w:eastAsia="zh-CN" w:bidi="ar-SA"/>
              </w:rPr>
              <w:t>方案科学合理、可满足正常项目进行需求计</w:t>
            </w:r>
            <w:r>
              <w:rPr>
                <w:rFonts w:hint="eastAsia" w:hAnsi="宋体" w:cs="宋体"/>
                <w:color w:val="auto"/>
                <w:kern w:val="2"/>
                <w:sz w:val="24"/>
                <w:szCs w:val="24"/>
                <w:highlight w:val="none"/>
                <w:lang w:val="en-US" w:eastAsia="zh-CN" w:bidi="ar-SA"/>
              </w:rPr>
              <w:t>3-4</w:t>
            </w:r>
            <w:r>
              <w:rPr>
                <w:rFonts w:hint="eastAsia" w:ascii="宋体" w:hAnsi="宋体" w:eastAsia="宋体" w:cs="宋体"/>
                <w:color w:val="auto"/>
                <w:kern w:val="2"/>
                <w:sz w:val="24"/>
                <w:szCs w:val="24"/>
                <w:highlight w:val="none"/>
                <w:lang w:val="en-US" w:eastAsia="zh-CN" w:bidi="ar-SA"/>
              </w:rPr>
              <w:t>分</w:t>
            </w:r>
          </w:p>
          <w:p w14:paraId="1FD8A89E">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lang w:val="en-US" w:eastAsia="zh-CN"/>
              </w:rPr>
            </w:pPr>
            <w:r>
              <w:rPr>
                <w:rFonts w:hint="eastAsia" w:hAnsi="宋体" w:cs="宋体"/>
                <w:color w:val="auto"/>
                <w:kern w:val="2"/>
                <w:sz w:val="24"/>
                <w:szCs w:val="24"/>
                <w:highlight w:val="none"/>
                <w:lang w:val="en-US" w:eastAsia="zh-CN" w:bidi="ar-SA"/>
              </w:rPr>
              <w:t>措施</w:t>
            </w:r>
            <w:r>
              <w:rPr>
                <w:rFonts w:hint="eastAsia" w:ascii="宋体" w:hAnsi="宋体" w:eastAsia="宋体" w:cs="宋体"/>
                <w:color w:val="auto"/>
                <w:kern w:val="2"/>
                <w:sz w:val="24"/>
                <w:szCs w:val="24"/>
                <w:highlight w:val="none"/>
                <w:lang w:val="en-US" w:eastAsia="zh-CN" w:bidi="ar-SA"/>
              </w:rPr>
              <w:t>方案不合理、无法满足项目进行需求或未提供计</w:t>
            </w:r>
            <w:r>
              <w:rPr>
                <w:rFonts w:hint="eastAsia" w:hAnsi="宋体" w:cs="宋体"/>
                <w:color w:val="auto"/>
                <w:kern w:val="2"/>
                <w:sz w:val="24"/>
                <w:szCs w:val="24"/>
                <w:highlight w:val="none"/>
                <w:lang w:val="en-US" w:eastAsia="zh-CN" w:bidi="ar-SA"/>
              </w:rPr>
              <w:t>0-2</w:t>
            </w:r>
            <w:r>
              <w:rPr>
                <w:rFonts w:hint="eastAsia" w:ascii="宋体" w:hAnsi="宋体" w:eastAsia="宋体" w:cs="宋体"/>
                <w:color w:val="auto"/>
                <w:kern w:val="2"/>
                <w:sz w:val="24"/>
                <w:szCs w:val="24"/>
                <w:highlight w:val="none"/>
                <w:lang w:val="en-US" w:eastAsia="zh-CN" w:bidi="ar-SA"/>
              </w:rPr>
              <w:t>分</w:t>
            </w:r>
          </w:p>
        </w:tc>
      </w:tr>
      <w:tr w14:paraId="65319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39" w:hRule="atLeast"/>
          <w:jc w:val="center"/>
        </w:trPr>
        <w:tc>
          <w:tcPr>
            <w:tcW w:w="1003" w:type="dxa"/>
            <w:noWrap w:val="0"/>
            <w:vAlign w:val="center"/>
          </w:tcPr>
          <w:p w14:paraId="6BCA86D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业绩</w:t>
            </w:r>
          </w:p>
        </w:tc>
        <w:tc>
          <w:tcPr>
            <w:tcW w:w="1004" w:type="dxa"/>
            <w:noWrap w:val="0"/>
            <w:vAlign w:val="center"/>
          </w:tcPr>
          <w:p w14:paraId="5AB9EF9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分</w:t>
            </w:r>
          </w:p>
        </w:tc>
        <w:tc>
          <w:tcPr>
            <w:tcW w:w="7367" w:type="dxa"/>
            <w:noWrap w:val="0"/>
            <w:vAlign w:val="center"/>
          </w:tcPr>
          <w:p w14:paraId="66B5E38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提供202</w:t>
            </w:r>
            <w:r>
              <w:rPr>
                <w:rFonts w:hint="eastAsia"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年1月以来的</w:t>
            </w:r>
            <w:r>
              <w:rPr>
                <w:rFonts w:hint="eastAsia" w:hAnsi="宋体" w:cs="宋体"/>
                <w:color w:val="auto"/>
                <w:kern w:val="2"/>
                <w:sz w:val="24"/>
                <w:szCs w:val="24"/>
                <w:highlight w:val="none"/>
                <w:lang w:val="en-US" w:eastAsia="zh-CN" w:bidi="ar-SA"/>
              </w:rPr>
              <w:t>产品</w:t>
            </w:r>
            <w:r>
              <w:rPr>
                <w:rFonts w:hint="eastAsia" w:ascii="宋体" w:hAnsi="宋体" w:eastAsia="宋体" w:cs="宋体"/>
                <w:color w:val="auto"/>
                <w:kern w:val="2"/>
                <w:sz w:val="24"/>
                <w:szCs w:val="24"/>
                <w:highlight w:val="none"/>
                <w:lang w:val="en-US" w:eastAsia="zh-CN" w:bidi="ar-SA"/>
              </w:rPr>
              <w:t>业绩证明，每提供1个业绩得</w:t>
            </w:r>
            <w:r>
              <w:rPr>
                <w:rFonts w:hint="eastAsia"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分，最多得</w:t>
            </w:r>
            <w:r>
              <w:rPr>
                <w:rFonts w:hint="eastAsia"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分。（需提供采购合同）</w:t>
            </w:r>
          </w:p>
        </w:tc>
      </w:tr>
      <w:tr w14:paraId="740C7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740" w:hRule="atLeast"/>
          <w:jc w:val="center"/>
        </w:trPr>
        <w:tc>
          <w:tcPr>
            <w:tcW w:w="1003" w:type="dxa"/>
            <w:vMerge w:val="restart"/>
            <w:noWrap w:val="0"/>
            <w:vAlign w:val="center"/>
          </w:tcPr>
          <w:p w14:paraId="5A09E1F6">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技术部分</w:t>
            </w:r>
          </w:p>
        </w:tc>
        <w:tc>
          <w:tcPr>
            <w:tcW w:w="1004" w:type="dxa"/>
            <w:noWrap w:val="0"/>
            <w:vAlign w:val="center"/>
          </w:tcPr>
          <w:p w14:paraId="2039424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20</w:t>
            </w:r>
            <w:r>
              <w:rPr>
                <w:rFonts w:hint="eastAsia" w:ascii="宋体" w:hAnsi="宋体" w:eastAsia="宋体" w:cs="宋体"/>
                <w:color w:val="auto"/>
                <w:kern w:val="2"/>
                <w:sz w:val="24"/>
                <w:szCs w:val="24"/>
                <w:highlight w:val="none"/>
                <w:lang w:val="en-US" w:eastAsia="zh-CN" w:bidi="ar-SA"/>
              </w:rPr>
              <w:t>分</w:t>
            </w:r>
          </w:p>
        </w:tc>
        <w:tc>
          <w:tcPr>
            <w:tcW w:w="7367" w:type="dxa"/>
            <w:noWrap w:val="0"/>
            <w:vAlign w:val="center"/>
          </w:tcPr>
          <w:p w14:paraId="765BD94E">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产品的技术指标及功能：投标供应商所投产品的技术指标、性能、参数、数量等描述完全满足“招标内容及技术要求”计</w:t>
            </w:r>
            <w:r>
              <w:rPr>
                <w:rFonts w:hint="eastAsia" w:hAnsi="宋体" w:cs="宋体"/>
                <w:color w:val="auto"/>
                <w:kern w:val="2"/>
                <w:sz w:val="24"/>
                <w:szCs w:val="24"/>
                <w:highlight w:val="none"/>
                <w:lang w:val="en-US" w:eastAsia="zh-CN" w:bidi="ar-SA"/>
              </w:rPr>
              <w:t>20</w:t>
            </w:r>
            <w:r>
              <w:rPr>
                <w:rFonts w:hint="eastAsia" w:ascii="宋体" w:hAnsi="宋体" w:eastAsia="宋体" w:cs="宋体"/>
                <w:color w:val="auto"/>
                <w:kern w:val="2"/>
                <w:sz w:val="24"/>
                <w:szCs w:val="24"/>
                <w:highlight w:val="none"/>
                <w:lang w:val="en-US" w:eastAsia="zh-CN" w:bidi="ar-SA"/>
              </w:rPr>
              <w:t>分，出现</w:t>
            </w:r>
            <w:r>
              <w:rPr>
                <w:rFonts w:hint="eastAsia" w:ascii="宋体" w:hAnsi="宋体" w:eastAsia="宋体" w:cs="宋体"/>
                <w:color w:val="auto"/>
                <w:kern w:val="2"/>
                <w:sz w:val="24"/>
                <w:szCs w:val="24"/>
                <w:highlight w:val="none"/>
                <w:rtl w:val="0"/>
                <w:lang w:val="en-US" w:eastAsia="zh-CN" w:bidi="ar-SA"/>
              </w:rPr>
              <w:t>★项负偏离一项扣2分，非★</w:t>
            </w:r>
            <w:r>
              <w:rPr>
                <w:rFonts w:hint="eastAsia" w:hAnsi="宋体" w:cs="宋体"/>
                <w:color w:val="auto"/>
                <w:kern w:val="2"/>
                <w:sz w:val="24"/>
                <w:szCs w:val="24"/>
                <w:highlight w:val="none"/>
                <w:rtl w:val="0"/>
                <w:lang w:val="en-US" w:eastAsia="zh-CN" w:bidi="ar-SA"/>
              </w:rPr>
              <w:t>项</w:t>
            </w:r>
            <w:r>
              <w:rPr>
                <w:rFonts w:hint="eastAsia" w:ascii="宋体" w:hAnsi="宋体" w:eastAsia="宋体" w:cs="宋体"/>
                <w:color w:val="auto"/>
                <w:kern w:val="2"/>
                <w:sz w:val="24"/>
                <w:szCs w:val="24"/>
                <w:highlight w:val="none"/>
                <w:rtl w:val="0"/>
                <w:lang w:val="en-US" w:eastAsia="zh-CN" w:bidi="ar-SA"/>
              </w:rPr>
              <w:t>负偏离一项扣0.5分，扣完为止。</w:t>
            </w:r>
            <w:r>
              <w:rPr>
                <w:rFonts w:hint="eastAsia" w:ascii="宋体" w:hAnsi="宋体" w:eastAsia="宋体" w:cs="宋体"/>
                <w:color w:val="auto"/>
                <w:kern w:val="2"/>
                <w:sz w:val="24"/>
                <w:szCs w:val="24"/>
                <w:highlight w:val="none"/>
                <w:lang w:val="en-US" w:eastAsia="zh-CN" w:bidi="ar-SA"/>
              </w:rPr>
              <w:t>（证明材料包括但不限于产品检验报告、生产厂家出具的加盖厂家公章的技术证明材料、官网截图、彩页等。）</w:t>
            </w:r>
          </w:p>
        </w:tc>
      </w:tr>
      <w:tr w14:paraId="31FC6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050" w:hRule="atLeast"/>
          <w:jc w:val="center"/>
        </w:trPr>
        <w:tc>
          <w:tcPr>
            <w:tcW w:w="1003" w:type="dxa"/>
            <w:vMerge w:val="continue"/>
            <w:noWrap w:val="0"/>
            <w:vAlign w:val="center"/>
          </w:tcPr>
          <w:p w14:paraId="7AE44A90">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p>
        </w:tc>
        <w:tc>
          <w:tcPr>
            <w:tcW w:w="1004" w:type="dxa"/>
            <w:noWrap w:val="0"/>
            <w:vAlign w:val="center"/>
          </w:tcPr>
          <w:p w14:paraId="3910E73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分</w:t>
            </w:r>
          </w:p>
        </w:tc>
        <w:tc>
          <w:tcPr>
            <w:tcW w:w="7367" w:type="dxa"/>
            <w:noWrap w:val="0"/>
            <w:vAlign w:val="center"/>
          </w:tcPr>
          <w:p w14:paraId="40EE9BF8">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所投产品货源渠道正规、能提供产品合法来源渠道证明文件（包括但不限于销售协议、代理协议、原厂授权</w:t>
            </w:r>
            <w:r>
              <w:rPr>
                <w:rFonts w:hint="eastAsia" w:hAnsi="宋体" w:cs="宋体"/>
                <w:color w:val="auto"/>
                <w:kern w:val="2"/>
                <w:sz w:val="24"/>
                <w:szCs w:val="24"/>
                <w:highlight w:val="none"/>
                <w:lang w:val="en-US" w:eastAsia="zh-CN" w:bidi="ar-SA"/>
              </w:rPr>
              <w:t>或</w:t>
            </w:r>
            <w:r>
              <w:rPr>
                <w:rFonts w:hint="eastAsia" w:ascii="宋体" w:hAnsi="宋体" w:eastAsia="宋体" w:cs="宋体"/>
                <w:color w:val="auto"/>
                <w:kern w:val="2"/>
                <w:sz w:val="24"/>
                <w:szCs w:val="24"/>
                <w:highlight w:val="none"/>
                <w:lang w:val="en-US" w:eastAsia="zh-CN" w:bidi="ar-SA"/>
              </w:rPr>
              <w:t>售后服务承诺函等）加盖原厂公章。根据其提供证明材料的全面性、详细程度计 0-</w:t>
            </w:r>
            <w:r>
              <w:rPr>
                <w:rFonts w:hint="eastAsia"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分。</w:t>
            </w:r>
          </w:p>
        </w:tc>
      </w:tr>
      <w:tr w14:paraId="7B40B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44" w:hRule="atLeast"/>
          <w:jc w:val="center"/>
        </w:trPr>
        <w:tc>
          <w:tcPr>
            <w:tcW w:w="1003" w:type="dxa"/>
            <w:vMerge w:val="restart"/>
            <w:noWrap w:val="0"/>
            <w:vAlign w:val="center"/>
          </w:tcPr>
          <w:p w14:paraId="1173D700">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售后服务及培训</w:t>
            </w:r>
          </w:p>
        </w:tc>
        <w:tc>
          <w:tcPr>
            <w:tcW w:w="1004" w:type="dxa"/>
            <w:noWrap w:val="0"/>
            <w:vAlign w:val="center"/>
          </w:tcPr>
          <w:p w14:paraId="4E5419D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15</w:t>
            </w:r>
            <w:r>
              <w:rPr>
                <w:rFonts w:hint="eastAsia" w:ascii="宋体" w:hAnsi="宋体" w:eastAsia="宋体" w:cs="宋体"/>
                <w:color w:val="auto"/>
                <w:kern w:val="2"/>
                <w:sz w:val="24"/>
                <w:szCs w:val="24"/>
                <w:highlight w:val="none"/>
                <w:lang w:val="en-US" w:eastAsia="zh-CN" w:bidi="ar-SA"/>
              </w:rPr>
              <w:t>分</w:t>
            </w:r>
          </w:p>
        </w:tc>
        <w:tc>
          <w:tcPr>
            <w:tcW w:w="7367" w:type="dxa"/>
            <w:noWrap w:val="0"/>
            <w:vAlign w:val="center"/>
          </w:tcPr>
          <w:p w14:paraId="1E80F0AB">
            <w:pPr>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lang w:val="en-US" w:eastAsia="zh-CN" w:bidi="ar-SA"/>
              </w:rPr>
              <w:t>1.</w:t>
            </w:r>
            <w:r>
              <w:rPr>
                <w:rFonts w:hint="eastAsia" w:hAnsi="宋体" w:cs="宋体"/>
                <w:color w:val="auto"/>
                <w:kern w:val="2"/>
                <w:sz w:val="24"/>
                <w:szCs w:val="24"/>
                <w:highlight w:val="none"/>
                <w:lang w:val="en-US" w:eastAsia="zh-CN" w:bidi="ar-SA"/>
              </w:rPr>
              <w:t>售后服务方案中具备售后服务点设置及联系方式、</w:t>
            </w:r>
            <w:r>
              <w:rPr>
                <w:rFonts w:hint="eastAsia" w:ascii="宋体" w:hAnsi="宋体" w:eastAsia="宋体" w:cs="宋体"/>
                <w:color w:val="auto"/>
                <w:kern w:val="2"/>
                <w:sz w:val="24"/>
                <w:szCs w:val="24"/>
                <w:highlight w:val="none"/>
                <w:lang w:val="en-US" w:eastAsia="zh-CN" w:bidi="ar-SA"/>
              </w:rPr>
              <w:t>拟投入售后服务人员配置情况</w:t>
            </w:r>
            <w:r>
              <w:rPr>
                <w:rFonts w:hint="eastAsia" w:hAnsi="宋体" w:cs="宋体"/>
                <w:color w:val="auto"/>
                <w:kern w:val="2"/>
                <w:sz w:val="24"/>
                <w:szCs w:val="24"/>
                <w:highlight w:val="none"/>
                <w:lang w:val="en-US" w:eastAsia="zh-CN" w:bidi="ar-SA"/>
              </w:rPr>
              <w:t>等，根据其完整程度及合理性进行赋</w:t>
            </w:r>
            <w:r>
              <w:rPr>
                <w:rFonts w:hint="eastAsia" w:ascii="宋体" w:hAnsi="宋体" w:eastAsia="宋体" w:cs="宋体"/>
                <w:color w:val="auto"/>
                <w:kern w:val="2"/>
                <w:sz w:val="24"/>
                <w:szCs w:val="24"/>
                <w:highlight w:val="none"/>
                <w:lang w:val="en-US" w:eastAsia="zh-CN" w:bidi="ar-SA"/>
              </w:rPr>
              <w:t>分。</w:t>
            </w:r>
          </w:p>
          <w:p w14:paraId="2D2220AD">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售后人员配置完整、</w:t>
            </w:r>
            <w:r>
              <w:rPr>
                <w:rFonts w:hint="eastAsia" w:ascii="宋体" w:hAnsi="宋体" w:eastAsia="宋体" w:cs="宋体"/>
                <w:color w:val="auto"/>
                <w:kern w:val="2"/>
                <w:sz w:val="24"/>
                <w:szCs w:val="24"/>
                <w:highlight w:val="none"/>
                <w:lang w:val="en-US" w:eastAsia="zh-CN" w:bidi="ar-SA"/>
              </w:rPr>
              <w:t>科学合理、</w:t>
            </w:r>
            <w:r>
              <w:rPr>
                <w:rFonts w:hint="eastAsia" w:hAnsi="宋体" w:cs="宋体"/>
                <w:color w:val="auto"/>
                <w:kern w:val="2"/>
                <w:sz w:val="24"/>
                <w:szCs w:val="24"/>
                <w:highlight w:val="none"/>
                <w:lang w:val="en-US" w:eastAsia="zh-CN" w:bidi="ar-SA"/>
              </w:rPr>
              <w:t>满足采购人需求2-3</w:t>
            </w:r>
            <w:r>
              <w:rPr>
                <w:rFonts w:hint="eastAsia" w:ascii="宋体" w:hAnsi="宋体" w:eastAsia="宋体" w:cs="宋体"/>
                <w:color w:val="auto"/>
                <w:kern w:val="2"/>
                <w:sz w:val="24"/>
                <w:szCs w:val="24"/>
                <w:highlight w:val="none"/>
                <w:lang w:val="en-US" w:eastAsia="zh-CN" w:bidi="ar-SA"/>
              </w:rPr>
              <w:t>分</w:t>
            </w:r>
          </w:p>
          <w:p w14:paraId="15BCFB1B">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default"/>
                <w:lang w:val="en-US" w:eastAsia="zh-CN"/>
              </w:rPr>
            </w:pPr>
            <w:r>
              <w:rPr>
                <w:rFonts w:hint="eastAsia" w:ascii="宋体" w:hAnsi="宋体" w:eastAsia="宋体" w:cs="宋体"/>
                <w:color w:val="auto"/>
                <w:kern w:val="2"/>
                <w:sz w:val="24"/>
                <w:szCs w:val="24"/>
                <w:highlight w:val="none"/>
                <w:lang w:val="en-US" w:eastAsia="zh-CN" w:bidi="ar-SA"/>
              </w:rPr>
              <w:t>不合理、可行性</w:t>
            </w:r>
            <w:r>
              <w:rPr>
                <w:rFonts w:hint="eastAsia" w:hAnsi="宋体" w:cs="宋体"/>
                <w:color w:val="auto"/>
                <w:kern w:val="2"/>
                <w:sz w:val="24"/>
                <w:szCs w:val="24"/>
                <w:highlight w:val="none"/>
                <w:lang w:val="en-US" w:eastAsia="zh-CN" w:bidi="ar-SA"/>
              </w:rPr>
              <w:t>较差</w:t>
            </w:r>
            <w:r>
              <w:rPr>
                <w:rFonts w:hint="eastAsia" w:ascii="宋体" w:hAnsi="宋体" w:eastAsia="宋体" w:cs="宋体"/>
                <w:color w:val="auto"/>
                <w:kern w:val="2"/>
                <w:sz w:val="24"/>
                <w:szCs w:val="24"/>
                <w:highlight w:val="none"/>
                <w:lang w:val="en-US" w:eastAsia="zh-CN" w:bidi="ar-SA"/>
              </w:rPr>
              <w:t>或未提供计0</w:t>
            </w:r>
            <w:r>
              <w:rPr>
                <w:rFonts w:hint="eastAsia"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分</w:t>
            </w:r>
          </w:p>
          <w:p w14:paraId="2E48190D">
            <w:pPr>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2.售后服务方案中具备</w:t>
            </w:r>
            <w:r>
              <w:rPr>
                <w:rFonts w:hint="eastAsia" w:ascii="宋体" w:hAnsi="宋体" w:eastAsia="宋体" w:cs="宋体"/>
                <w:color w:val="auto"/>
                <w:kern w:val="2"/>
                <w:sz w:val="24"/>
                <w:szCs w:val="24"/>
                <w:highlight w:val="none"/>
                <w:lang w:val="en-US" w:eastAsia="zh-CN" w:bidi="ar-SA"/>
              </w:rPr>
              <w:t>日常维护、应急响应速度及措施</w:t>
            </w:r>
            <w:r>
              <w:rPr>
                <w:rFonts w:hint="eastAsia" w:hAnsi="宋体" w:cs="宋体"/>
                <w:color w:val="auto"/>
                <w:kern w:val="2"/>
                <w:sz w:val="24"/>
                <w:szCs w:val="24"/>
                <w:highlight w:val="none"/>
                <w:lang w:val="en-US" w:eastAsia="zh-CN" w:bidi="ar-SA"/>
              </w:rPr>
              <w:t>等，根据其响应时间及相关服务措施合理性</w:t>
            </w:r>
            <w:r>
              <w:rPr>
                <w:rFonts w:hint="eastAsia" w:ascii="宋体" w:hAnsi="宋体" w:eastAsia="宋体" w:cs="宋体"/>
                <w:color w:val="auto"/>
                <w:kern w:val="2"/>
                <w:sz w:val="24"/>
                <w:szCs w:val="24"/>
                <w:highlight w:val="none"/>
                <w:lang w:val="en-US" w:eastAsia="zh-CN" w:bidi="ar-SA"/>
              </w:rPr>
              <w:t>计</w:t>
            </w:r>
            <w:r>
              <w:rPr>
                <w:rFonts w:hint="eastAsia" w:hAnsi="宋体" w:cs="宋体"/>
                <w:color w:val="auto"/>
                <w:kern w:val="2"/>
                <w:sz w:val="24"/>
                <w:szCs w:val="24"/>
                <w:highlight w:val="none"/>
                <w:lang w:val="en-US" w:eastAsia="zh-CN" w:bidi="ar-SA"/>
              </w:rPr>
              <w:t>进行赋</w:t>
            </w:r>
            <w:r>
              <w:rPr>
                <w:rFonts w:hint="eastAsia" w:ascii="宋体" w:hAnsi="宋体" w:eastAsia="宋体" w:cs="宋体"/>
                <w:color w:val="auto"/>
                <w:kern w:val="2"/>
                <w:sz w:val="24"/>
                <w:szCs w:val="24"/>
                <w:highlight w:val="none"/>
                <w:lang w:val="en-US" w:eastAsia="zh-CN" w:bidi="ar-SA"/>
              </w:rPr>
              <w:t>分。</w:t>
            </w:r>
          </w:p>
          <w:p w14:paraId="5F4899E4">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措施合理可行、响应速度迅速计3-4</w:t>
            </w:r>
            <w:r>
              <w:rPr>
                <w:rFonts w:hint="eastAsia" w:ascii="宋体" w:hAnsi="宋体" w:eastAsia="宋体" w:cs="宋体"/>
                <w:color w:val="auto"/>
                <w:kern w:val="2"/>
                <w:sz w:val="24"/>
                <w:szCs w:val="24"/>
                <w:highlight w:val="none"/>
                <w:lang w:val="en-US" w:eastAsia="zh-CN" w:bidi="ar-SA"/>
              </w:rPr>
              <w:t>分</w:t>
            </w:r>
          </w:p>
          <w:p w14:paraId="79FFA3B7">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default"/>
                <w:lang w:val="en-US" w:eastAsia="zh-CN"/>
              </w:rPr>
            </w:pPr>
            <w:r>
              <w:rPr>
                <w:rFonts w:hint="eastAsia" w:hAnsi="宋体" w:cs="宋体"/>
                <w:color w:val="auto"/>
                <w:kern w:val="2"/>
                <w:sz w:val="24"/>
                <w:szCs w:val="24"/>
                <w:highlight w:val="none"/>
                <w:lang w:val="en-US" w:eastAsia="zh-CN" w:bidi="ar-SA"/>
              </w:rPr>
              <w:t>措施合理性及</w:t>
            </w:r>
            <w:r>
              <w:rPr>
                <w:rFonts w:hint="eastAsia" w:ascii="宋体" w:hAnsi="宋体" w:eastAsia="宋体" w:cs="宋体"/>
                <w:color w:val="auto"/>
                <w:kern w:val="2"/>
                <w:sz w:val="24"/>
                <w:szCs w:val="24"/>
                <w:highlight w:val="none"/>
                <w:lang w:val="en-US" w:eastAsia="zh-CN" w:bidi="ar-SA"/>
              </w:rPr>
              <w:t>可行性</w:t>
            </w:r>
            <w:r>
              <w:rPr>
                <w:rFonts w:hint="eastAsia" w:hAnsi="宋体" w:cs="宋体"/>
                <w:color w:val="auto"/>
                <w:kern w:val="2"/>
                <w:sz w:val="24"/>
                <w:szCs w:val="24"/>
                <w:highlight w:val="none"/>
                <w:lang w:val="en-US" w:eastAsia="zh-CN" w:bidi="ar-SA"/>
              </w:rPr>
              <w:t>较差，响应速度一般</w:t>
            </w:r>
            <w:r>
              <w:rPr>
                <w:rFonts w:hint="eastAsia" w:ascii="宋体" w:hAnsi="宋体" w:eastAsia="宋体" w:cs="宋体"/>
                <w:color w:val="auto"/>
                <w:kern w:val="2"/>
                <w:sz w:val="24"/>
                <w:szCs w:val="24"/>
                <w:highlight w:val="none"/>
                <w:lang w:val="en-US" w:eastAsia="zh-CN" w:bidi="ar-SA"/>
              </w:rPr>
              <w:t>或未提供计</w:t>
            </w:r>
            <w:r>
              <w:rPr>
                <w:rFonts w:hint="eastAsia" w:hAnsi="宋体" w:cs="宋体"/>
                <w:color w:val="auto"/>
                <w:kern w:val="2"/>
                <w:sz w:val="24"/>
                <w:szCs w:val="24"/>
                <w:highlight w:val="none"/>
                <w:lang w:val="en-US" w:eastAsia="zh-CN" w:bidi="ar-SA"/>
              </w:rPr>
              <w:t>2-0</w:t>
            </w:r>
            <w:r>
              <w:rPr>
                <w:rFonts w:hint="eastAsia" w:ascii="宋体" w:hAnsi="宋体" w:eastAsia="宋体" w:cs="宋体"/>
                <w:color w:val="auto"/>
                <w:kern w:val="2"/>
                <w:sz w:val="24"/>
                <w:szCs w:val="24"/>
                <w:highlight w:val="none"/>
                <w:lang w:val="en-US" w:eastAsia="zh-CN" w:bidi="ar-SA"/>
              </w:rPr>
              <w:t>分</w:t>
            </w:r>
          </w:p>
          <w:p w14:paraId="41A4E09D">
            <w:pPr>
              <w:keepNext w:val="0"/>
              <w:keepLines w:val="0"/>
              <w:pageBreakBefore w:val="0"/>
              <w:widowControl w:val="0"/>
              <w:kinsoku/>
              <w:wordWrap/>
              <w:overflowPunct/>
              <w:topLinePunct w:val="0"/>
              <w:autoSpaceDE/>
              <w:autoSpaceDN/>
              <w:bidi w:val="0"/>
              <w:adjustRightInd/>
              <w:snapToGrid w:val="0"/>
              <w:jc w:val="both"/>
              <w:textAlignment w:val="auto"/>
              <w:rPr>
                <w:rFonts w:hint="eastAsia" w:hAnsi="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3.售后服务方案中具备</w:t>
            </w:r>
            <w:r>
              <w:rPr>
                <w:rFonts w:hint="eastAsia" w:ascii="宋体" w:hAnsi="宋体" w:eastAsia="宋体" w:cs="宋体"/>
                <w:color w:val="auto"/>
                <w:kern w:val="2"/>
                <w:sz w:val="24"/>
                <w:szCs w:val="24"/>
                <w:highlight w:val="none"/>
                <w:lang w:val="en-US" w:eastAsia="zh-CN" w:bidi="ar-SA"/>
              </w:rPr>
              <w:t>备品备件计划、质保范围及期限</w:t>
            </w:r>
            <w:r>
              <w:rPr>
                <w:rFonts w:hint="eastAsia" w:hAnsi="宋体" w:cs="宋体"/>
                <w:color w:val="auto"/>
                <w:kern w:val="2"/>
                <w:sz w:val="24"/>
                <w:szCs w:val="24"/>
                <w:highlight w:val="none"/>
                <w:lang w:val="en-US" w:eastAsia="zh-CN" w:bidi="ar-SA"/>
              </w:rPr>
              <w:t>等，根据其优劣程度进行赋</w:t>
            </w:r>
            <w:r>
              <w:rPr>
                <w:rFonts w:hint="eastAsia" w:ascii="宋体" w:hAnsi="宋体" w:eastAsia="宋体" w:cs="宋体"/>
                <w:color w:val="auto"/>
                <w:kern w:val="2"/>
                <w:sz w:val="24"/>
                <w:szCs w:val="24"/>
                <w:highlight w:val="none"/>
                <w:lang w:val="en-US" w:eastAsia="zh-CN" w:bidi="ar-SA"/>
              </w:rPr>
              <w:t>分</w:t>
            </w:r>
            <w:r>
              <w:rPr>
                <w:rFonts w:hint="eastAsia" w:hAnsi="宋体" w:cs="宋体"/>
                <w:color w:val="auto"/>
                <w:kern w:val="2"/>
                <w:sz w:val="24"/>
                <w:szCs w:val="24"/>
                <w:highlight w:val="none"/>
                <w:lang w:val="en-US" w:eastAsia="zh-CN" w:bidi="ar-SA"/>
              </w:rPr>
              <w:t>。</w:t>
            </w:r>
          </w:p>
          <w:p w14:paraId="2B5C0110">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备品备件计划科学合理、</w:t>
            </w:r>
            <w:r>
              <w:rPr>
                <w:rFonts w:hint="eastAsia" w:hAnsi="宋体" w:cs="宋体"/>
                <w:color w:val="auto"/>
                <w:kern w:val="2"/>
                <w:sz w:val="24"/>
                <w:szCs w:val="24"/>
                <w:highlight w:val="none"/>
                <w:lang w:val="en-US" w:eastAsia="zh-CN" w:bidi="ar-SA"/>
              </w:rPr>
              <w:t>满足采购人需求</w:t>
            </w:r>
            <w:r>
              <w:rPr>
                <w:rFonts w:hint="eastAsia" w:ascii="宋体" w:hAnsi="宋体" w:eastAsia="宋体" w:cs="宋体"/>
                <w:color w:val="auto"/>
                <w:kern w:val="2"/>
                <w:sz w:val="24"/>
                <w:szCs w:val="24"/>
                <w:highlight w:val="none"/>
                <w:lang w:val="en-US" w:eastAsia="zh-CN" w:bidi="ar-SA"/>
              </w:rPr>
              <w:t>3-4分</w:t>
            </w:r>
          </w:p>
          <w:p w14:paraId="39B7A899">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备品备件计划</w:t>
            </w:r>
            <w:r>
              <w:rPr>
                <w:rFonts w:hint="eastAsia" w:hAnsi="宋体" w:cs="宋体"/>
                <w:color w:val="auto"/>
                <w:kern w:val="2"/>
                <w:sz w:val="24"/>
                <w:szCs w:val="24"/>
                <w:highlight w:val="none"/>
                <w:lang w:val="en-US" w:eastAsia="zh-CN" w:bidi="ar-SA"/>
              </w:rPr>
              <w:t>不</w:t>
            </w:r>
            <w:r>
              <w:rPr>
                <w:rFonts w:hint="eastAsia" w:ascii="宋体" w:hAnsi="宋体" w:eastAsia="宋体" w:cs="宋体"/>
                <w:color w:val="auto"/>
                <w:kern w:val="2"/>
                <w:sz w:val="24"/>
                <w:szCs w:val="24"/>
                <w:highlight w:val="none"/>
                <w:lang w:val="en-US" w:eastAsia="zh-CN" w:bidi="ar-SA"/>
              </w:rPr>
              <w:t>合理、质保范围及期限</w:t>
            </w:r>
            <w:r>
              <w:rPr>
                <w:rFonts w:hint="eastAsia" w:hAnsi="宋体" w:cs="宋体"/>
                <w:color w:val="auto"/>
                <w:kern w:val="2"/>
                <w:sz w:val="24"/>
                <w:szCs w:val="24"/>
                <w:highlight w:val="none"/>
                <w:lang w:val="en-US" w:eastAsia="zh-CN" w:bidi="ar-SA"/>
              </w:rPr>
              <w:t>一般</w:t>
            </w:r>
            <w:r>
              <w:rPr>
                <w:rFonts w:hint="eastAsia" w:ascii="宋体" w:hAnsi="宋体" w:eastAsia="宋体" w:cs="宋体"/>
                <w:color w:val="auto"/>
                <w:kern w:val="2"/>
                <w:sz w:val="24"/>
                <w:szCs w:val="24"/>
                <w:highlight w:val="none"/>
                <w:lang w:val="en-US" w:eastAsia="zh-CN" w:bidi="ar-SA"/>
              </w:rPr>
              <w:t>或未提供计</w:t>
            </w:r>
            <w:r>
              <w:rPr>
                <w:rFonts w:hint="eastAsia" w:hAnsi="宋体" w:cs="宋体"/>
                <w:color w:val="auto"/>
                <w:kern w:val="2"/>
                <w:sz w:val="24"/>
                <w:szCs w:val="24"/>
                <w:highlight w:val="none"/>
                <w:lang w:val="en-US" w:eastAsia="zh-CN" w:bidi="ar-SA"/>
              </w:rPr>
              <w:t>2-0</w:t>
            </w:r>
            <w:r>
              <w:rPr>
                <w:rFonts w:hint="eastAsia" w:ascii="宋体" w:hAnsi="宋体" w:eastAsia="宋体" w:cs="宋体"/>
                <w:color w:val="auto"/>
                <w:kern w:val="2"/>
                <w:sz w:val="24"/>
                <w:szCs w:val="24"/>
                <w:highlight w:val="none"/>
                <w:lang w:val="en-US" w:eastAsia="zh-CN" w:bidi="ar-SA"/>
              </w:rPr>
              <w:t>分</w:t>
            </w:r>
          </w:p>
          <w:p w14:paraId="354712E2">
            <w:pPr>
              <w:keepNext w:val="0"/>
              <w:keepLines w:val="0"/>
              <w:pageBreakBefore w:val="0"/>
              <w:widowControl w:val="0"/>
              <w:kinsoku/>
              <w:wordWrap/>
              <w:overflowPunct/>
              <w:topLinePunct w:val="0"/>
              <w:autoSpaceDE/>
              <w:autoSpaceDN/>
              <w:bidi w:val="0"/>
              <w:adjustRightInd/>
              <w:snapToGrid w:val="0"/>
              <w:jc w:val="both"/>
              <w:textAlignment w:val="auto"/>
              <w:rPr>
                <w:rFonts w:hint="eastAsia" w:hAnsi="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4.售后服务方案中具备</w:t>
            </w:r>
            <w:r>
              <w:rPr>
                <w:rFonts w:hint="eastAsia" w:ascii="宋体" w:hAnsi="宋体" w:eastAsia="宋体" w:cs="宋体"/>
                <w:color w:val="auto"/>
                <w:kern w:val="2"/>
                <w:sz w:val="24"/>
                <w:szCs w:val="24"/>
                <w:highlight w:val="none"/>
                <w:lang w:val="en-US" w:eastAsia="zh-CN" w:bidi="ar-SA"/>
              </w:rPr>
              <w:t>免费上门服务、承担质保责任、维修成本承诺</w:t>
            </w:r>
            <w:r>
              <w:rPr>
                <w:rFonts w:hint="eastAsia" w:hAnsi="宋体" w:cs="宋体"/>
                <w:color w:val="auto"/>
                <w:kern w:val="2"/>
                <w:sz w:val="24"/>
                <w:szCs w:val="24"/>
                <w:highlight w:val="none"/>
                <w:lang w:val="en-US" w:eastAsia="zh-CN" w:bidi="ar-SA"/>
              </w:rPr>
              <w:t>等，根据其承诺内容及优劣程度进行赋</w:t>
            </w:r>
            <w:r>
              <w:rPr>
                <w:rFonts w:hint="eastAsia" w:ascii="宋体" w:hAnsi="宋体" w:eastAsia="宋体" w:cs="宋体"/>
                <w:color w:val="auto"/>
                <w:kern w:val="2"/>
                <w:sz w:val="24"/>
                <w:szCs w:val="24"/>
                <w:highlight w:val="none"/>
                <w:lang w:val="en-US" w:eastAsia="zh-CN" w:bidi="ar-SA"/>
              </w:rPr>
              <w:t>分</w:t>
            </w:r>
            <w:r>
              <w:rPr>
                <w:rFonts w:hint="eastAsia" w:hAnsi="宋体" w:cs="宋体"/>
                <w:color w:val="auto"/>
                <w:kern w:val="2"/>
                <w:sz w:val="24"/>
                <w:szCs w:val="24"/>
                <w:highlight w:val="none"/>
                <w:lang w:val="en-US" w:eastAsia="zh-CN" w:bidi="ar-SA"/>
              </w:rPr>
              <w:t>。</w:t>
            </w:r>
          </w:p>
          <w:p w14:paraId="6472C0C6">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hAnsi="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承诺内容齐全、满足采购人需求3-4分</w:t>
            </w:r>
          </w:p>
          <w:p w14:paraId="431E3A1B">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default"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承诺内容不齐全、无法满足采购人需求或未提供计0-2分</w:t>
            </w:r>
          </w:p>
        </w:tc>
      </w:tr>
      <w:tr w14:paraId="40C8C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96" w:hRule="atLeast"/>
          <w:jc w:val="center"/>
        </w:trPr>
        <w:tc>
          <w:tcPr>
            <w:tcW w:w="1003" w:type="dxa"/>
            <w:vMerge w:val="continue"/>
            <w:noWrap w:val="0"/>
            <w:vAlign w:val="center"/>
          </w:tcPr>
          <w:p w14:paraId="4251320A">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p>
        </w:tc>
        <w:tc>
          <w:tcPr>
            <w:tcW w:w="1004" w:type="dxa"/>
            <w:noWrap w:val="0"/>
            <w:vAlign w:val="center"/>
          </w:tcPr>
          <w:p w14:paraId="0261946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分</w:t>
            </w:r>
          </w:p>
        </w:tc>
        <w:tc>
          <w:tcPr>
            <w:tcW w:w="7367" w:type="dxa"/>
            <w:noWrap w:val="0"/>
            <w:vAlign w:val="center"/>
          </w:tcPr>
          <w:p w14:paraId="3BD6CCF0">
            <w:pPr>
              <w:keepNext w:val="0"/>
              <w:keepLines w:val="0"/>
              <w:pageBreakBefore w:val="0"/>
              <w:widowControl w:val="0"/>
              <w:kinsoku/>
              <w:wordWrap/>
              <w:overflowPunct/>
              <w:topLinePunct w:val="0"/>
              <w:autoSpaceDE/>
              <w:autoSpaceDN/>
              <w:bidi w:val="0"/>
              <w:adjustRightInd/>
              <w:snapToGrid w:val="0"/>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提供完整详细的培训计划，明确具体培训方式、时间、地点、人员以及培训内容，保证用户能熟练操作维护和正常使用，根据响应完整程度计</w:t>
            </w:r>
            <w:r>
              <w:rPr>
                <w:rFonts w:hint="eastAsia"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w:t>
            </w:r>
            <w:r>
              <w:rPr>
                <w:rFonts w:hint="eastAsia"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分。</w:t>
            </w:r>
          </w:p>
        </w:tc>
      </w:tr>
      <w:tr w14:paraId="00B62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715" w:hRule="atLeast"/>
          <w:jc w:val="center"/>
        </w:trPr>
        <w:tc>
          <w:tcPr>
            <w:tcW w:w="9374" w:type="dxa"/>
            <w:gridSpan w:val="3"/>
            <w:noWrap w:val="0"/>
            <w:vAlign w:val="center"/>
          </w:tcPr>
          <w:p w14:paraId="2769F3D0">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注：1、各评委独立打分。</w:t>
            </w:r>
          </w:p>
          <w:p w14:paraId="741759B0">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2、评委打分超过得分界限或未按本表规定赋分时，该评委的打分无效，不计入汇总分。</w:t>
            </w:r>
          </w:p>
          <w:p w14:paraId="25B9F5F5">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3、若出现综合得分相同的，按投标报价得分由高到低顺序排列名次；投标报价得分也相等的，按照本表中技术指标质量及履约保证得分高到低顺序排列名次。</w:t>
            </w:r>
          </w:p>
          <w:p w14:paraId="0A035E10">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4、最终结果数字保留二位小数，第三位“四舍五入”。</w:t>
            </w:r>
          </w:p>
        </w:tc>
      </w:tr>
    </w:tbl>
    <w:p w14:paraId="66EA724C">
      <w:pPr>
        <w:widowControl/>
        <w:numPr>
          <w:ilvl w:val="0"/>
          <w:numId w:val="0"/>
        </w:numPr>
        <w:shd w:val="clear" w:color="auto" w:fill="FFFFFF"/>
        <w:spacing w:before="0" w:beforeLines="0" w:beforeAutospacing="0" w:after="0" w:afterLines="0" w:afterAutospacing="0" w:line="360" w:lineRule="auto"/>
        <w:jc w:val="left"/>
        <w:rPr>
          <w:rFonts w:hint="eastAsia" w:ascii="宋体" w:hAnsi="宋体" w:eastAsia="宋体" w:cs="宋体"/>
          <w:b/>
          <w:color w:val="auto"/>
          <w:kern w:val="0"/>
          <w:sz w:val="24"/>
          <w:szCs w:val="24"/>
          <w:highlight w:val="none"/>
          <w:lang w:val="en-US" w:eastAsia="zh-CN" w:bidi="ar-SA"/>
        </w:rPr>
      </w:pPr>
    </w:p>
    <w:p w14:paraId="6D41DF81">
      <w:pPr>
        <w:widowControl/>
        <w:numPr>
          <w:ilvl w:val="0"/>
          <w:numId w:val="0"/>
        </w:numPr>
        <w:shd w:val="clear" w:color="auto" w:fill="FFFFFF"/>
        <w:spacing w:before="0" w:beforeLines="0" w:beforeAutospacing="0" w:after="0" w:afterLines="0" w:afterAutospacing="0" w:line="360" w:lineRule="auto"/>
        <w:jc w:val="left"/>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注：特殊情况的处理</w:t>
      </w:r>
    </w:p>
    <w:p w14:paraId="44D60424">
      <w:pPr>
        <w:widowControl/>
        <w:numPr>
          <w:ilvl w:val="0"/>
          <w:numId w:val="3"/>
        </w:numPr>
        <w:shd w:val="clear" w:color="auto" w:fill="FFFFFF"/>
        <w:spacing w:before="0" w:beforeLines="0" w:beforeAutospacing="0" w:after="0" w:afterLines="0" w:afterAutospacing="0" w:line="360" w:lineRule="auto"/>
        <w:ind w:firstLine="496" w:firstLineChars="200"/>
        <w:jc w:val="left"/>
        <w:rPr>
          <w:rFonts w:hint="eastAsia" w:ascii="宋体" w:hAnsi="宋体" w:eastAsia="宋体" w:cs="宋体"/>
          <w:color w:val="auto"/>
          <w:spacing w:val="4"/>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单一产品采购项目中，提供相同品牌的产品的不同投标人参加同一合同项下投标的，按以下方法处理：</w:t>
      </w:r>
    </w:p>
    <w:p w14:paraId="158770DA">
      <w:pPr>
        <w:widowControl/>
        <w:shd w:val="clear" w:color="auto" w:fill="FFFFFF"/>
        <w:spacing w:before="0" w:beforeLines="0" w:beforeAutospacing="0" w:after="0" w:afterLines="0" w:afterAutospacing="0" w:line="360" w:lineRule="auto"/>
        <w:ind w:firstLine="496" w:firstLineChars="200"/>
        <w:jc w:val="left"/>
        <w:rPr>
          <w:rFonts w:hint="eastAsia" w:ascii="宋体" w:hAnsi="宋体" w:eastAsia="宋体" w:cs="宋体"/>
          <w:color w:val="auto"/>
          <w:spacing w:val="4"/>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1.1、使用最低评标价法的采购项目，提供相同品牌产品的不同投标人参加同一合同项下投标的，以其中通过资格审查、符合性审查且报价最低的参加评标；报价相同的，由采购人及评标委员会按照技术方案、售后服务等内容择优选择确定一个参加评标的投标人，其他投标无效。</w:t>
      </w:r>
    </w:p>
    <w:p w14:paraId="6D8B1351">
      <w:pPr>
        <w:widowControl/>
        <w:shd w:val="clear" w:color="auto" w:fill="FFFFFF"/>
        <w:spacing w:before="0" w:beforeLines="0" w:beforeAutospacing="0" w:after="0" w:afterLines="0" w:afterAutospacing="0" w:line="360" w:lineRule="auto"/>
        <w:ind w:firstLine="496" w:firstLineChars="200"/>
        <w:jc w:val="left"/>
        <w:rPr>
          <w:rFonts w:hint="eastAsia" w:ascii="宋体" w:hAnsi="宋体" w:eastAsia="宋体" w:cs="宋体"/>
          <w:color w:val="auto"/>
          <w:spacing w:val="4"/>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1.2、使用综合评分法的采购项目，提供相同品牌产品且通过资格审查、符合性审查的不同投标人参加同一合同项下投标的，按一家投标人计算，评审后得分最高的同品牌投标人获得中标人推荐资格；评审得分相同的，由采购人及评标委员会按照投标报价最低的方式确定一个投标人获得中标人推荐资格，其他同品牌投标人不作为中标候选人。</w:t>
      </w:r>
    </w:p>
    <w:p w14:paraId="4FAE508F">
      <w:pPr>
        <w:widowControl/>
        <w:numPr>
          <w:ilvl w:val="0"/>
          <w:numId w:val="3"/>
        </w:numPr>
        <w:spacing w:line="360" w:lineRule="auto"/>
        <w:ind w:right="-226" w:rightChars="-94" w:firstLine="496" w:firstLineChars="200"/>
        <w:jc w:val="left"/>
        <w:rPr>
          <w:rFonts w:hint="eastAsia" w:ascii="宋体" w:hAnsi="宋体" w:eastAsia="宋体" w:cs="宋体"/>
          <w:color w:val="auto"/>
          <w:spacing w:val="4"/>
          <w:szCs w:val="24"/>
          <w:highlight w:val="none"/>
        </w:rPr>
      </w:pPr>
      <w:r>
        <w:rPr>
          <w:rFonts w:hint="eastAsia" w:ascii="宋体" w:hAnsi="宋体" w:eastAsia="宋体" w:cs="宋体"/>
          <w:color w:val="auto"/>
          <w:spacing w:val="4"/>
          <w:szCs w:val="24"/>
          <w:highlight w:val="none"/>
        </w:rPr>
        <w:t>非单一产品采购项目中，提供相同品牌的核心产品的不同投标人参加同一合同项下投标的，按以下方法处理：</w:t>
      </w:r>
    </w:p>
    <w:p w14:paraId="69FCCCD4">
      <w:pPr>
        <w:widowControl/>
        <w:shd w:val="clear" w:color="auto" w:fill="FFFFFF"/>
        <w:spacing w:before="0" w:beforeLines="0" w:beforeAutospacing="0" w:after="0" w:afterLines="0" w:afterAutospacing="0" w:line="360" w:lineRule="auto"/>
        <w:ind w:firstLine="496" w:firstLineChars="200"/>
        <w:jc w:val="left"/>
        <w:rPr>
          <w:rFonts w:hint="eastAsia" w:ascii="宋体" w:hAnsi="宋体" w:eastAsia="宋体" w:cs="宋体"/>
          <w:color w:val="auto"/>
          <w:spacing w:val="4"/>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2.1、使用最低评标价法的采购项目，提供相同品牌核心产品的不同投标人参加同一合同项下投标的，以其中通过资格审查、符合性审查且投标报价最低的参加评标；投标报价相同的，由采购人及评标委员会按照技术方案、售后服务等内容择优选择确定一个参加评标的投标人，其他投标无效。</w:t>
      </w:r>
    </w:p>
    <w:p w14:paraId="2BB29058">
      <w:pPr>
        <w:widowControl/>
        <w:shd w:val="clear" w:color="auto" w:fill="FFFFFF"/>
        <w:spacing w:before="0" w:beforeLines="0" w:beforeAutospacing="0" w:after="0" w:afterLines="0" w:afterAutospacing="0" w:line="360" w:lineRule="auto"/>
        <w:ind w:firstLine="496" w:firstLineChars="200"/>
        <w:jc w:val="left"/>
        <w:rPr>
          <w:rFonts w:hint="eastAsia" w:ascii="宋体" w:hAnsi="宋体" w:eastAsia="宋体" w:cs="宋体"/>
          <w:color w:val="auto"/>
          <w:spacing w:val="4"/>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2.2、使用综合评分法的采购项目，提供相同品牌核心产品且通过资格审查、符合性审查的不同投标人参加同一合同项下投标的，按一家投标人计算，评审后得分最高的同品牌投标人获得中标人推荐资格；评审得分相同的，由采购人及评标委员会按照投标报价最低的方式确定一个投标人获得中标人推荐资格，其他同品牌投标人不作为中标候选人。</w:t>
      </w:r>
    </w:p>
    <w:p w14:paraId="2D65B0DE">
      <w:pPr>
        <w:pStyle w:val="36"/>
        <w:spacing w:line="360" w:lineRule="auto"/>
        <w:rPr>
          <w:rFonts w:hint="eastAsia" w:ascii="宋体" w:hAnsi="宋体" w:eastAsia="宋体" w:cs="宋体"/>
          <w:color w:val="auto"/>
          <w:spacing w:val="4"/>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3、评标过程中，若出现本评标方法以外的特殊情况时，将暂停评标，待评委会商榷后，再进行评定。</w:t>
      </w:r>
    </w:p>
    <w:p w14:paraId="45FEA2A2">
      <w:pPr>
        <w:keepNext w:val="0"/>
        <w:keepLines w:val="0"/>
        <w:widowControl/>
        <w:suppressLineNumbers w:val="0"/>
        <w:spacing w:line="360" w:lineRule="auto"/>
        <w:ind w:firstLine="482" w:firstLineChars="200"/>
        <w:jc w:val="left"/>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23.3 本项目落实政府采购政策</w:t>
      </w:r>
    </w:p>
    <w:p w14:paraId="74E57613">
      <w:pPr>
        <w:keepNext w:val="0"/>
        <w:keepLines w:val="0"/>
        <w:widowControl/>
        <w:suppressLineNumbers w:val="0"/>
        <w:spacing w:line="360" w:lineRule="auto"/>
        <w:ind w:firstLine="482" w:firstLineChars="200"/>
        <w:jc w:val="left"/>
        <w:rPr>
          <w:rFonts w:hint="eastAsia" w:ascii="宋体" w:hAnsi="宋体" w:eastAsia="宋体" w:cs="宋体"/>
          <w:color w:val="auto"/>
          <w:sz w:val="21"/>
          <w:szCs w:val="16"/>
        </w:rPr>
      </w:pPr>
      <w:r>
        <w:rPr>
          <w:rFonts w:hint="eastAsia" w:ascii="宋体" w:hAnsi="宋体" w:eastAsia="宋体" w:cs="宋体"/>
          <w:b/>
          <w:bCs/>
          <w:color w:val="auto"/>
          <w:kern w:val="0"/>
          <w:sz w:val="24"/>
          <w:szCs w:val="24"/>
          <w:lang w:val="en-US" w:eastAsia="zh-CN" w:bidi="ar"/>
        </w:rPr>
        <w:t xml:space="preserve">1.投标企业政府采购政策 </w:t>
      </w:r>
    </w:p>
    <w:p w14:paraId="02617729">
      <w:pPr>
        <w:keepNext w:val="0"/>
        <w:keepLines w:val="0"/>
        <w:widowControl/>
        <w:numPr>
          <w:ilvl w:val="0"/>
          <w:numId w:val="4"/>
        </w:numPr>
        <w:suppressLineNumbers w:val="0"/>
        <w:spacing w:line="360" w:lineRule="auto"/>
        <w:ind w:left="0" w:leftChars="0" w:firstLine="384" w:firstLineChars="16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中小企业落实政府采购政策根据《政府采购促进中小企业发展管理办法》（财库〔2020〕46 号）的有关规定，在货物采购项目中，货物由小微企业制造，即货物由小微企业生产且使用该小微企业商号或者注册商标；在工程采购项目中，工程由小微企业承建，即工程施工单位为小微企业；在服务采购项目中，服务由小微企业承接，即提供服务的人员为小微企业依照《中华人民共和国劳动合同法》订立劳动合同的从业人员。则参与政府采购活动时，货物和服务项目对小型和微型企业产品的价格给予 10%-20%的价格扣除，工程项目给予6%-10%的价格扣除，用扣除后的价格参与评审。</w:t>
      </w:r>
    </w:p>
    <w:p w14:paraId="25339FD0">
      <w:pPr>
        <w:keepNext w:val="0"/>
        <w:keepLines w:val="0"/>
        <w:widowControl/>
        <w:numPr>
          <w:ilvl w:val="0"/>
          <w:numId w:val="0"/>
        </w:numPr>
        <w:suppressLineNumbers w:val="0"/>
        <w:spacing w:line="360" w:lineRule="auto"/>
        <w:ind w:left="4" w:leftChars="0" w:firstLine="379" w:firstLineChars="158"/>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在货物采购项目中，供应商提供的货物既有小微企业制造货物，也有大型、中型企业制造货物的，不享受政府采购价格扣除优惠政策。</w:t>
      </w:r>
    </w:p>
    <w:p w14:paraId="5935EC98">
      <w:pPr>
        <w:keepNext w:val="0"/>
        <w:keepLines w:val="0"/>
        <w:widowControl/>
        <w:numPr>
          <w:ilvl w:val="0"/>
          <w:numId w:val="0"/>
        </w:numPr>
        <w:suppressLineNumbers w:val="0"/>
        <w:spacing w:line="360" w:lineRule="auto"/>
        <w:ind w:left="4" w:leftChars="0" w:firstLine="379" w:firstLineChars="158"/>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接受大中型企业与小微企业组成联合体或者允许大中型企业向一家或者多家小微企业分包的采购项目，对于联合协议或者分包意向协议约定小微企业的合同份额占到合同总金额 30%以上的，货物和服务项目可给予联合体或者大中型企业的报价 4%-6%的扣除，工程项目为 1%—2%的扣除。联合体各方均为小型、微型企业的，联合体视同为小型、微型企业。组成联合体或者接受分包的小微企业与联合体内其他企业、分包企业之间存在直接控股、管理关系的，不享受价格扣除优惠政策。 </w:t>
      </w:r>
    </w:p>
    <w:p w14:paraId="3D5617F4">
      <w:pPr>
        <w:tabs>
          <w:tab w:val="left" w:pos="2073"/>
        </w:tabs>
        <w:bidi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参加政府采购活动的中小企业应提供《中小企业声明函》原件。未提供上述声明函原件的，不能享受招标文件规定的价格扣除，但不影响投标文件的有效性。实际价格扣除比例以本章中的约定为准。 </w:t>
      </w:r>
    </w:p>
    <w:p w14:paraId="6C5854B9">
      <w:pPr>
        <w:keepNext w:val="0"/>
        <w:keepLines w:val="0"/>
        <w:widowControl/>
        <w:suppressLineNumbers w:val="0"/>
        <w:spacing w:line="360" w:lineRule="auto"/>
        <w:ind w:left="0" w:leftChars="0" w:firstLine="386" w:firstLineChars="160"/>
        <w:jc w:val="left"/>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2.投标产品政府采购政策 </w:t>
      </w:r>
    </w:p>
    <w:p w14:paraId="0707E132">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（1）节能产品根据《国务院办公厅关于建立政府强制采购节能产品制度的通知》（国办发[2007] 51号）的规定，以中国政府采购网（http://www.ccgp.gov.cn/）公布的最新一期节能产品政府采购清单为准。 </w:t>
      </w:r>
    </w:p>
    <w:p w14:paraId="3D06B38E">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（2）环境标志产品根据《环境标志产品政府采购实施的意见》（财库 [2006]90号）的规定，以中国政府采购网（http://www.ccgp.gov.cn/）公布的最新一期环境标志产品政府采购清单为准。 </w:t>
      </w:r>
    </w:p>
    <w:p w14:paraId="4872B4F5">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投标单位在投标文件中对所投标产品为节能、环保、环境标志产品清单中的产品，在投标报价时必须对此类产品单独分项报价，计算出小计及占投标报价总金额的百分比，并提供属于清单内产品的证明资料（从中国政府采购网上下载的网页公告等），未提供节能、环保、环境标志产品优惠明细表及属于清单内产品的证明资料的不给予优惠。 </w:t>
      </w:r>
    </w:p>
    <w:p w14:paraId="35BA213D">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（4）若节能、环保、环境标志清单内的产品仅是构成投标产品的部件、组件或零件的，则该投标产品不享受鼓励优惠政策。 </w:t>
      </w:r>
    </w:p>
    <w:p w14:paraId="0D55CBBF">
      <w:pPr>
        <w:keepNext w:val="0"/>
        <w:keepLines w:val="0"/>
        <w:widowControl/>
        <w:suppressLineNumbers w:val="0"/>
        <w:spacing w:line="360" w:lineRule="auto"/>
        <w:ind w:left="0" w:leftChars="0" w:firstLine="384" w:firstLineChars="16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（5）同一标段的节能、环保、环境标志产品部分优惠只对属于清单内的非强制类产品进行优惠，强制类产品不给予优惠。 </w:t>
      </w:r>
    </w:p>
    <w:p w14:paraId="295ACC88">
      <w:pPr>
        <w:tabs>
          <w:tab w:val="left" w:pos="717"/>
        </w:tabs>
        <w:bidi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（6）节能、环保、环境标志产品不重复优惠；同时列入国家级清单和省级清单的产品不重复优惠。 </w:t>
      </w:r>
    </w:p>
    <w:p w14:paraId="1FF17915">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（7）获得上述认证的产品在投标时应提供有效证明材料。以上所有证明文件复印件须加盖投标单位公章并注明“与原件一致”，否则不予优惠。</w:t>
      </w:r>
    </w:p>
    <w:p w14:paraId="4553C343">
      <w:pPr>
        <w:keepNext w:val="0"/>
        <w:keepLines w:val="0"/>
        <w:widowControl/>
        <w:suppressLineNumbers w:val="0"/>
        <w:spacing w:line="360" w:lineRule="auto"/>
        <w:ind w:left="0" w:leftChars="0" w:firstLine="386" w:firstLineChars="160"/>
        <w:jc w:val="left"/>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 3.价格优惠比例 </w:t>
      </w:r>
    </w:p>
    <w:p w14:paraId="38F92523">
      <w:pPr>
        <w:keepNext w:val="0"/>
        <w:keepLines w:val="0"/>
        <w:widowControl/>
        <w:suppressLineNumbers w:val="0"/>
        <w:spacing w:line="360" w:lineRule="auto"/>
        <w:ind w:left="0" w:leftChars="0" w:firstLine="386" w:firstLineChars="160"/>
        <w:jc w:val="left"/>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（1）投标企业优惠比例 </w:t>
      </w:r>
    </w:p>
    <w:p w14:paraId="264B5CC7">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符合招标文件规定的小微企业、监狱企业优惠条件的投标单位，价格给予 10%的扣除（不重复优惠，最高为 10%），用扣除后的价格参与评审。 </w:t>
      </w:r>
    </w:p>
    <w:p w14:paraId="05F4B547">
      <w:pPr>
        <w:keepNext w:val="0"/>
        <w:keepLines w:val="0"/>
        <w:widowControl/>
        <w:suppressLineNumbers w:val="0"/>
        <w:spacing w:line="360" w:lineRule="auto"/>
        <w:ind w:left="0" w:leftChars="0" w:firstLine="386" w:firstLineChars="160"/>
        <w:jc w:val="left"/>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（2）投标产品优惠比例 </w:t>
      </w:r>
    </w:p>
    <w:p w14:paraId="64A9C749">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投标产品为节能、环保、环境标志产品清单中的产品，符合招标文件要求的，价格给予 6%的扣除（不重复优惠，最高为 6%），用扣除后的价格参与评审。 </w:t>
      </w:r>
    </w:p>
    <w:p w14:paraId="63396662">
      <w:pPr>
        <w:keepNext w:val="0"/>
        <w:keepLines w:val="0"/>
        <w:widowControl/>
        <w:suppressLineNumbers w:val="0"/>
        <w:spacing w:line="360" w:lineRule="auto"/>
        <w:ind w:left="0" w:leftChars="0" w:firstLine="386" w:firstLineChars="160"/>
        <w:jc w:val="left"/>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 xml:space="preserve">4.关于融资的政府采购政策 </w:t>
      </w:r>
    </w:p>
    <w:p w14:paraId="61599CE3">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供应商为中小企业的，可依据《陕西省中小企业政府采购信用融资办法》（陕财办采〔2018〕23 号）申请信用融资，供应商获得政府采购合同后，凭政府采购合同向银行提出融资申请。并根据各银行提供的方案，自行选择符合自身情况的金融产品，银行根据供应商的申请开展尽职调查，合理确定融资授信额度。如融资金额未超过政府采购合同金额的，银行原则上不得要求供应商提供财产抵押或第三方担保，或附加其他任何形式的担保条件。银行为参与政府采购融资的供应商提供的产品，应以信用贷款为主，贷款利率应当优于一般中小企业的贷款利率水平，并将产品信息（包括贷款发放条件、利率优惠、贷款金额）等在陕西政府采购网予以展示。 具体可登陆 http://www.ccgp-shaanxi.gov.cn/zcdservice/zcd/shananxi </w:t>
      </w:r>
    </w:p>
    <w:p w14:paraId="6466D039">
      <w:pPr>
        <w:keepNext w:val="0"/>
        <w:keepLines w:val="0"/>
        <w:widowControl/>
        <w:suppressLineNumbers w:val="0"/>
        <w:spacing w:line="360" w:lineRule="auto"/>
        <w:ind w:left="0" w:leftChars="0" w:firstLine="384" w:firstLineChars="16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（陕西省政府采购信用融资平台）查看办理。</w:t>
      </w:r>
    </w:p>
    <w:p w14:paraId="43785EA7">
      <w:pPr>
        <w:pStyle w:val="36"/>
        <w:spacing w:line="360" w:lineRule="auto"/>
        <w:rPr>
          <w:rFonts w:hint="eastAsia" w:ascii="宋体" w:hAnsi="宋体" w:eastAsia="宋体" w:cs="宋体"/>
          <w:color w:val="auto"/>
          <w:spacing w:val="4"/>
          <w:sz w:val="24"/>
          <w:szCs w:val="24"/>
          <w:highlight w:val="none"/>
          <w:lang w:val="en-US" w:eastAsia="zh-CN" w:bidi="ar-SA"/>
        </w:rPr>
      </w:pPr>
    </w:p>
    <w:p w14:paraId="22AB0006">
      <w:pPr>
        <w:spacing w:line="348"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六.定标、中标通知与签约</w:t>
      </w:r>
      <w:bookmarkEnd w:id="38"/>
      <w:bookmarkEnd w:id="39"/>
      <w:bookmarkEnd w:id="40"/>
    </w:p>
    <w:p w14:paraId="52F39A88">
      <w:pPr>
        <w:spacing w:line="348" w:lineRule="auto"/>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w:t>
      </w:r>
      <w:r>
        <w:rPr>
          <w:rFonts w:hint="eastAsia" w:ascii="宋体" w:hAnsi="宋体" w:eastAsia="宋体" w:cs="宋体"/>
          <w:b/>
          <w:color w:val="auto"/>
          <w:szCs w:val="24"/>
          <w:highlight w:val="none"/>
          <w:lang w:val="en-US" w:eastAsia="zh-CN"/>
        </w:rPr>
        <w:t>4</w:t>
      </w:r>
      <w:r>
        <w:rPr>
          <w:rFonts w:hint="eastAsia" w:ascii="宋体" w:hAnsi="宋体" w:eastAsia="宋体" w:cs="宋体"/>
          <w:b/>
          <w:color w:val="auto"/>
          <w:szCs w:val="24"/>
          <w:highlight w:val="none"/>
        </w:rPr>
        <w:t>．定标程序</w:t>
      </w:r>
    </w:p>
    <w:p w14:paraId="3434F841">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.1评标委员会根据评标方法的规定对投标人进行评审排序，推荐3名中标候选人，作为评标结果。评标结果由评标委员会成员签字确认。</w:t>
      </w:r>
    </w:p>
    <w:p w14:paraId="086E6977">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.2采购人根据评标报告中推荐的中标候选人排列顺序，确定相应的中标人。</w:t>
      </w:r>
    </w:p>
    <w:p w14:paraId="4BF63111">
      <w:pPr>
        <w:tabs>
          <w:tab w:val="left" w:pos="6720"/>
        </w:tabs>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.3</w:t>
      </w:r>
      <w:r>
        <w:rPr>
          <w:rFonts w:hint="eastAsia" w:ascii="宋体" w:hAnsi="宋体" w:eastAsia="宋体" w:cs="宋体"/>
          <w:color w:val="auto"/>
          <w:highlight w:val="none"/>
        </w:rPr>
        <w:t>确定的中标候选人放弃中标、在规定期限内未能签订合同、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r>
        <w:rPr>
          <w:rFonts w:hint="eastAsia" w:ascii="宋体" w:hAnsi="宋体" w:eastAsia="宋体" w:cs="宋体"/>
          <w:color w:val="auto"/>
          <w:szCs w:val="24"/>
          <w:highlight w:val="none"/>
        </w:rPr>
        <w:t>。</w:t>
      </w:r>
    </w:p>
    <w:p w14:paraId="57541A76">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.4采购人也可以授权评标委员会评标后直接确定中标人。</w:t>
      </w:r>
    </w:p>
    <w:p w14:paraId="441A9B05">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.5中标人确定之后，中标结果将在财政部门指定的政府采购信息发布媒体上公告。</w:t>
      </w:r>
    </w:p>
    <w:p w14:paraId="56F9CABE">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4</w:t>
      </w:r>
      <w:r>
        <w:rPr>
          <w:rFonts w:hint="eastAsia" w:ascii="宋体" w:hAnsi="宋体" w:eastAsia="宋体" w:cs="宋体"/>
          <w:color w:val="auto"/>
          <w:szCs w:val="24"/>
          <w:highlight w:val="none"/>
        </w:rPr>
        <w:t>.6投标人或者其他利害关系人对评标结果有异议的，应当在法律规定的时间内提出。</w:t>
      </w:r>
    </w:p>
    <w:p w14:paraId="2CEC9CB5">
      <w:pPr>
        <w:spacing w:line="348" w:lineRule="auto"/>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w:t>
      </w:r>
      <w:r>
        <w:rPr>
          <w:rFonts w:hint="eastAsia" w:ascii="宋体" w:hAnsi="宋体" w:eastAsia="宋体" w:cs="宋体"/>
          <w:b/>
          <w:color w:val="auto"/>
          <w:szCs w:val="24"/>
          <w:highlight w:val="none"/>
          <w:lang w:val="en-US" w:eastAsia="zh-CN"/>
        </w:rPr>
        <w:t>5</w:t>
      </w:r>
      <w:r>
        <w:rPr>
          <w:rFonts w:hint="eastAsia" w:ascii="宋体" w:hAnsi="宋体" w:eastAsia="宋体" w:cs="宋体"/>
          <w:b/>
          <w:color w:val="auto"/>
          <w:szCs w:val="24"/>
          <w:highlight w:val="none"/>
        </w:rPr>
        <w:t>．中标通知</w:t>
      </w:r>
    </w:p>
    <w:p w14:paraId="42C61210">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 xml:space="preserve">.1 采购代理机构向中标人发出《中标通知书》。 </w:t>
      </w:r>
    </w:p>
    <w:p w14:paraId="1703F468">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.2中标通知书对采购人和中标人具有同等法律效力。中标通知书发出之后，采购人改变中标结果，或者中标人放弃中标，应当承担相应的法律责任。</w:t>
      </w:r>
    </w:p>
    <w:p w14:paraId="6492844B">
      <w:pPr>
        <w:spacing w:line="348" w:lineRule="auto"/>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w:t>
      </w:r>
      <w:r>
        <w:rPr>
          <w:rFonts w:hint="eastAsia" w:ascii="宋体" w:hAnsi="宋体" w:eastAsia="宋体" w:cs="宋体"/>
          <w:b/>
          <w:color w:val="auto"/>
          <w:szCs w:val="24"/>
          <w:highlight w:val="none"/>
          <w:lang w:val="en-US" w:eastAsia="zh-CN"/>
        </w:rPr>
        <w:t>6</w:t>
      </w:r>
      <w:r>
        <w:rPr>
          <w:rFonts w:hint="eastAsia" w:ascii="宋体" w:hAnsi="宋体" w:eastAsia="宋体" w:cs="宋体"/>
          <w:b/>
          <w:color w:val="auto"/>
          <w:szCs w:val="24"/>
          <w:highlight w:val="none"/>
        </w:rPr>
        <w:t>. 中标合同的签订</w:t>
      </w:r>
    </w:p>
    <w:p w14:paraId="59156A8C">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6</w:t>
      </w:r>
      <w:r>
        <w:rPr>
          <w:rFonts w:hint="eastAsia" w:ascii="宋体" w:hAnsi="宋体" w:eastAsia="宋体" w:cs="宋体"/>
          <w:color w:val="auto"/>
          <w:szCs w:val="24"/>
          <w:highlight w:val="none"/>
        </w:rPr>
        <w:t>.1采购人应当自中标通知书发出之日起</w:t>
      </w:r>
      <w:r>
        <w:rPr>
          <w:rFonts w:hint="eastAsia" w:hAnsi="宋体" w:cs="宋体"/>
          <w:color w:val="auto"/>
          <w:szCs w:val="24"/>
          <w:highlight w:val="none"/>
          <w:lang w:val="en-US" w:eastAsia="zh-CN"/>
        </w:rPr>
        <w:t>25</w:t>
      </w:r>
      <w:r>
        <w:rPr>
          <w:rFonts w:hint="eastAsia" w:ascii="宋体" w:hAnsi="宋体" w:eastAsia="宋体" w:cs="宋体"/>
          <w:color w:val="auto"/>
          <w:szCs w:val="24"/>
          <w:highlight w:val="none"/>
        </w:rPr>
        <w:t>日内，按照招标文件和中标人投标文件（包括评标中形成的澄清文件）的约定，与中标人签订书面合同。所签订的合同不得对招标文件和中标人的投标文件（包括评标中形成的澄清文件）作实质性修改。</w:t>
      </w:r>
    </w:p>
    <w:p w14:paraId="3A2893BF">
      <w:pPr>
        <w:spacing w:line="348" w:lineRule="auto"/>
        <w:rPr>
          <w:rFonts w:hint="eastAsia" w:ascii="宋体" w:hAnsi="宋体" w:eastAsia="宋体" w:cs="宋体"/>
          <w:b/>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6</w:t>
      </w:r>
      <w:r>
        <w:rPr>
          <w:rFonts w:hint="eastAsia" w:ascii="宋体" w:hAnsi="宋体" w:eastAsia="宋体" w:cs="宋体"/>
          <w:color w:val="auto"/>
          <w:szCs w:val="24"/>
          <w:highlight w:val="none"/>
        </w:rPr>
        <w:t>.2采购人自采购合同签订之日起</w:t>
      </w:r>
      <w:r>
        <w:rPr>
          <w:rFonts w:hint="eastAsia" w:hAnsi="宋体" w:cs="宋体"/>
          <w:color w:val="auto"/>
          <w:szCs w:val="24"/>
          <w:highlight w:val="none"/>
          <w:lang w:val="en-US" w:eastAsia="zh-CN"/>
        </w:rPr>
        <w:t>2个工作</w:t>
      </w:r>
      <w:r>
        <w:rPr>
          <w:rFonts w:hint="eastAsia" w:ascii="宋体" w:hAnsi="宋体" w:eastAsia="宋体" w:cs="宋体"/>
          <w:color w:val="auto"/>
          <w:szCs w:val="24"/>
          <w:highlight w:val="none"/>
        </w:rPr>
        <w:t>日内，</w:t>
      </w:r>
      <w:r>
        <w:rPr>
          <w:rFonts w:hint="eastAsia" w:ascii="宋体" w:hAnsi="宋体" w:eastAsia="宋体" w:cs="宋体"/>
          <w:color w:val="auto"/>
          <w:szCs w:val="24"/>
          <w:highlight w:val="none"/>
          <w:lang w:val="en-US" w:eastAsia="zh-CN"/>
        </w:rPr>
        <w:t>将采购合同在陕西省政府采购网上公告</w:t>
      </w:r>
      <w:r>
        <w:rPr>
          <w:rFonts w:hint="eastAsia" w:ascii="宋体" w:hAnsi="宋体" w:eastAsia="宋体" w:cs="宋体"/>
          <w:color w:val="auto"/>
          <w:szCs w:val="24"/>
          <w:highlight w:val="none"/>
        </w:rPr>
        <w:t>。</w:t>
      </w:r>
      <w:r>
        <w:rPr>
          <w:rFonts w:hint="eastAsia" w:ascii="宋体" w:hAnsi="宋体" w:eastAsia="宋体" w:cs="宋体"/>
          <w:b/>
          <w:color w:val="auto"/>
          <w:szCs w:val="24"/>
          <w:highlight w:val="none"/>
        </w:rPr>
        <w:t>2</w:t>
      </w:r>
      <w:r>
        <w:rPr>
          <w:rFonts w:hint="eastAsia" w:ascii="宋体" w:hAnsi="宋体" w:eastAsia="宋体" w:cs="宋体"/>
          <w:b/>
          <w:color w:val="auto"/>
          <w:szCs w:val="24"/>
          <w:highlight w:val="none"/>
          <w:lang w:val="en-US" w:eastAsia="zh-CN"/>
        </w:rPr>
        <w:t>7</w:t>
      </w:r>
      <w:r>
        <w:rPr>
          <w:rFonts w:hint="eastAsia" w:ascii="宋体" w:hAnsi="宋体" w:eastAsia="宋体" w:cs="宋体"/>
          <w:b/>
          <w:color w:val="auto"/>
          <w:szCs w:val="24"/>
          <w:highlight w:val="none"/>
        </w:rPr>
        <w:t>．招标代理服务费</w:t>
      </w:r>
    </w:p>
    <w:p w14:paraId="7E9334B9">
      <w:pPr>
        <w:spacing w:line="560" w:lineRule="exact"/>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.1</w:t>
      </w:r>
      <w:r>
        <w:rPr>
          <w:rFonts w:hint="eastAsia" w:ascii="宋体" w:hAnsi="宋体" w:eastAsia="宋体" w:cs="宋体"/>
          <w:color w:val="auto"/>
          <w:szCs w:val="24"/>
          <w:highlight w:val="none"/>
          <w:lang w:eastAsia="zh-CN"/>
        </w:rPr>
        <w:t>参照</w:t>
      </w:r>
      <w:r>
        <w:rPr>
          <w:rFonts w:hint="eastAsia" w:ascii="宋体" w:hAnsi="宋体" w:eastAsia="宋体" w:cs="宋体"/>
          <w:color w:val="auto"/>
          <w:szCs w:val="24"/>
          <w:highlight w:val="none"/>
        </w:rPr>
        <w:t>计价格[2002]1980号文件及发改价格[2011]534号文件规定的费率进行收费</w:t>
      </w:r>
      <w:r>
        <w:rPr>
          <w:rFonts w:hint="eastAsia" w:ascii="宋体" w:hAnsi="宋体" w:eastAsia="宋体" w:cs="宋体"/>
          <w:color w:val="auto"/>
          <w:szCs w:val="24"/>
          <w:highlight w:val="none"/>
          <w:lang w:eastAsia="zh-CN"/>
        </w:rPr>
        <w:t>及其</w:t>
      </w:r>
      <w:r>
        <w:rPr>
          <w:rFonts w:hint="eastAsia" w:ascii="宋体" w:hAnsi="宋体" w:eastAsia="宋体" w:cs="宋体"/>
          <w:color w:val="auto"/>
          <w:szCs w:val="24"/>
          <w:highlight w:val="none"/>
        </w:rPr>
        <w:t>有关规定执行。</w:t>
      </w:r>
    </w:p>
    <w:p w14:paraId="4F66091A">
      <w:pPr>
        <w:spacing w:line="348"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.2中标单位在领取中标通知书前，须向采购代理机构一次性支付招标代理服务费</w:t>
      </w:r>
      <w:r>
        <w:rPr>
          <w:rFonts w:hint="eastAsia" w:ascii="宋体" w:hAnsi="宋体" w:eastAsia="宋体" w:cs="宋体"/>
          <w:color w:val="auto"/>
          <w:highlight w:val="none"/>
        </w:rPr>
        <w:t>。</w:t>
      </w:r>
    </w:p>
    <w:p w14:paraId="090978B8">
      <w:pPr>
        <w:numPr>
          <w:ilvl w:val="0"/>
          <w:numId w:val="0"/>
        </w:numPr>
        <w:spacing w:line="348" w:lineRule="auto"/>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lang w:val="en-US" w:eastAsia="zh-CN"/>
        </w:rPr>
        <w:t>28.</w:t>
      </w:r>
      <w:r>
        <w:rPr>
          <w:rFonts w:hint="eastAsia" w:ascii="宋体" w:hAnsi="宋体" w:eastAsia="宋体" w:cs="宋体"/>
          <w:b/>
          <w:bCs/>
          <w:color w:val="auto"/>
          <w:szCs w:val="24"/>
          <w:highlight w:val="none"/>
        </w:rPr>
        <w:t>质疑</w:t>
      </w:r>
    </w:p>
    <w:p w14:paraId="5D0D10AE">
      <w:pPr>
        <w:spacing w:line="348" w:lineRule="auto"/>
        <w:ind w:right="12"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.1投标人认为招标文件、招标过程、中标结果使自己的权益受到损害的，可以在知道或者应知其权益受到损害之日起7</w:t>
      </w:r>
      <w:r>
        <w:rPr>
          <w:rFonts w:hint="eastAsia" w:ascii="宋体" w:hAnsi="宋体" w:eastAsia="宋体" w:cs="宋体"/>
          <w:color w:val="auto"/>
          <w:szCs w:val="24"/>
          <w:highlight w:val="none"/>
          <w:lang w:val="en-US" w:eastAsia="zh-CN"/>
        </w:rPr>
        <w:t>个工作</w:t>
      </w:r>
      <w:r>
        <w:rPr>
          <w:rFonts w:hint="eastAsia" w:ascii="宋体" w:hAnsi="宋体" w:eastAsia="宋体" w:cs="宋体"/>
          <w:color w:val="auto"/>
          <w:szCs w:val="24"/>
          <w:highlight w:val="none"/>
        </w:rPr>
        <w:t>日内，以书面形式向采购人、采购代理机构提出质疑。</w:t>
      </w:r>
    </w:p>
    <w:p w14:paraId="548BF028">
      <w:pPr>
        <w:spacing w:line="348" w:lineRule="auto"/>
        <w:ind w:right="12" w:firstLine="480"/>
        <w:rPr>
          <w:rStyle w:val="23"/>
          <w:rFonts w:hint="eastAsia" w:ascii="宋体" w:hAnsi="宋体" w:eastAsia="宋体" w:cs="宋体"/>
          <w:bCs w:val="0"/>
          <w:color w:val="auto"/>
          <w:szCs w:val="24"/>
          <w:highlight w:val="none"/>
          <w:shd w:val="clear" w:color="auto" w:fill="FFFFFF"/>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.2投标人必须在法定质疑期内一次性提出针对同一采购程序环节的质疑。</w:t>
      </w:r>
    </w:p>
    <w:p w14:paraId="480F38C1">
      <w:pPr>
        <w:spacing w:line="348" w:lineRule="auto"/>
        <w:ind w:left="3" w:firstLine="518" w:firstLineChars="216"/>
        <w:rPr>
          <w:rStyle w:val="23"/>
          <w:rFonts w:hint="eastAsia" w:ascii="宋体" w:hAnsi="宋体" w:eastAsia="宋体" w:cs="宋体"/>
          <w:b w:val="0"/>
          <w:color w:val="auto"/>
          <w:szCs w:val="24"/>
          <w:highlight w:val="none"/>
          <w:shd w:val="clear" w:color="auto" w:fill="FFFFFF"/>
        </w:rPr>
      </w:pPr>
      <w:r>
        <w:rPr>
          <w:rStyle w:val="23"/>
          <w:rFonts w:hint="eastAsia" w:ascii="宋体" w:hAnsi="宋体" w:eastAsia="宋体" w:cs="宋体"/>
          <w:b w:val="0"/>
          <w:bCs/>
          <w:color w:val="auto"/>
          <w:szCs w:val="24"/>
          <w:highlight w:val="none"/>
          <w:shd w:val="clear" w:color="auto" w:fill="FFFFFF"/>
          <w:lang w:val="en-US" w:eastAsia="zh-CN"/>
        </w:rPr>
        <w:t>28</w:t>
      </w:r>
      <w:r>
        <w:rPr>
          <w:rStyle w:val="23"/>
          <w:rFonts w:hint="eastAsia" w:ascii="宋体" w:hAnsi="宋体" w:eastAsia="宋体" w:cs="宋体"/>
          <w:b w:val="0"/>
          <w:bCs/>
          <w:color w:val="auto"/>
          <w:szCs w:val="24"/>
          <w:highlight w:val="none"/>
          <w:shd w:val="clear" w:color="auto" w:fill="FFFFFF"/>
        </w:rPr>
        <w:t>.3投标人可以委托代理人进行质疑。代理人提出质疑的，应当提交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B4AAF30">
      <w:pPr>
        <w:spacing w:line="348" w:lineRule="auto"/>
        <w:ind w:left="3" w:firstLine="518" w:firstLineChars="216"/>
        <w:rPr>
          <w:rStyle w:val="23"/>
          <w:rFonts w:hint="eastAsia" w:ascii="宋体" w:hAnsi="宋体" w:eastAsia="宋体" w:cs="宋体"/>
          <w:b w:val="0"/>
          <w:color w:val="auto"/>
          <w:szCs w:val="24"/>
          <w:highlight w:val="none"/>
          <w:shd w:val="clear" w:color="auto" w:fill="FFFFFF"/>
        </w:rPr>
      </w:pPr>
      <w:r>
        <w:rPr>
          <w:rStyle w:val="23"/>
          <w:rFonts w:hint="eastAsia" w:ascii="宋体" w:hAnsi="宋体" w:eastAsia="宋体" w:cs="宋体"/>
          <w:b w:val="0"/>
          <w:bCs/>
          <w:color w:val="auto"/>
          <w:szCs w:val="24"/>
          <w:highlight w:val="none"/>
          <w:shd w:val="clear" w:color="auto" w:fill="FFFFFF"/>
          <w:lang w:val="en-US" w:eastAsia="zh-CN"/>
        </w:rPr>
        <w:t>28</w:t>
      </w:r>
      <w:r>
        <w:rPr>
          <w:rStyle w:val="23"/>
          <w:rFonts w:hint="eastAsia" w:ascii="宋体" w:hAnsi="宋体" w:eastAsia="宋体" w:cs="宋体"/>
          <w:b w:val="0"/>
          <w:bCs/>
          <w:color w:val="auto"/>
          <w:szCs w:val="24"/>
          <w:highlight w:val="none"/>
          <w:shd w:val="clear" w:color="auto" w:fill="FFFFFF"/>
        </w:rPr>
        <w:t>.4以联合体形式参加政府采购活动的，其质疑应当由组成联合体的所有投标人共同提出。</w:t>
      </w:r>
    </w:p>
    <w:p w14:paraId="64C67105">
      <w:pPr>
        <w:spacing w:line="348" w:lineRule="auto"/>
        <w:ind w:right="12"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.5投标人提出质疑应当提交质疑函和必要的证明材料。质疑函应当包括下列内容：</w:t>
      </w:r>
    </w:p>
    <w:p w14:paraId="6FD6D36A">
      <w:pPr>
        <w:spacing w:line="348" w:lineRule="auto"/>
        <w:ind w:right="12"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.5.1投标人的姓名或者名称、地址、邮编、联系人及联系电话；</w:t>
      </w:r>
    </w:p>
    <w:p w14:paraId="382FFFF2">
      <w:pPr>
        <w:spacing w:line="348" w:lineRule="auto"/>
        <w:ind w:right="12"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.5.2质疑项目的名称、编号；</w:t>
      </w:r>
    </w:p>
    <w:p w14:paraId="718E9AF8">
      <w:pPr>
        <w:spacing w:line="348" w:lineRule="auto"/>
        <w:ind w:right="12"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.5.3具体、明确的质疑事项和与质疑事项相关的请求；</w:t>
      </w:r>
    </w:p>
    <w:p w14:paraId="6FA1F03C">
      <w:pPr>
        <w:spacing w:line="348" w:lineRule="auto"/>
        <w:ind w:right="12"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.5.4事实依据；</w:t>
      </w:r>
    </w:p>
    <w:p w14:paraId="5FF479B2">
      <w:pPr>
        <w:spacing w:line="348" w:lineRule="auto"/>
        <w:ind w:right="12"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.5.5必要的法律依据；</w:t>
      </w:r>
    </w:p>
    <w:p w14:paraId="27ADCC5D">
      <w:pPr>
        <w:spacing w:line="348" w:lineRule="auto"/>
        <w:ind w:right="12" w:firstLine="480" w:firstLineChars="200"/>
        <w:rPr>
          <w:rStyle w:val="23"/>
          <w:rFonts w:hint="eastAsia" w:ascii="宋体" w:hAnsi="宋体" w:eastAsia="宋体" w:cs="宋体"/>
          <w:b w:val="0"/>
          <w:color w:val="auto"/>
          <w:szCs w:val="24"/>
          <w:highlight w:val="none"/>
          <w:shd w:val="clear" w:color="auto" w:fill="FFFFFF"/>
        </w:rPr>
      </w:pP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.5.6提出质疑的日期。</w:t>
      </w:r>
    </w:p>
    <w:p w14:paraId="50FF865F">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.6有下列情形之一的，属于无效质疑，采购代理机构和采购人不予受理：</w:t>
      </w:r>
    </w:p>
    <w:p w14:paraId="4E87AD6E">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.6.1质疑投标人不是参与本次政府采购项目的投标人；</w:t>
      </w:r>
    </w:p>
    <w:p w14:paraId="28F7570F">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.6.2质疑投标人与质疑事项不存在利害关系的；</w:t>
      </w:r>
    </w:p>
    <w:p w14:paraId="63522BC1">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.6.3未在法定期限内提出质疑的；</w:t>
      </w:r>
    </w:p>
    <w:p w14:paraId="28AD7A17">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.6.4质疑未以书面形式提出，或质疑函主要内容构成不完整的；</w:t>
      </w:r>
    </w:p>
    <w:p w14:paraId="2CA64D4E">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.6.5应当提交授权书而未提交的；</w:t>
      </w:r>
    </w:p>
    <w:p w14:paraId="027D5B46">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.6.6以非法手段取得证据、材料的；</w:t>
      </w:r>
    </w:p>
    <w:p w14:paraId="168FB2C7">
      <w:pPr>
        <w:widowControl/>
        <w:spacing w:line="348"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.6.7质疑答复后，同一质疑人就同一事项或同一采购程序环节再次提出质疑的；</w:t>
      </w:r>
    </w:p>
    <w:p w14:paraId="149E4E58">
      <w:pPr>
        <w:widowControl/>
        <w:spacing w:line="348" w:lineRule="auto"/>
        <w:ind w:firstLine="480" w:firstLineChars="200"/>
        <w:rPr>
          <w:rStyle w:val="23"/>
          <w:rFonts w:hint="eastAsia" w:ascii="宋体" w:hAnsi="宋体" w:eastAsia="宋体" w:cs="宋体"/>
          <w:b w:val="0"/>
          <w:color w:val="auto"/>
          <w:szCs w:val="24"/>
          <w:highlight w:val="none"/>
          <w:shd w:val="clear" w:color="auto" w:fill="FFFFFF"/>
        </w:rPr>
      </w:pPr>
      <w:r>
        <w:rPr>
          <w:rFonts w:hint="eastAsia" w:ascii="宋体" w:hAnsi="宋体" w:eastAsia="宋体" w:cs="宋体"/>
          <w:color w:val="auto"/>
          <w:highlight w:val="none"/>
          <w:lang w:val="en-US" w:eastAsia="zh-CN"/>
        </w:rPr>
        <w:t>28</w:t>
      </w:r>
      <w:r>
        <w:rPr>
          <w:rFonts w:hint="eastAsia" w:ascii="宋体" w:hAnsi="宋体" w:eastAsia="宋体" w:cs="宋体"/>
          <w:color w:val="auto"/>
          <w:highlight w:val="none"/>
        </w:rPr>
        <w:t>.6.8不符合法律、法规、规章和政府采购监管机构规定的其他条件的。</w:t>
      </w:r>
    </w:p>
    <w:p w14:paraId="346A3743">
      <w:pPr>
        <w:spacing w:line="348" w:lineRule="auto"/>
        <w:ind w:right="12"/>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    </w:t>
      </w:r>
      <w:r>
        <w:rPr>
          <w:rFonts w:hint="eastAsia" w:ascii="宋体" w:hAnsi="宋体" w:eastAsia="宋体" w:cs="宋体"/>
          <w:color w:val="auto"/>
          <w:szCs w:val="24"/>
          <w:highlight w:val="none"/>
          <w:lang w:val="en-US" w:eastAsia="zh-CN"/>
        </w:rPr>
        <w:t>28</w:t>
      </w:r>
      <w:r>
        <w:rPr>
          <w:rFonts w:hint="eastAsia" w:ascii="宋体" w:hAnsi="宋体" w:eastAsia="宋体" w:cs="宋体"/>
          <w:color w:val="auto"/>
          <w:szCs w:val="24"/>
          <w:highlight w:val="none"/>
        </w:rPr>
        <w:t>.7质疑答复</w:t>
      </w:r>
    </w:p>
    <w:p w14:paraId="482AE597">
      <w:pPr>
        <w:widowControl w:val="0"/>
        <w:spacing w:line="348" w:lineRule="auto"/>
        <w:ind w:firstLine="480" w:firstLineChars="200"/>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28.7.1采购人或采购代理机构在收到质疑函后7个工作日内作出答复，并以书面形式通知质疑投标人和其他有关投标人。</w:t>
      </w:r>
    </w:p>
    <w:p w14:paraId="331A18AC">
      <w:pPr>
        <w:widowControl w:val="0"/>
        <w:spacing w:line="348" w:lineRule="auto"/>
        <w:ind w:firstLine="480" w:firstLineChars="0"/>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28.7.2质疑投标人对采购人、采购代理机构的答复不满意，或者采购人、采购代理机构未在规定时间内作出答复的，可以在答复期满后15日内向管辖的财政部门提起投诉。</w:t>
      </w:r>
    </w:p>
    <w:p w14:paraId="21769C86">
      <w:pPr>
        <w:widowControl w:val="0"/>
        <w:spacing w:line="348" w:lineRule="auto"/>
        <w:ind w:firstLine="480" w:firstLineChars="0"/>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28.8其他需要说明的事项</w:t>
      </w:r>
    </w:p>
    <w:p w14:paraId="4C901880">
      <w:pPr>
        <w:widowControl w:val="0"/>
        <w:spacing w:line="348" w:lineRule="auto"/>
        <w:ind w:firstLine="480" w:firstLineChars="0"/>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28.8.1接收质疑函的方式：书面形式</w:t>
      </w:r>
    </w:p>
    <w:p w14:paraId="004A5E7A">
      <w:pPr>
        <w:widowControl w:val="0"/>
        <w:spacing w:line="348" w:lineRule="auto"/>
        <w:ind w:firstLine="480" w:firstLineChars="0"/>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28.8.2联系部门：陕西顶诚招标有限公司</w:t>
      </w:r>
    </w:p>
    <w:p w14:paraId="358D435F">
      <w:pPr>
        <w:widowControl w:val="0"/>
        <w:spacing w:line="348" w:lineRule="auto"/>
        <w:ind w:firstLine="480" w:firstLineChars="0"/>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28.8.3联系电话：029-83479858-802</w:t>
      </w:r>
    </w:p>
    <w:p w14:paraId="7EB63A4E">
      <w:pPr>
        <w:widowControl w:val="0"/>
        <w:spacing w:line="348" w:lineRule="auto"/>
        <w:ind w:firstLine="480" w:firstLineChars="0"/>
        <w:jc w:val="left"/>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28.8.4联系邮箱：sndczb@163.com</w:t>
      </w:r>
    </w:p>
    <w:p w14:paraId="33302834">
      <w:pPr>
        <w:pStyle w:val="12"/>
        <w:rPr>
          <w:rFonts w:hint="eastAsia" w:ascii="宋体" w:hAnsi="宋体" w:eastAsia="宋体" w:cs="宋体"/>
          <w:color w:val="auto"/>
          <w:highlight w:val="none"/>
        </w:rPr>
      </w:pPr>
    </w:p>
    <w:p w14:paraId="46C24A92">
      <w:pPr>
        <w:jc w:val="center"/>
        <w:rPr>
          <w:rFonts w:hint="eastAsia" w:ascii="宋体" w:hAnsi="宋体" w:eastAsia="宋体" w:cs="宋体"/>
          <w:color w:val="auto"/>
          <w:sz w:val="36"/>
          <w:szCs w:val="36"/>
          <w:highlight w:val="none"/>
        </w:rPr>
      </w:pPr>
      <w:r>
        <w:rPr>
          <w:rFonts w:hint="eastAsia" w:ascii="宋体" w:hAnsi="宋体" w:eastAsia="宋体" w:cs="宋体"/>
          <w:color w:val="auto"/>
          <w:highlight w:val="none"/>
        </w:rPr>
        <w:br w:type="page"/>
      </w:r>
      <w:bookmarkStart w:id="41" w:name="_Toc426457694"/>
      <w:bookmarkStart w:id="42" w:name="_Toc3798"/>
      <w:bookmarkStart w:id="43" w:name="_Toc15898"/>
      <w:bookmarkStart w:id="44" w:name="_Toc11810"/>
      <w:bookmarkStart w:id="45" w:name="_Toc403077645"/>
      <w:r>
        <w:rPr>
          <w:rFonts w:hint="eastAsia" w:ascii="宋体" w:hAnsi="宋体" w:eastAsia="宋体" w:cs="宋体"/>
          <w:b/>
          <w:bCs/>
          <w:color w:val="auto"/>
          <w:sz w:val="36"/>
          <w:szCs w:val="24"/>
          <w:highlight w:val="none"/>
        </w:rPr>
        <w:t>第三章</w:t>
      </w:r>
      <w:r>
        <w:rPr>
          <w:rFonts w:hint="eastAsia" w:ascii="宋体" w:hAnsi="宋体" w:eastAsia="宋体" w:cs="宋体"/>
          <w:b/>
          <w:bCs/>
          <w:color w:val="auto"/>
          <w:highlight w:val="none"/>
        </w:rPr>
        <w:t xml:space="preserve"> </w:t>
      </w:r>
      <w:r>
        <w:rPr>
          <w:rFonts w:hint="eastAsia" w:ascii="宋体" w:hAnsi="宋体" w:eastAsia="宋体" w:cs="宋体"/>
          <w:b/>
          <w:bCs/>
          <w:color w:val="auto"/>
          <w:sz w:val="36"/>
          <w:szCs w:val="36"/>
          <w:highlight w:val="none"/>
        </w:rPr>
        <w:t>商务部分（合同条款及格式）</w:t>
      </w:r>
      <w:bookmarkEnd w:id="41"/>
      <w:bookmarkEnd w:id="42"/>
      <w:bookmarkEnd w:id="43"/>
      <w:bookmarkEnd w:id="44"/>
      <w:bookmarkEnd w:id="45"/>
    </w:p>
    <w:p w14:paraId="39977865">
      <w:pPr>
        <w:rPr>
          <w:rFonts w:hint="eastAsia" w:ascii="宋体" w:hAnsi="宋体" w:eastAsia="宋体" w:cs="宋体"/>
          <w:color w:val="auto"/>
          <w:highlight w:val="none"/>
        </w:rPr>
      </w:pPr>
    </w:p>
    <w:p w14:paraId="7E2BC85D">
      <w:pPr>
        <w:keepNext w:val="0"/>
        <w:keepLines w:val="0"/>
        <w:widowControl/>
        <w:suppressLineNumbers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第一部分：商务部分</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7926"/>
      </w:tblGrid>
      <w:tr w14:paraId="37AF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881" w:type="dxa"/>
            <w:noWrap w:val="0"/>
            <w:vAlign w:val="center"/>
          </w:tcPr>
          <w:p w14:paraId="1B897B64">
            <w:pPr>
              <w:jc w:val="center"/>
              <w:rPr>
                <w:b/>
                <w:bCs/>
                <w:color w:val="auto"/>
              </w:rPr>
            </w:pPr>
            <w:r>
              <w:rPr>
                <w:rFonts w:hint="eastAsia"/>
                <w:b/>
                <w:bCs/>
                <w:color w:val="auto"/>
              </w:rPr>
              <w:t>序 号</w:t>
            </w:r>
          </w:p>
        </w:tc>
        <w:tc>
          <w:tcPr>
            <w:tcW w:w="7926" w:type="dxa"/>
            <w:noWrap w:val="0"/>
            <w:vAlign w:val="center"/>
          </w:tcPr>
          <w:p w14:paraId="4090FF49">
            <w:pPr>
              <w:jc w:val="center"/>
              <w:rPr>
                <w:b/>
                <w:bCs/>
                <w:color w:val="auto"/>
              </w:rPr>
            </w:pPr>
            <w:r>
              <w:rPr>
                <w:rFonts w:hint="eastAsia"/>
                <w:b/>
                <w:bCs/>
                <w:color w:val="auto"/>
              </w:rPr>
              <w:t>内         容</w:t>
            </w:r>
          </w:p>
        </w:tc>
      </w:tr>
      <w:tr w14:paraId="354A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1" w:type="dxa"/>
            <w:noWrap w:val="0"/>
            <w:vAlign w:val="center"/>
          </w:tcPr>
          <w:p w14:paraId="54F3C8CB">
            <w:pPr>
              <w:adjustRightInd w:val="0"/>
              <w:spacing w:line="312" w:lineRule="atLeast"/>
              <w:jc w:val="center"/>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p>
        </w:tc>
        <w:tc>
          <w:tcPr>
            <w:tcW w:w="7926" w:type="dxa"/>
            <w:noWrap w:val="0"/>
            <w:vAlign w:val="center"/>
          </w:tcPr>
          <w:p w14:paraId="0A70F35B">
            <w:pPr>
              <w:adjustRightInd w:val="0"/>
              <w:spacing w:line="312" w:lineRule="atLeast"/>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w:t>
            </w:r>
            <w:r>
              <w:rPr>
                <w:rFonts w:hint="eastAsia" w:hAnsi="宋体" w:cs="宋体"/>
                <w:color w:val="auto"/>
                <w:sz w:val="24"/>
                <w:szCs w:val="24"/>
                <w:lang w:val="en-US" w:eastAsia="zh-CN"/>
              </w:rPr>
              <w:t>白河县人民医院</w:t>
            </w:r>
          </w:p>
        </w:tc>
      </w:tr>
      <w:tr w14:paraId="4AAB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1" w:type="dxa"/>
            <w:noWrap w:val="0"/>
            <w:vAlign w:val="center"/>
          </w:tcPr>
          <w:p w14:paraId="17BD0369">
            <w:pPr>
              <w:adjustRightInd w:val="0"/>
              <w:spacing w:line="312" w:lineRule="atLeast"/>
              <w:jc w:val="center"/>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w:t>
            </w:r>
          </w:p>
        </w:tc>
        <w:tc>
          <w:tcPr>
            <w:tcW w:w="7926" w:type="dxa"/>
            <w:noWrap w:val="0"/>
            <w:vAlign w:val="center"/>
          </w:tcPr>
          <w:p w14:paraId="4F3F3C81">
            <w:pPr>
              <w:adjustRightInd w:val="0"/>
              <w:spacing w:line="312" w:lineRule="atLeast"/>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乙方（中标投标人）名称：</w:t>
            </w:r>
          </w:p>
        </w:tc>
      </w:tr>
      <w:tr w14:paraId="12AE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1" w:type="dxa"/>
            <w:noWrap w:val="0"/>
            <w:vAlign w:val="center"/>
          </w:tcPr>
          <w:p w14:paraId="4A23CC0A">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7926" w:type="dxa"/>
            <w:noWrap w:val="0"/>
            <w:vAlign w:val="center"/>
          </w:tcPr>
          <w:p w14:paraId="232E759F">
            <w:pPr>
              <w:adjustRightInd w:val="0"/>
              <w:spacing w:line="312" w:lineRule="atLeast"/>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交货地点：采购人指定地点</w:t>
            </w:r>
          </w:p>
        </w:tc>
      </w:tr>
      <w:tr w14:paraId="049F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1" w:type="dxa"/>
            <w:noWrap w:val="0"/>
            <w:vAlign w:val="center"/>
          </w:tcPr>
          <w:p w14:paraId="4C5CE9F8">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7926" w:type="dxa"/>
            <w:noWrap w:val="0"/>
            <w:vAlign w:val="center"/>
          </w:tcPr>
          <w:p w14:paraId="64F00192">
            <w:pPr>
              <w:adjustRightInd w:val="0"/>
              <w:spacing w:line="312" w:lineRule="atLeast"/>
              <w:jc w:val="left"/>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供货期限：</w:t>
            </w:r>
            <w:r>
              <w:rPr>
                <w:rFonts w:hint="eastAsia" w:hAnsi="宋体" w:cs="宋体"/>
                <w:color w:val="auto"/>
                <w:sz w:val="24"/>
                <w:szCs w:val="24"/>
                <w:lang w:val="en-US" w:eastAsia="zh-CN"/>
              </w:rPr>
              <w:t>30天</w:t>
            </w:r>
          </w:p>
        </w:tc>
      </w:tr>
      <w:tr w14:paraId="0E56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81" w:type="dxa"/>
            <w:noWrap w:val="0"/>
            <w:vAlign w:val="center"/>
          </w:tcPr>
          <w:p w14:paraId="1C651E83">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7926" w:type="dxa"/>
            <w:noWrap w:val="0"/>
            <w:vAlign w:val="center"/>
          </w:tcPr>
          <w:p w14:paraId="086BD0C8">
            <w:pPr>
              <w:adjustRightInd w:val="0"/>
              <w:spacing w:line="312" w:lineRule="atLeast"/>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合同总价：人工费、材料费、机具使用费、企业管理费、利润、规费和税金等所有费用。</w:t>
            </w:r>
          </w:p>
        </w:tc>
      </w:tr>
      <w:tr w14:paraId="5A88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81" w:type="dxa"/>
            <w:noWrap w:val="0"/>
            <w:vAlign w:val="center"/>
          </w:tcPr>
          <w:p w14:paraId="5D326C4C">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7926" w:type="dxa"/>
            <w:noWrap w:val="0"/>
            <w:vAlign w:val="center"/>
          </w:tcPr>
          <w:p w14:paraId="7824A1B9">
            <w:pPr>
              <w:adjustRightInd w:val="0"/>
              <w:spacing w:line="312" w:lineRule="atLeast"/>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合同总价变化：合同总价一次性包死，不受市场价格变化因素的影响。</w:t>
            </w:r>
          </w:p>
        </w:tc>
      </w:tr>
      <w:tr w14:paraId="2770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exact"/>
        </w:trPr>
        <w:tc>
          <w:tcPr>
            <w:tcW w:w="881" w:type="dxa"/>
            <w:noWrap w:val="0"/>
            <w:vAlign w:val="center"/>
          </w:tcPr>
          <w:p w14:paraId="2106C0BB">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7926" w:type="dxa"/>
            <w:noWrap w:val="0"/>
            <w:vAlign w:val="center"/>
          </w:tcPr>
          <w:p w14:paraId="521AD776">
            <w:pPr>
              <w:adjustRightInd w:val="0"/>
              <w:spacing w:line="312" w:lineRule="atLeast"/>
              <w:jc w:val="left"/>
              <w:textAlignment w:val="baseline"/>
              <w:rPr>
                <w:rFonts w:hint="default" w:ascii="宋体" w:hAnsi="宋体" w:eastAsia="宋体" w:cs="宋体"/>
                <w:color w:val="auto"/>
                <w:sz w:val="24"/>
                <w:szCs w:val="24"/>
                <w:lang w:val="en-US" w:eastAsia="zh-CN"/>
              </w:rPr>
            </w:pPr>
            <w:r>
              <w:rPr>
                <w:rFonts w:hint="eastAsia" w:ascii="宋体" w:hAnsi="宋体" w:eastAsia="宋体" w:cs="宋体"/>
                <w:color w:val="FF0000"/>
                <w:sz w:val="24"/>
                <w:szCs w:val="24"/>
                <w:lang w:val="en-US" w:eastAsia="zh-CN"/>
              </w:rPr>
              <w:t>付款方式：</w:t>
            </w:r>
            <w:r>
              <w:rPr>
                <w:rFonts w:hint="eastAsia" w:hAnsi="宋体" w:cs="宋体"/>
                <w:color w:val="FF0000"/>
                <w:sz w:val="24"/>
                <w:szCs w:val="24"/>
                <w:lang w:val="en-US" w:eastAsia="zh-CN"/>
              </w:rPr>
              <w:t>设备安装调试完成、验收合格后付款至95%，余款一年以后付清。</w:t>
            </w:r>
          </w:p>
        </w:tc>
      </w:tr>
      <w:tr w14:paraId="490F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exact"/>
        </w:trPr>
        <w:tc>
          <w:tcPr>
            <w:tcW w:w="881" w:type="dxa"/>
            <w:noWrap w:val="0"/>
            <w:vAlign w:val="center"/>
          </w:tcPr>
          <w:p w14:paraId="3786EA08">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7926" w:type="dxa"/>
            <w:noWrap w:val="0"/>
            <w:vAlign w:val="center"/>
          </w:tcPr>
          <w:p w14:paraId="72202B07">
            <w:pPr>
              <w:adjustRightInd w:val="0"/>
              <w:spacing w:line="312" w:lineRule="atLeast"/>
              <w:jc w:val="left"/>
              <w:textAlignment w:val="baseline"/>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w:t>
            </w:r>
            <w:r>
              <w:rPr>
                <w:rFonts w:hint="eastAsia" w:hAnsi="宋体" w:cs="宋体"/>
                <w:color w:val="auto"/>
                <w:sz w:val="24"/>
                <w:szCs w:val="24"/>
                <w:lang w:val="en-US" w:eastAsia="zh-CN"/>
              </w:rPr>
              <w:t>期</w:t>
            </w:r>
            <w:r>
              <w:rPr>
                <w:rFonts w:hint="eastAsia" w:ascii="宋体" w:hAnsi="宋体" w:eastAsia="宋体" w:cs="宋体"/>
                <w:color w:val="auto"/>
                <w:sz w:val="24"/>
                <w:szCs w:val="24"/>
                <w:lang w:val="en-US" w:eastAsia="zh-CN"/>
              </w:rPr>
              <w:t>要求：</w:t>
            </w:r>
            <w:r>
              <w:rPr>
                <w:rFonts w:hint="eastAsia" w:hAnsi="宋体" w:cs="宋体"/>
                <w:color w:val="auto"/>
                <w:sz w:val="24"/>
                <w:szCs w:val="24"/>
                <w:lang w:val="en-US" w:eastAsia="zh-CN"/>
              </w:rPr>
              <w:t>三年</w:t>
            </w:r>
          </w:p>
        </w:tc>
      </w:tr>
      <w:tr w14:paraId="0D66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exact"/>
        </w:trPr>
        <w:tc>
          <w:tcPr>
            <w:tcW w:w="881" w:type="dxa"/>
            <w:noWrap w:val="0"/>
            <w:vAlign w:val="center"/>
          </w:tcPr>
          <w:p w14:paraId="5EF5513C">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9.</w:t>
            </w:r>
          </w:p>
        </w:tc>
        <w:tc>
          <w:tcPr>
            <w:tcW w:w="7926" w:type="dxa"/>
            <w:noWrap w:val="0"/>
            <w:vAlign w:val="center"/>
          </w:tcPr>
          <w:p w14:paraId="7796F3B0">
            <w:pPr>
              <w:adjustRightInd w:val="0"/>
              <w:spacing w:line="312" w:lineRule="atLeast"/>
              <w:jc w:val="left"/>
              <w:textAlignment w:val="baseline"/>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响应时间：出现一般问题8小时内响应并处理完毕，出现较大问题24小时内响应并且处理完毕。</w:t>
            </w:r>
          </w:p>
        </w:tc>
      </w:tr>
      <w:tr w14:paraId="215E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81" w:type="dxa"/>
            <w:noWrap w:val="0"/>
            <w:vAlign w:val="center"/>
          </w:tcPr>
          <w:p w14:paraId="50EEA995">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10.</w:t>
            </w:r>
          </w:p>
        </w:tc>
        <w:tc>
          <w:tcPr>
            <w:tcW w:w="7926" w:type="dxa"/>
            <w:noWrap w:val="0"/>
            <w:vAlign w:val="center"/>
          </w:tcPr>
          <w:p w14:paraId="69BC00F6">
            <w:pPr>
              <w:adjustRightInd w:val="0"/>
              <w:spacing w:line="312" w:lineRule="atLeast"/>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供应商中标后需在接收到中标通知书30个工作日内签订合同</w:t>
            </w:r>
          </w:p>
        </w:tc>
      </w:tr>
      <w:tr w14:paraId="50BE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exact"/>
        </w:trPr>
        <w:tc>
          <w:tcPr>
            <w:tcW w:w="881" w:type="dxa"/>
            <w:noWrap w:val="0"/>
            <w:vAlign w:val="center"/>
          </w:tcPr>
          <w:p w14:paraId="6D7BB60C">
            <w:pPr>
              <w:adjustRightInd w:val="0"/>
              <w:spacing w:line="312" w:lineRule="atLeast"/>
              <w:jc w:val="center"/>
              <w:textAlignment w:val="baseline"/>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11.</w:t>
            </w:r>
          </w:p>
        </w:tc>
        <w:tc>
          <w:tcPr>
            <w:tcW w:w="7926" w:type="dxa"/>
            <w:noWrap w:val="0"/>
            <w:vAlign w:val="center"/>
          </w:tcPr>
          <w:p w14:paraId="5613D59D">
            <w:pPr>
              <w:adjustRightInd w:val="0"/>
              <w:spacing w:line="312" w:lineRule="atLeast"/>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应商须满足2024年7月1日以后生产的第三类医疗器械和部分第二类医疗器械（国家药监局国家卫生健康委国家医保局第三批实施医疗器械唯一标识的产品目录2023年第22号）须提供唯一标识信息，无唯一标示信息的不得购进医院。2024年6月30日以前生产的产品可不具有唯一标示，生产日期以医疗器械标签为准。</w:t>
            </w:r>
          </w:p>
        </w:tc>
      </w:tr>
    </w:tbl>
    <w:p w14:paraId="596BEA7F">
      <w:pPr>
        <w:keepNext w:val="0"/>
        <w:keepLines w:val="0"/>
        <w:widowControl/>
        <w:suppressLineNumbers w:val="0"/>
        <w:jc w:val="center"/>
        <w:rPr>
          <w:rFonts w:hint="eastAsia" w:ascii="宋体" w:hAnsi="宋体" w:eastAsia="宋体" w:cs="宋体"/>
          <w:b/>
          <w:bCs/>
          <w:color w:val="auto"/>
          <w:sz w:val="32"/>
          <w:szCs w:val="32"/>
          <w:highlight w:val="none"/>
        </w:rPr>
      </w:pPr>
    </w:p>
    <w:p w14:paraId="4E922EB3">
      <w:pPr>
        <w:pStyle w:val="36"/>
        <w:rPr>
          <w:rFonts w:hint="eastAsia" w:ascii="宋体" w:hAnsi="宋体" w:eastAsia="宋体" w:cs="宋体"/>
          <w:color w:val="auto"/>
          <w:kern w:val="0"/>
          <w:sz w:val="24"/>
          <w:szCs w:val="24"/>
          <w:lang w:val="en-US" w:eastAsia="zh-CN" w:bidi="ar"/>
        </w:rPr>
      </w:pPr>
    </w:p>
    <w:p w14:paraId="30608233">
      <w:pP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2698C823">
      <w:pPr>
        <w:jc w:val="center"/>
        <w:rPr>
          <w:rFonts w:hint="eastAsia" w:ascii="宋体" w:hAnsi="宋体" w:eastAsia="宋体" w:cs="宋体"/>
          <w:color w:val="auto"/>
          <w:highlight w:val="none"/>
          <w:lang w:eastAsia="zh-CN"/>
        </w:rPr>
      </w:pPr>
      <w:r>
        <w:rPr>
          <w:rFonts w:hint="eastAsia" w:ascii="宋体" w:hAnsi="宋体" w:eastAsia="宋体" w:cs="宋体"/>
          <w:b/>
          <w:bCs/>
          <w:color w:val="auto"/>
          <w:sz w:val="36"/>
          <w:szCs w:val="36"/>
          <w:highlight w:val="none"/>
        </w:rPr>
        <w:t>第二部分   合同</w:t>
      </w:r>
      <w:r>
        <w:rPr>
          <w:rFonts w:hint="eastAsia" w:ascii="宋体" w:hAnsi="宋体" w:eastAsia="宋体" w:cs="宋体"/>
          <w:b/>
          <w:bCs/>
          <w:color w:val="auto"/>
          <w:sz w:val="36"/>
          <w:szCs w:val="36"/>
          <w:highlight w:val="none"/>
          <w:lang w:eastAsia="zh-CN"/>
        </w:rPr>
        <w:t>主要条款</w:t>
      </w:r>
    </w:p>
    <w:p w14:paraId="2F97E295">
      <w:pPr>
        <w:spacing w:line="40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（示范文本）</w:t>
      </w:r>
    </w:p>
    <w:p w14:paraId="750EF20C">
      <w:pPr>
        <w:keepNext w:val="0"/>
        <w:keepLines w:val="0"/>
        <w:pageBreakBefore w:val="0"/>
        <w:widowControl w:val="0"/>
        <w:kinsoku/>
        <w:wordWrap/>
        <w:overflowPunct/>
        <w:topLinePunct w:val="0"/>
        <w:autoSpaceDE/>
        <w:autoSpaceDN/>
        <w:bidi w:val="0"/>
        <w:snapToGrid w:val="0"/>
        <w:spacing w:line="276" w:lineRule="auto"/>
        <w:jc w:val="center"/>
        <w:textAlignment w:val="auto"/>
        <w:rPr>
          <w:rFonts w:ascii="仿宋" w:hAnsi="仿宋" w:eastAsia="仿宋" w:cstheme="minorBidi"/>
          <w:kern w:val="2"/>
          <w:sz w:val="28"/>
          <w:szCs w:val="28"/>
        </w:rPr>
      </w:pPr>
      <w:r>
        <w:rPr>
          <w:rFonts w:hint="eastAsia" w:ascii="微软雅黑" w:hAnsi="微软雅黑" w:eastAsia="微软雅黑" w:cs="微软雅黑"/>
          <w:b/>
          <w:bCs/>
          <w:kern w:val="2"/>
          <w:sz w:val="44"/>
          <w:szCs w:val="44"/>
          <w:lang w:val="en-US" w:eastAsia="zh-CN"/>
        </w:rPr>
        <w:t>采购合同</w:t>
      </w:r>
    </w:p>
    <w:p w14:paraId="168EC052">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b w:val="0"/>
          <w:bCs w:val="0"/>
          <w:color w:val="000000" w:themeColor="text1"/>
          <w:kern w:val="2"/>
          <w:sz w:val="28"/>
          <w:szCs w:val="28"/>
          <w14:textFill>
            <w14:solidFill>
              <w14:schemeClr w14:val="tx1"/>
            </w14:solidFill>
          </w14:textFill>
        </w:rPr>
      </w:pPr>
      <w:r>
        <w:rPr>
          <w:rFonts w:hint="eastAsia" w:ascii="微软雅黑" w:hAnsi="微软雅黑" w:eastAsia="微软雅黑" w:cs="微软雅黑"/>
          <w:b/>
          <w:bCs/>
          <w:color w:val="000000" w:themeColor="text1"/>
          <w:kern w:val="2"/>
          <w:sz w:val="28"/>
          <w:szCs w:val="28"/>
          <w14:textFill>
            <w14:solidFill>
              <w14:schemeClr w14:val="tx1"/>
            </w14:solidFill>
          </w14:textFill>
        </w:rPr>
        <w:t>甲方：</w:t>
      </w:r>
      <w:r>
        <w:rPr>
          <w:rFonts w:hint="eastAsia" w:ascii="微软雅黑" w:hAnsi="微软雅黑" w:eastAsia="微软雅黑" w:cs="微软雅黑"/>
          <w:b w:val="0"/>
          <w:bCs w:val="0"/>
          <w:color w:val="000000" w:themeColor="text1"/>
          <w:kern w:val="2"/>
          <w:sz w:val="28"/>
          <w:szCs w:val="28"/>
          <w14:textFill>
            <w14:solidFill>
              <w14:schemeClr w14:val="tx1"/>
            </w14:solidFill>
          </w14:textFill>
        </w:rPr>
        <w:t>白河县人民医院</w:t>
      </w:r>
    </w:p>
    <w:p w14:paraId="7F87867E">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统一社会信用代码：</w:t>
      </w:r>
    </w:p>
    <w:p w14:paraId="18FEF624">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地址：</w:t>
      </w:r>
    </w:p>
    <w:p w14:paraId="58DE812C">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 xml:space="preserve">联系方式： </w:t>
      </w:r>
    </w:p>
    <w:p w14:paraId="3F08B8FD">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法定代表人/负责人：</w:t>
      </w:r>
    </w:p>
    <w:p w14:paraId="4B9E0F9A">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11"/>
          <w:szCs w:val="11"/>
          <w:lang w:val="en-US" w:eastAsia="zh-CN"/>
          <w14:textFill>
            <w14:solidFill>
              <w14:schemeClr w14:val="tx1"/>
            </w14:solidFill>
          </w14:textFill>
        </w:rPr>
      </w:pPr>
    </w:p>
    <w:p w14:paraId="3CE25FB1">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b/>
          <w:bCs/>
          <w:i w:val="0"/>
          <w:iCs w:val="0"/>
          <w:color w:val="000000" w:themeColor="text1"/>
          <w:kern w:val="2"/>
          <w:sz w:val="28"/>
          <w:szCs w:val="28"/>
          <w14:textFill>
            <w14:solidFill>
              <w14:schemeClr w14:val="tx1"/>
            </w14:solidFill>
          </w14:textFill>
        </w:rPr>
      </w:pPr>
      <w:r>
        <w:rPr>
          <w:rFonts w:hint="eastAsia" w:ascii="微软雅黑" w:hAnsi="微软雅黑" w:eastAsia="微软雅黑" w:cs="微软雅黑"/>
          <w:b/>
          <w:bCs/>
          <w:i w:val="0"/>
          <w:iCs w:val="0"/>
          <w:color w:val="000000" w:themeColor="text1"/>
          <w:kern w:val="2"/>
          <w:sz w:val="28"/>
          <w:szCs w:val="28"/>
          <w14:textFill>
            <w14:solidFill>
              <w14:schemeClr w14:val="tx1"/>
            </w14:solidFill>
          </w14:textFill>
        </w:rPr>
        <w:t>乙方：</w:t>
      </w:r>
    </w:p>
    <w:p w14:paraId="46496230">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统一社会信用代码：</w:t>
      </w:r>
    </w:p>
    <w:p w14:paraId="52735871">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地址：</w:t>
      </w:r>
    </w:p>
    <w:p w14:paraId="5A4EBEAA">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联系方式：</w:t>
      </w:r>
    </w:p>
    <w:p w14:paraId="35CAAD4E">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法定代表人/负责人：</w:t>
      </w:r>
    </w:p>
    <w:p w14:paraId="74A2253E">
      <w:pPr>
        <w:keepNext w:val="0"/>
        <w:keepLines w:val="0"/>
        <w:pageBreakBefore w:val="0"/>
        <w:widowControl w:val="0"/>
        <w:kinsoku/>
        <w:wordWrap/>
        <w:overflowPunct/>
        <w:topLinePunct w:val="0"/>
        <w:autoSpaceDE/>
        <w:autoSpaceDN/>
        <w:bidi w:val="0"/>
        <w:adjustRightInd w:val="0"/>
        <w:snapToGrid w:val="0"/>
        <w:spacing w:line="276" w:lineRule="auto"/>
        <w:ind w:firstLine="200" w:firstLineChars="200"/>
        <w:jc w:val="both"/>
        <w:textAlignment w:val="auto"/>
        <w:rPr>
          <w:rFonts w:hint="eastAsia" w:ascii="微软雅黑" w:hAnsi="微软雅黑" w:eastAsia="微软雅黑" w:cs="微软雅黑"/>
          <w:color w:val="000000" w:themeColor="text1"/>
          <w:kern w:val="2"/>
          <w:sz w:val="10"/>
          <w:szCs w:val="10"/>
          <w:lang w:val="en-US" w:eastAsia="zh-CN"/>
          <w14:textFill>
            <w14:solidFill>
              <w14:schemeClr w14:val="tx1"/>
            </w14:solidFill>
          </w14:textFill>
        </w:rPr>
      </w:pPr>
    </w:p>
    <w:p w14:paraId="0624FCAF">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both"/>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甲、乙双方</w:t>
      </w:r>
      <w:r>
        <w:rPr>
          <w:rFonts w:hint="eastAsia" w:ascii="微软雅黑" w:hAnsi="微软雅黑" w:eastAsia="微软雅黑" w:cs="微软雅黑"/>
          <w:color w:val="000000" w:themeColor="text1"/>
          <w:kern w:val="2"/>
          <w:sz w:val="28"/>
          <w:szCs w:val="28"/>
          <w14:textFill>
            <w14:solidFill>
              <w14:schemeClr w14:val="tx1"/>
            </w14:solidFill>
          </w14:textFill>
        </w:rPr>
        <w:t>依照《中华人民共和国民法典》及有关法律、法规，遵循平等自愿、公平诚信的原则，经</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甲、乙</w:t>
      </w:r>
      <w:r>
        <w:rPr>
          <w:rFonts w:hint="eastAsia" w:ascii="微软雅黑" w:hAnsi="微软雅黑" w:eastAsia="微软雅黑" w:cs="微软雅黑"/>
          <w:color w:val="000000" w:themeColor="text1"/>
          <w:kern w:val="2"/>
          <w:sz w:val="28"/>
          <w:szCs w:val="28"/>
          <w14:textFill>
            <w14:solidFill>
              <w14:schemeClr w14:val="tx1"/>
            </w14:solidFill>
          </w14:textFill>
        </w:rPr>
        <w:t>双方协商一致，</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就甲方向乙方采购</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的相关事宜</w:t>
      </w:r>
      <w:r>
        <w:rPr>
          <w:rFonts w:hint="eastAsia" w:ascii="微软雅黑" w:hAnsi="微软雅黑" w:eastAsia="微软雅黑" w:cs="微软雅黑"/>
          <w:color w:val="000000" w:themeColor="text1"/>
          <w:kern w:val="2"/>
          <w:sz w:val="28"/>
          <w:szCs w:val="28"/>
          <w14:textFill>
            <w14:solidFill>
              <w14:schemeClr w14:val="tx1"/>
            </w14:solidFill>
          </w14:textFill>
        </w:rPr>
        <w:t>签订本合同。</w:t>
      </w:r>
    </w:p>
    <w:p w14:paraId="19A61510">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default" w:ascii="微软雅黑" w:hAnsi="微软雅黑" w:eastAsia="微软雅黑" w:cs="微软雅黑"/>
          <w:b/>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一、</w:t>
      </w:r>
      <w:r>
        <w:rPr>
          <w:rFonts w:hint="eastAsia" w:ascii="微软雅黑" w:hAnsi="微软雅黑" w:eastAsia="微软雅黑" w:cs="微软雅黑"/>
          <w:b/>
          <w:color w:val="000000" w:themeColor="text1"/>
          <w:kern w:val="2"/>
          <w:sz w:val="28"/>
          <w:szCs w:val="28"/>
          <w:lang w:val="en-US" w:eastAsia="zh-CN"/>
          <w14:textFill>
            <w14:solidFill>
              <w14:schemeClr w14:val="tx1"/>
            </w14:solidFill>
          </w14:textFill>
        </w:rPr>
        <w:t>采购</w:t>
      </w:r>
      <w:r>
        <w:rPr>
          <w:rFonts w:hint="eastAsia" w:ascii="微软雅黑" w:hAnsi="微软雅黑" w:eastAsia="微软雅黑" w:cs="微软雅黑"/>
          <w:b/>
          <w:color w:val="000000" w:themeColor="text1"/>
          <w:kern w:val="2"/>
          <w:sz w:val="28"/>
          <w:szCs w:val="28"/>
          <w14:textFill>
            <w14:solidFill>
              <w14:schemeClr w14:val="tx1"/>
            </w14:solidFill>
          </w14:textFill>
        </w:rPr>
        <w:t>设备</w:t>
      </w:r>
      <w:r>
        <w:rPr>
          <w:rFonts w:hint="eastAsia" w:ascii="微软雅黑" w:hAnsi="微软雅黑" w:eastAsia="微软雅黑" w:cs="微软雅黑"/>
          <w:b/>
          <w:color w:val="000000" w:themeColor="text1"/>
          <w:kern w:val="2"/>
          <w:sz w:val="28"/>
          <w:szCs w:val="28"/>
          <w:lang w:val="en-US" w:eastAsia="zh-CN"/>
          <w14:textFill>
            <w14:solidFill>
              <w14:schemeClr w14:val="tx1"/>
            </w14:solidFill>
          </w14:textFill>
        </w:rPr>
        <w:t>详况：</w:t>
      </w:r>
    </w:p>
    <w:tbl>
      <w:tblPr>
        <w:tblStyle w:val="20"/>
        <w:tblW w:w="1000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2400"/>
        <w:gridCol w:w="3451"/>
        <w:gridCol w:w="1122"/>
        <w:gridCol w:w="1183"/>
        <w:gridCol w:w="1414"/>
      </w:tblGrid>
      <w:tr w14:paraId="60C4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dxa"/>
            <w:noWrap w:val="0"/>
            <w:vAlign w:val="top"/>
          </w:tcPr>
          <w:p w14:paraId="6DFF086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序号</w:t>
            </w:r>
          </w:p>
        </w:tc>
        <w:tc>
          <w:tcPr>
            <w:tcW w:w="2400" w:type="dxa"/>
            <w:noWrap w:val="0"/>
            <w:vAlign w:val="top"/>
          </w:tcPr>
          <w:p w14:paraId="6BB39F3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设备</w:t>
            </w:r>
            <w:r>
              <w:rPr>
                <w:rFonts w:hint="eastAsia" w:ascii="微软雅黑" w:hAnsi="微软雅黑" w:eastAsia="微软雅黑" w:cs="微软雅黑"/>
                <w:color w:val="000000" w:themeColor="text1"/>
                <w:kern w:val="2"/>
                <w:sz w:val="28"/>
                <w:szCs w:val="28"/>
                <w14:textFill>
                  <w14:solidFill>
                    <w14:schemeClr w14:val="tx1"/>
                  </w14:solidFill>
                </w14:textFill>
              </w:rPr>
              <w:t>名称</w:t>
            </w:r>
          </w:p>
        </w:tc>
        <w:tc>
          <w:tcPr>
            <w:tcW w:w="3451" w:type="dxa"/>
            <w:noWrap w:val="0"/>
            <w:vAlign w:val="top"/>
          </w:tcPr>
          <w:p w14:paraId="574088D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设备</w:t>
            </w:r>
            <w:r>
              <w:rPr>
                <w:rFonts w:hint="eastAsia" w:ascii="微软雅黑" w:hAnsi="微软雅黑" w:eastAsia="微软雅黑" w:cs="微软雅黑"/>
                <w:color w:val="000000" w:themeColor="text1"/>
                <w:kern w:val="2"/>
                <w:sz w:val="28"/>
                <w:szCs w:val="28"/>
                <w14:textFill>
                  <w14:solidFill>
                    <w14:schemeClr w14:val="tx1"/>
                  </w14:solidFill>
                </w14:textFill>
              </w:rPr>
              <w:t>规格参数</w:t>
            </w:r>
          </w:p>
          <w:p w14:paraId="258A824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1"/>
                <w:szCs w:val="21"/>
                <w:lang w:eastAsia="zh-CN"/>
                <w14:textFill>
                  <w14:solidFill>
                    <w14:schemeClr w14:val="tx1"/>
                  </w14:solidFill>
                </w14:textFill>
              </w:rPr>
              <w:t>（</w:t>
            </w:r>
            <w:r>
              <w:rPr>
                <w:rFonts w:hint="eastAsia" w:ascii="微软雅黑" w:hAnsi="微软雅黑" w:eastAsia="微软雅黑" w:cs="微软雅黑"/>
                <w:color w:val="000000" w:themeColor="text1"/>
                <w:kern w:val="2"/>
                <w:sz w:val="21"/>
                <w:szCs w:val="21"/>
                <w:lang w:val="en-US" w:eastAsia="zh-CN"/>
                <w14:textFill>
                  <w14:solidFill>
                    <w14:schemeClr w14:val="tx1"/>
                  </w14:solidFill>
                </w14:textFill>
              </w:rPr>
              <w:t>厂家、品牌、规格、型号、材质</w:t>
            </w:r>
            <w:r>
              <w:rPr>
                <w:rFonts w:hint="eastAsia" w:ascii="微软雅黑" w:hAnsi="微软雅黑" w:eastAsia="微软雅黑" w:cs="微软雅黑"/>
                <w:color w:val="000000" w:themeColor="text1"/>
                <w:kern w:val="2"/>
                <w:sz w:val="21"/>
                <w:szCs w:val="21"/>
                <w:lang w:eastAsia="zh-CN"/>
                <w14:textFill>
                  <w14:solidFill>
                    <w14:schemeClr w14:val="tx1"/>
                  </w14:solidFill>
                </w14:textFill>
              </w:rPr>
              <w:t>）</w:t>
            </w:r>
          </w:p>
        </w:tc>
        <w:tc>
          <w:tcPr>
            <w:tcW w:w="1122" w:type="dxa"/>
            <w:noWrap w:val="0"/>
            <w:vAlign w:val="top"/>
          </w:tcPr>
          <w:p w14:paraId="0D4EB01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单位</w:t>
            </w:r>
          </w:p>
        </w:tc>
        <w:tc>
          <w:tcPr>
            <w:tcW w:w="1183" w:type="dxa"/>
            <w:noWrap w:val="0"/>
            <w:vAlign w:val="top"/>
          </w:tcPr>
          <w:p w14:paraId="62533BB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数量</w:t>
            </w:r>
          </w:p>
        </w:tc>
        <w:tc>
          <w:tcPr>
            <w:tcW w:w="1414" w:type="dxa"/>
            <w:noWrap w:val="0"/>
            <w:vAlign w:val="top"/>
          </w:tcPr>
          <w:p w14:paraId="2FA9FA2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单价</w:t>
            </w:r>
          </w:p>
        </w:tc>
      </w:tr>
      <w:tr w14:paraId="23DA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dxa"/>
            <w:noWrap w:val="0"/>
            <w:vAlign w:val="top"/>
          </w:tcPr>
          <w:p w14:paraId="74BCB28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w:t>
            </w:r>
          </w:p>
        </w:tc>
        <w:tc>
          <w:tcPr>
            <w:tcW w:w="2400" w:type="dxa"/>
            <w:noWrap w:val="0"/>
            <w:vAlign w:val="top"/>
          </w:tcPr>
          <w:p w14:paraId="2AB02B4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p>
        </w:tc>
        <w:tc>
          <w:tcPr>
            <w:tcW w:w="3451" w:type="dxa"/>
            <w:noWrap w:val="0"/>
            <w:vAlign w:val="top"/>
          </w:tcPr>
          <w:p w14:paraId="2D31DEB1">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p>
        </w:tc>
        <w:tc>
          <w:tcPr>
            <w:tcW w:w="1122" w:type="dxa"/>
            <w:noWrap w:val="0"/>
            <w:vAlign w:val="top"/>
          </w:tcPr>
          <w:p w14:paraId="293B910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p>
        </w:tc>
        <w:tc>
          <w:tcPr>
            <w:tcW w:w="1183" w:type="dxa"/>
            <w:noWrap w:val="0"/>
            <w:vAlign w:val="top"/>
          </w:tcPr>
          <w:p w14:paraId="1EA4440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c>
          <w:tcPr>
            <w:tcW w:w="1414" w:type="dxa"/>
            <w:noWrap w:val="0"/>
            <w:vAlign w:val="top"/>
          </w:tcPr>
          <w:p w14:paraId="7F0E9D3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r>
      <w:tr w14:paraId="5E40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dxa"/>
            <w:noWrap w:val="0"/>
            <w:vAlign w:val="top"/>
          </w:tcPr>
          <w:p w14:paraId="6DD53ED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w:t>
            </w:r>
          </w:p>
        </w:tc>
        <w:tc>
          <w:tcPr>
            <w:tcW w:w="2400" w:type="dxa"/>
            <w:noWrap w:val="0"/>
            <w:vAlign w:val="top"/>
          </w:tcPr>
          <w:p w14:paraId="5CA0E9DA">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3451" w:type="dxa"/>
            <w:noWrap w:val="0"/>
            <w:vAlign w:val="top"/>
          </w:tcPr>
          <w:p w14:paraId="4E929A7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1122" w:type="dxa"/>
            <w:noWrap w:val="0"/>
            <w:vAlign w:val="top"/>
          </w:tcPr>
          <w:p w14:paraId="22D4989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1183" w:type="dxa"/>
            <w:noWrap w:val="0"/>
            <w:vAlign w:val="top"/>
          </w:tcPr>
          <w:p w14:paraId="178F6A9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c>
          <w:tcPr>
            <w:tcW w:w="1414" w:type="dxa"/>
            <w:noWrap w:val="0"/>
            <w:vAlign w:val="top"/>
          </w:tcPr>
          <w:p w14:paraId="1130510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r>
      <w:tr w14:paraId="1929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dxa"/>
            <w:noWrap w:val="0"/>
            <w:vAlign w:val="top"/>
          </w:tcPr>
          <w:p w14:paraId="74FE6B4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3</w:t>
            </w:r>
          </w:p>
        </w:tc>
        <w:tc>
          <w:tcPr>
            <w:tcW w:w="2400" w:type="dxa"/>
            <w:noWrap w:val="0"/>
            <w:vAlign w:val="top"/>
          </w:tcPr>
          <w:p w14:paraId="09A24CD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3451" w:type="dxa"/>
            <w:noWrap w:val="0"/>
            <w:vAlign w:val="top"/>
          </w:tcPr>
          <w:p w14:paraId="13A00A3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1122" w:type="dxa"/>
            <w:noWrap w:val="0"/>
            <w:vAlign w:val="top"/>
          </w:tcPr>
          <w:p w14:paraId="4EBFE17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1183" w:type="dxa"/>
            <w:noWrap w:val="0"/>
            <w:vAlign w:val="top"/>
          </w:tcPr>
          <w:p w14:paraId="3FCDB94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c>
          <w:tcPr>
            <w:tcW w:w="1414" w:type="dxa"/>
            <w:noWrap w:val="0"/>
            <w:vAlign w:val="top"/>
          </w:tcPr>
          <w:p w14:paraId="6F7446F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r>
      <w:tr w14:paraId="096E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dxa"/>
            <w:noWrap w:val="0"/>
            <w:vAlign w:val="top"/>
          </w:tcPr>
          <w:p w14:paraId="68BA873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4</w:t>
            </w:r>
          </w:p>
        </w:tc>
        <w:tc>
          <w:tcPr>
            <w:tcW w:w="2400" w:type="dxa"/>
            <w:noWrap w:val="0"/>
            <w:vAlign w:val="top"/>
          </w:tcPr>
          <w:p w14:paraId="2A37F001">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3451" w:type="dxa"/>
            <w:noWrap w:val="0"/>
            <w:vAlign w:val="top"/>
          </w:tcPr>
          <w:p w14:paraId="766B3E6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1122" w:type="dxa"/>
            <w:noWrap w:val="0"/>
            <w:vAlign w:val="top"/>
          </w:tcPr>
          <w:p w14:paraId="61DFB8D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tc>
        <w:tc>
          <w:tcPr>
            <w:tcW w:w="1183" w:type="dxa"/>
            <w:noWrap w:val="0"/>
            <w:vAlign w:val="top"/>
          </w:tcPr>
          <w:p w14:paraId="66DC31F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c>
          <w:tcPr>
            <w:tcW w:w="1414" w:type="dxa"/>
            <w:noWrap w:val="0"/>
            <w:vAlign w:val="top"/>
          </w:tcPr>
          <w:p w14:paraId="13CEDA81">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p>
        </w:tc>
      </w:tr>
    </w:tbl>
    <w:p w14:paraId="11140F10">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二、合同价款</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3C51A3A4">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1、合同总价款大写：</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p>
    <w:p w14:paraId="52F45A49">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14:textFill>
            <w14:solidFill>
              <w14:schemeClr w14:val="tx1"/>
            </w14:solidFill>
          </w14:textFill>
        </w:rPr>
        <w:t>合同总价款包括</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但不限于本合同约定的所采购设备的</w:t>
      </w:r>
      <w:r>
        <w:rPr>
          <w:rFonts w:hint="eastAsia" w:ascii="微软雅黑" w:hAnsi="微软雅黑" w:eastAsia="微软雅黑" w:cs="微软雅黑"/>
          <w:color w:val="000000" w:themeColor="text1"/>
          <w:kern w:val="2"/>
          <w:sz w:val="28"/>
          <w:szCs w:val="28"/>
          <w14:textFill>
            <w14:solidFill>
              <w14:schemeClr w14:val="tx1"/>
            </w14:solidFill>
          </w14:textFill>
        </w:rPr>
        <w:t>设备费、运输费、装卸费、仓储费、保险费、安装调试费</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售后服务费</w:t>
      </w:r>
      <w:r>
        <w:rPr>
          <w:rFonts w:hint="eastAsia" w:ascii="微软雅黑" w:hAnsi="微软雅黑" w:eastAsia="微软雅黑" w:cs="微软雅黑"/>
          <w:color w:val="000000" w:themeColor="text1"/>
          <w:kern w:val="2"/>
          <w:sz w:val="28"/>
          <w:szCs w:val="28"/>
          <w14:textFill>
            <w14:solidFill>
              <w14:schemeClr w14:val="tx1"/>
            </w14:solidFill>
          </w14:textFill>
        </w:rPr>
        <w:t>及税费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等乙方完成本合同约定的全部合同义务所产生的所有费用在内。</w:t>
      </w:r>
    </w:p>
    <w:p w14:paraId="412D6145">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lang w:val="en-US" w:eastAsia="zh-CN"/>
          <w14:textFill>
            <w14:solidFill>
              <w14:schemeClr w14:val="tx1"/>
            </w14:solidFill>
          </w14:textFill>
        </w:rPr>
        <w:t>三、</w:t>
      </w:r>
      <w:r>
        <w:rPr>
          <w:rFonts w:hint="eastAsia" w:ascii="微软雅黑" w:hAnsi="微软雅黑" w:eastAsia="微软雅黑" w:cs="微软雅黑"/>
          <w:b/>
          <w:color w:val="000000" w:themeColor="text1"/>
          <w:kern w:val="2"/>
          <w:sz w:val="28"/>
          <w:szCs w:val="28"/>
          <w14:textFill>
            <w14:solidFill>
              <w14:schemeClr w14:val="tx1"/>
            </w14:solidFill>
          </w14:textFill>
        </w:rPr>
        <w:t>付款方式</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399DBB7B">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default"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甲方在最终</w:t>
      </w:r>
      <w:r>
        <w:rPr>
          <w:rFonts w:hint="eastAsia" w:ascii="微软雅黑" w:hAnsi="微软雅黑" w:eastAsia="微软雅黑" w:cs="微软雅黑"/>
          <w:color w:val="000000" w:themeColor="text1"/>
          <w:kern w:val="2"/>
          <w:sz w:val="28"/>
          <w:szCs w:val="28"/>
          <w14:textFill>
            <w14:solidFill>
              <w14:schemeClr w14:val="tx1"/>
            </w14:solidFill>
          </w14:textFill>
        </w:rPr>
        <w:t>验收合格</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之日起三个月内付合同总价款的</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%，剩余的</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%一年内支付给乙方。</w:t>
      </w:r>
    </w:p>
    <w:p w14:paraId="10E8BD33">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四、验收</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4353022B">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本合同约定的</w:t>
      </w:r>
      <w:r>
        <w:rPr>
          <w:rFonts w:hint="eastAsia" w:ascii="微软雅黑" w:hAnsi="微软雅黑" w:eastAsia="微软雅黑" w:cs="微软雅黑"/>
          <w:color w:val="000000" w:themeColor="text1"/>
          <w:kern w:val="2"/>
          <w:sz w:val="28"/>
          <w:szCs w:val="28"/>
          <w14:textFill>
            <w14:solidFill>
              <w14:schemeClr w14:val="tx1"/>
            </w14:solidFill>
          </w14:textFill>
        </w:rPr>
        <w:t>设备到达甲方指定地点后，</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乙方应通知甲方进行初验，即</w:t>
      </w:r>
      <w:r>
        <w:rPr>
          <w:rFonts w:hint="eastAsia" w:ascii="微软雅黑" w:hAnsi="微软雅黑" w:eastAsia="微软雅黑" w:cs="微软雅黑"/>
          <w:color w:val="000000" w:themeColor="text1"/>
          <w:kern w:val="2"/>
          <w:sz w:val="28"/>
          <w:szCs w:val="28"/>
          <w14:textFill>
            <w14:solidFill>
              <w14:schemeClr w14:val="tx1"/>
            </w14:solidFill>
          </w14:textFill>
        </w:rPr>
        <w:t>甲方根据</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本</w:t>
      </w:r>
      <w:r>
        <w:rPr>
          <w:rFonts w:hint="eastAsia" w:ascii="微软雅黑" w:hAnsi="微软雅黑" w:eastAsia="微软雅黑" w:cs="微软雅黑"/>
          <w:color w:val="000000" w:themeColor="text1"/>
          <w:kern w:val="2"/>
          <w:sz w:val="28"/>
          <w:szCs w:val="28"/>
          <w14:textFill>
            <w14:solidFill>
              <w14:schemeClr w14:val="tx1"/>
            </w14:solidFill>
          </w14:textFill>
        </w:rPr>
        <w:t>合同要求，</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对乙方交付的设备</w:t>
      </w:r>
      <w:r>
        <w:rPr>
          <w:rFonts w:hint="eastAsia" w:ascii="微软雅黑" w:hAnsi="微软雅黑" w:eastAsia="微软雅黑" w:cs="微软雅黑"/>
          <w:color w:val="000000" w:themeColor="text1"/>
          <w:kern w:val="2"/>
          <w:sz w:val="28"/>
          <w:szCs w:val="28"/>
          <w14:textFill>
            <w14:solidFill>
              <w14:schemeClr w14:val="tx1"/>
            </w14:solidFill>
          </w14:textFill>
        </w:rPr>
        <w:t>进行外观验收，确认产地、规格、型号和数量</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若甲方在验收时发现乙方提供的设备与合同约定不相符时，乙方应自甲方通知之日起</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日内重新按照合同约定补足或更换设备，乙方每逾期一日，乙方应向甲方支付</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元的违约金。若乙方逾期达到</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天，甲方有权选择解除合同，并由乙方赔偿甲方的全部损失。</w:t>
      </w:r>
    </w:p>
    <w:p w14:paraId="0ACF6F10">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both"/>
        <w:textAlignment w:val="auto"/>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2、设备安装、调试正常，乙方自检合格</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之日起</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日内通知甲方</w:t>
      </w:r>
      <w:r>
        <w:rPr>
          <w:rFonts w:hint="eastAsia" w:ascii="微软雅黑" w:hAnsi="微软雅黑" w:eastAsia="微软雅黑" w:cs="微软雅黑"/>
          <w:color w:val="000000" w:themeColor="text1"/>
          <w:kern w:val="2"/>
          <w:sz w:val="28"/>
          <w:szCs w:val="28"/>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由</w:t>
      </w:r>
      <w:r>
        <w:rPr>
          <w:rFonts w:hint="eastAsia" w:ascii="微软雅黑" w:hAnsi="微软雅黑" w:eastAsia="微软雅黑" w:cs="微软雅黑"/>
          <w:color w:val="000000" w:themeColor="text1"/>
          <w:kern w:val="2"/>
          <w:sz w:val="28"/>
          <w:szCs w:val="28"/>
          <w14:textFill>
            <w14:solidFill>
              <w14:schemeClr w14:val="tx1"/>
            </w14:solidFill>
          </w14:textFill>
        </w:rPr>
        <w:t>甲方组织相关人员进行</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最终</w:t>
      </w:r>
      <w:r>
        <w:rPr>
          <w:rFonts w:hint="eastAsia" w:ascii="微软雅黑" w:hAnsi="微软雅黑" w:eastAsia="微软雅黑" w:cs="微软雅黑"/>
          <w:color w:val="000000" w:themeColor="text1"/>
          <w:kern w:val="2"/>
          <w:sz w:val="28"/>
          <w:szCs w:val="28"/>
          <w14:textFill>
            <w14:solidFill>
              <w14:schemeClr w14:val="tx1"/>
            </w14:solidFill>
          </w14:textFill>
        </w:rPr>
        <w:t>验收，</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最终验收合格的标准为：</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验收合格后，</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甲方</w:t>
      </w:r>
      <w:r>
        <w:rPr>
          <w:rFonts w:hint="eastAsia" w:ascii="微软雅黑" w:hAnsi="微软雅黑" w:eastAsia="微软雅黑" w:cs="微软雅黑"/>
          <w:color w:val="000000" w:themeColor="text1"/>
          <w:kern w:val="2"/>
          <w:sz w:val="28"/>
          <w:szCs w:val="28"/>
          <w14:textFill>
            <w14:solidFill>
              <w14:schemeClr w14:val="tx1"/>
            </w14:solidFill>
          </w14:textFill>
        </w:rPr>
        <w:t>填写《采购验收结算单》</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14:textFill>
            <w14:solidFill>
              <w14:schemeClr w14:val="tx1"/>
            </w14:solidFill>
          </w14:textFill>
        </w:rPr>
        <w:t>一式二份，</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甲、乙双方各执一份，</w:t>
      </w:r>
      <w:r>
        <w:rPr>
          <w:rFonts w:hint="eastAsia" w:ascii="微软雅黑" w:hAnsi="微软雅黑" w:eastAsia="微软雅黑" w:cs="微软雅黑"/>
          <w:color w:val="000000" w:themeColor="text1"/>
          <w:kern w:val="2"/>
          <w:sz w:val="28"/>
          <w:szCs w:val="28"/>
          <w14:textFill>
            <w14:solidFill>
              <w14:schemeClr w14:val="tx1"/>
            </w14:solidFill>
          </w14:textFill>
        </w:rPr>
        <w:t>作为对货物的最终认可。</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若甲方验收不合格，乙方应自验收不合格之日起</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日内重新调试并通知甲方验收，乙方每逾期一日，乙方应向甲方支付</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元的违约金，若乙方逾期达到</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天或乙方再次验收不合格，甲方有权选择解除合同，并由乙方赔偿甲方的全部损失，包括但不限于甲方已经支付的相应款项及因此所产生的相关赔偿款、甲方实现相关权利所产生的全部费用，如律师费、诉讼费、保全费、交通费、差旅费、鉴定费等。</w:t>
      </w:r>
    </w:p>
    <w:p w14:paraId="13426336">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3、</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无论何时甲方发现乙方提供的设备</w:t>
      </w:r>
      <w:r>
        <w:rPr>
          <w:rFonts w:hint="eastAsia" w:ascii="微软雅黑" w:hAnsi="微软雅黑" w:eastAsia="微软雅黑" w:cs="微软雅黑"/>
          <w:color w:val="000000" w:themeColor="text1"/>
          <w:kern w:val="2"/>
          <w:sz w:val="28"/>
          <w:szCs w:val="28"/>
          <w14:textFill>
            <w14:solidFill>
              <w14:schemeClr w14:val="tx1"/>
            </w14:solidFill>
          </w14:textFill>
        </w:rPr>
        <w:t>与</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甲方的</w:t>
      </w:r>
      <w:r>
        <w:rPr>
          <w:rFonts w:hint="eastAsia" w:ascii="微软雅黑" w:hAnsi="微软雅黑" w:eastAsia="微软雅黑" w:cs="微软雅黑"/>
          <w:color w:val="000000" w:themeColor="text1"/>
          <w:kern w:val="2"/>
          <w:sz w:val="28"/>
          <w:szCs w:val="28"/>
          <w14:textFill>
            <w14:solidFill>
              <w14:schemeClr w14:val="tx1"/>
            </w14:solidFill>
          </w14:textFill>
        </w:rPr>
        <w:t>要求</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及本合同的约定不相符的，甲方均有权要求乙方自甲方通知之日起</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日内重新按照合同约定补足或更换设备，乙方每逾期一日，乙方应向甲方支付</w:t>
      </w:r>
    </w:p>
    <w:p w14:paraId="78BFD5FA">
      <w:pPr>
        <w:keepNext w:val="0"/>
        <w:keepLines w:val="0"/>
        <w:pageBreakBefore w:val="0"/>
        <w:widowControl w:val="0"/>
        <w:kinsoku/>
        <w:wordWrap/>
        <w:overflowPunct/>
        <w:topLinePunct w:val="0"/>
        <w:autoSpaceDE/>
        <w:autoSpaceDN/>
        <w:bidi w:val="0"/>
        <w:adjustRightInd w:val="0"/>
        <w:snapToGrid w:val="0"/>
        <w:spacing w:line="276" w:lineRule="auto"/>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元的违约金。若乙方逾期达到</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天，甲方有权选择解除合同，并由乙方赔偿甲方的全部损失。</w:t>
      </w:r>
    </w:p>
    <w:p w14:paraId="39A82275">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default"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4、乙方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必须在</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时</w:t>
      </w:r>
      <w:r>
        <w:rPr>
          <w:rFonts w:hint="eastAsia" w:ascii="微软雅黑" w:hAnsi="微软雅黑" w:eastAsia="微软雅黑" w:cs="微软雅黑"/>
          <w:color w:val="000000" w:themeColor="text1"/>
          <w:kern w:val="2"/>
          <w:sz w:val="28"/>
          <w:szCs w:val="28"/>
          <w14:textFill>
            <w14:solidFill>
              <w14:schemeClr w14:val="tx1"/>
            </w14:solidFill>
          </w14:textFill>
        </w:rPr>
        <w:t>向甲方提交</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本合同约定的设备</w:t>
      </w:r>
      <w:r>
        <w:rPr>
          <w:rFonts w:hint="eastAsia" w:ascii="微软雅黑" w:hAnsi="微软雅黑" w:eastAsia="微软雅黑" w:cs="微软雅黑"/>
          <w:color w:val="000000" w:themeColor="text1"/>
          <w:kern w:val="2"/>
          <w:sz w:val="28"/>
          <w:szCs w:val="28"/>
          <w14:textFill>
            <w14:solidFill>
              <w14:schemeClr w14:val="tx1"/>
            </w14:solidFill>
          </w14:textFill>
        </w:rPr>
        <w:t>的</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全部</w:t>
      </w:r>
      <w:r>
        <w:rPr>
          <w:rFonts w:hint="eastAsia" w:ascii="微软雅黑" w:hAnsi="微软雅黑" w:eastAsia="微软雅黑" w:cs="微软雅黑"/>
          <w:color w:val="000000" w:themeColor="text1"/>
          <w:kern w:val="2"/>
          <w:sz w:val="28"/>
          <w:szCs w:val="28"/>
          <w14:textFill>
            <w14:solidFill>
              <w14:schemeClr w14:val="tx1"/>
            </w14:solidFill>
          </w14:textFill>
        </w:rPr>
        <w:t>技术资料（</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包括但不限于</w:t>
      </w:r>
      <w:r>
        <w:rPr>
          <w:rFonts w:hint="eastAsia" w:ascii="微软雅黑" w:hAnsi="微软雅黑" w:eastAsia="微软雅黑" w:cs="微软雅黑"/>
          <w:color w:val="000000" w:themeColor="text1"/>
          <w:kern w:val="2"/>
          <w:sz w:val="28"/>
          <w:szCs w:val="28"/>
          <w14:textFill>
            <w14:solidFill>
              <w14:schemeClr w14:val="tx1"/>
            </w14:solidFill>
          </w14:textFill>
        </w:rPr>
        <w:t>合格证、使用及维护说明书、出厂校准证书、装箱清单</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等</w:t>
      </w:r>
      <w:r>
        <w:rPr>
          <w:rFonts w:hint="eastAsia" w:ascii="微软雅黑" w:hAnsi="微软雅黑" w:eastAsia="微软雅黑" w:cs="微软雅黑"/>
          <w:color w:val="000000" w:themeColor="text1"/>
          <w:kern w:val="2"/>
          <w:sz w:val="28"/>
          <w:szCs w:val="28"/>
          <w14:textFill>
            <w14:solidFill>
              <w14:schemeClr w14:val="tx1"/>
            </w14:solidFill>
          </w14:textFill>
        </w:rPr>
        <w:t>），以便甲方日后管理和维护</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若乙方不能按照本条款的约定提供全部技术资料的，</w:t>
      </w:r>
      <w:r>
        <w:rPr>
          <w:rFonts w:hint="eastAsia" w:ascii="微软雅黑" w:hAnsi="微软雅黑" w:eastAsia="微软雅黑" w:cs="微软雅黑"/>
          <w:color w:val="000000" w:themeColor="text1"/>
          <w:kern w:val="2"/>
          <w:sz w:val="28"/>
          <w:szCs w:val="28"/>
          <w14:textFill>
            <w14:solidFill>
              <w14:schemeClr w14:val="tx1"/>
            </w14:solidFill>
          </w14:textFill>
        </w:rPr>
        <w:t>按</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乙方</w:t>
      </w:r>
      <w:r>
        <w:rPr>
          <w:rFonts w:hint="eastAsia" w:ascii="微软雅黑" w:hAnsi="微软雅黑" w:eastAsia="微软雅黑" w:cs="微软雅黑"/>
          <w:color w:val="000000" w:themeColor="text1"/>
          <w:kern w:val="2"/>
          <w:sz w:val="28"/>
          <w:szCs w:val="28"/>
          <w14:textFill>
            <w14:solidFill>
              <w14:schemeClr w14:val="tx1"/>
            </w14:solidFill>
          </w14:textFill>
        </w:rPr>
        <w:t>没有供货处理。</w:t>
      </w:r>
    </w:p>
    <w:p w14:paraId="0172ED8D">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五、</w:t>
      </w:r>
      <w:r>
        <w:rPr>
          <w:rFonts w:hint="eastAsia" w:ascii="微软雅黑" w:hAnsi="微软雅黑" w:eastAsia="微软雅黑" w:cs="微软雅黑"/>
          <w:b/>
          <w:color w:val="000000" w:themeColor="text1"/>
          <w:kern w:val="2"/>
          <w:sz w:val="28"/>
          <w:szCs w:val="28"/>
          <w:lang w:val="en-US" w:eastAsia="zh-CN"/>
          <w14:textFill>
            <w14:solidFill>
              <w14:schemeClr w14:val="tx1"/>
            </w14:solidFill>
          </w14:textFill>
        </w:rPr>
        <w:t>甲、乙</w:t>
      </w:r>
      <w:r>
        <w:rPr>
          <w:rFonts w:hint="eastAsia" w:ascii="微软雅黑" w:hAnsi="微软雅黑" w:eastAsia="微软雅黑" w:cs="微软雅黑"/>
          <w:b/>
          <w:color w:val="000000" w:themeColor="text1"/>
          <w:kern w:val="2"/>
          <w:sz w:val="28"/>
          <w:szCs w:val="28"/>
          <w14:textFill>
            <w14:solidFill>
              <w14:schemeClr w14:val="tx1"/>
            </w14:solidFill>
          </w14:textFill>
        </w:rPr>
        <w:t>双方的权利和义务</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43E7D411">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1、甲方的权利和义务</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p>
    <w:p w14:paraId="64ABE624">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1</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14:textFill>
            <w14:solidFill>
              <w14:schemeClr w14:val="tx1"/>
            </w14:solidFill>
          </w14:textFill>
        </w:rPr>
        <w:t>甲方在收到货物后，应按照</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本合同的约定</w:t>
      </w:r>
      <w:r>
        <w:rPr>
          <w:rFonts w:hint="eastAsia" w:ascii="微软雅黑" w:hAnsi="微软雅黑" w:eastAsia="微软雅黑" w:cs="微软雅黑"/>
          <w:color w:val="000000" w:themeColor="text1"/>
          <w:kern w:val="2"/>
          <w:sz w:val="28"/>
          <w:szCs w:val="28"/>
          <w14:textFill>
            <w14:solidFill>
              <w14:schemeClr w14:val="tx1"/>
            </w14:solidFill>
          </w14:textFill>
        </w:rPr>
        <w:t>进行核对，如发现产地、规格、型号和数量不符合合同</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约</w:t>
      </w:r>
      <w:r>
        <w:rPr>
          <w:rFonts w:hint="eastAsia" w:ascii="微软雅黑" w:hAnsi="微软雅黑" w:eastAsia="微软雅黑" w:cs="微软雅黑"/>
          <w:color w:val="000000" w:themeColor="text1"/>
          <w:kern w:val="2"/>
          <w:sz w:val="28"/>
          <w:szCs w:val="28"/>
          <w14:textFill>
            <w14:solidFill>
              <w14:schemeClr w14:val="tx1"/>
            </w14:solidFill>
          </w14:textFill>
        </w:rPr>
        <w:t>定，</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应</w:t>
      </w:r>
      <w:r>
        <w:rPr>
          <w:rFonts w:hint="eastAsia" w:ascii="微软雅黑" w:hAnsi="微软雅黑" w:eastAsia="微软雅黑" w:cs="微软雅黑"/>
          <w:color w:val="000000" w:themeColor="text1"/>
          <w:kern w:val="2"/>
          <w:sz w:val="28"/>
          <w:szCs w:val="28"/>
          <w14:textFill>
            <w14:solidFill>
              <w14:schemeClr w14:val="tx1"/>
            </w14:solidFill>
          </w14:textFill>
        </w:rPr>
        <w:t>及时提出</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p>
    <w:p w14:paraId="69F79A92">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（2）甲方应按照合同的约定履行付款义务；</w:t>
      </w:r>
    </w:p>
    <w:p w14:paraId="5EB6AE6D">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（3）</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 xml:space="preserve"> ；</w:t>
      </w:r>
    </w:p>
    <w:p w14:paraId="3F661CCC">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default" w:ascii="微软雅黑" w:hAnsi="微软雅黑" w:eastAsia="微软雅黑" w:cs="微软雅黑"/>
          <w:color w:val="000000" w:themeColor="text1"/>
          <w:kern w:val="2"/>
          <w:sz w:val="28"/>
          <w:szCs w:val="28"/>
          <w:u w:val="none"/>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（4）</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 xml:space="preserve"> 。</w:t>
      </w:r>
    </w:p>
    <w:p w14:paraId="5EFB79BD">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2、乙方的权利和义务</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p>
    <w:p w14:paraId="36FEAA75">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1</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14:textFill>
            <w14:solidFill>
              <w14:schemeClr w14:val="tx1"/>
            </w14:solidFill>
          </w14:textFill>
        </w:rPr>
        <w:t>乙方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应</w:t>
      </w:r>
      <w:r>
        <w:rPr>
          <w:rFonts w:hint="eastAsia" w:ascii="微软雅黑" w:hAnsi="微软雅黑" w:eastAsia="微软雅黑" w:cs="微软雅黑"/>
          <w:color w:val="000000" w:themeColor="text1"/>
          <w:kern w:val="2"/>
          <w:sz w:val="28"/>
          <w:szCs w:val="28"/>
          <w14:textFill>
            <w14:solidFill>
              <w14:schemeClr w14:val="tx1"/>
            </w14:solidFill>
          </w14:textFill>
        </w:rPr>
        <w:t>保证按照</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本合同的约定</w:t>
      </w:r>
      <w:r>
        <w:rPr>
          <w:rFonts w:hint="eastAsia" w:ascii="微软雅黑" w:hAnsi="微软雅黑" w:eastAsia="微软雅黑" w:cs="微软雅黑"/>
          <w:color w:val="000000" w:themeColor="text1"/>
          <w:kern w:val="2"/>
          <w:sz w:val="28"/>
          <w:szCs w:val="28"/>
          <w14:textFill>
            <w14:solidFill>
              <w14:schemeClr w14:val="tx1"/>
            </w14:solidFill>
          </w14:textFill>
        </w:rPr>
        <w:t>向甲方供货。如果出现品种、数量、规格、质量不符合合同</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约</w:t>
      </w:r>
      <w:r>
        <w:rPr>
          <w:rFonts w:hint="eastAsia" w:ascii="微软雅黑" w:hAnsi="微软雅黑" w:eastAsia="微软雅黑" w:cs="微软雅黑"/>
          <w:color w:val="000000" w:themeColor="text1"/>
          <w:kern w:val="2"/>
          <w:sz w:val="28"/>
          <w:szCs w:val="28"/>
          <w14:textFill>
            <w14:solidFill>
              <w14:schemeClr w14:val="tx1"/>
            </w14:solidFill>
          </w14:textFill>
        </w:rPr>
        <w:t>定的，由乙方负责</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按照本合同的约定进行处理；</w:t>
      </w:r>
    </w:p>
    <w:p w14:paraId="1FD50B21">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2</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14:textFill>
            <w14:solidFill>
              <w14:schemeClr w14:val="tx1"/>
            </w14:solidFill>
          </w14:textFill>
        </w:rPr>
        <w:t>乙方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必须按照本合同的约定履行合同义务，并</w:t>
      </w:r>
      <w:r>
        <w:rPr>
          <w:rFonts w:hint="eastAsia" w:ascii="微软雅黑" w:hAnsi="微软雅黑" w:eastAsia="微软雅黑" w:cs="微软雅黑"/>
          <w:color w:val="000000" w:themeColor="text1"/>
          <w:kern w:val="2"/>
          <w:sz w:val="28"/>
          <w:szCs w:val="28"/>
          <w14:textFill>
            <w14:solidFill>
              <w14:schemeClr w14:val="tx1"/>
            </w14:solidFill>
          </w14:textFill>
        </w:rPr>
        <w:t>确保本合同中的安装、维修工作及时到位。因为乙方的原因造成</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甲方的</w:t>
      </w:r>
      <w:r>
        <w:rPr>
          <w:rFonts w:hint="eastAsia" w:ascii="微软雅黑" w:hAnsi="微软雅黑" w:eastAsia="微软雅黑" w:cs="微软雅黑"/>
          <w:color w:val="000000" w:themeColor="text1"/>
          <w:kern w:val="2"/>
          <w:sz w:val="28"/>
          <w:szCs w:val="28"/>
          <w14:textFill>
            <w14:solidFill>
              <w14:schemeClr w14:val="tx1"/>
            </w14:solidFill>
          </w14:textFill>
        </w:rPr>
        <w:t>损失</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的</w:t>
      </w:r>
      <w:r>
        <w:rPr>
          <w:rFonts w:hint="eastAsia" w:ascii="微软雅黑" w:hAnsi="微软雅黑" w:eastAsia="微软雅黑" w:cs="微软雅黑"/>
          <w:color w:val="000000" w:themeColor="text1"/>
          <w:kern w:val="2"/>
          <w:sz w:val="28"/>
          <w:szCs w:val="28"/>
          <w14:textFill>
            <w14:solidFill>
              <w14:schemeClr w14:val="tx1"/>
            </w14:solidFill>
          </w14:textFill>
        </w:rPr>
        <w:t>由乙方承担；</w:t>
      </w:r>
    </w:p>
    <w:p w14:paraId="55D0A122">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（3）</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 xml:space="preserve"> ；</w:t>
      </w:r>
    </w:p>
    <w:p w14:paraId="136D6FAB">
      <w:pPr>
        <w:keepNext w:val="0"/>
        <w:keepLines w:val="0"/>
        <w:pageBreakBefore w:val="0"/>
        <w:widowControl w:val="0"/>
        <w:kinsoku/>
        <w:wordWrap/>
        <w:overflowPunct/>
        <w:topLinePunct w:val="0"/>
        <w:autoSpaceDE/>
        <w:autoSpaceDN/>
        <w:bidi w:val="0"/>
        <w:adjustRightInd w:val="0"/>
        <w:snapToGrid w:val="0"/>
        <w:spacing w:line="276" w:lineRule="auto"/>
        <w:ind w:firstLine="280" w:firstLineChars="1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（4）</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none"/>
          <w:lang w:val="en-US" w:eastAsia="zh-CN"/>
          <w14:textFill>
            <w14:solidFill>
              <w14:schemeClr w14:val="tx1"/>
            </w14:solidFill>
          </w14:textFill>
        </w:rPr>
        <w:t xml:space="preserve"> 。</w:t>
      </w:r>
    </w:p>
    <w:p w14:paraId="514A415E">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六、交货地点</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14FAD733">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1、交货地点：</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甲方指定的交货地点。</w:t>
      </w:r>
    </w:p>
    <w:p w14:paraId="088ABF3F">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2、交货期：</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本合同约定的</w:t>
      </w:r>
      <w:r>
        <w:rPr>
          <w:rFonts w:hint="eastAsia" w:ascii="微软雅黑" w:hAnsi="微软雅黑" w:eastAsia="微软雅黑" w:cs="微软雅黑"/>
          <w:color w:val="000000" w:themeColor="text1"/>
          <w:kern w:val="2"/>
          <w:sz w:val="28"/>
          <w:szCs w:val="28"/>
          <w14:textFill>
            <w14:solidFill>
              <w14:schemeClr w14:val="tx1"/>
            </w14:solidFill>
          </w14:textFill>
        </w:rPr>
        <w:t>所有</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设备</w:t>
      </w:r>
      <w:r>
        <w:rPr>
          <w:rFonts w:hint="eastAsia" w:ascii="微软雅黑" w:hAnsi="微软雅黑" w:eastAsia="微软雅黑" w:cs="微软雅黑"/>
          <w:color w:val="000000" w:themeColor="text1"/>
          <w:kern w:val="2"/>
          <w:sz w:val="28"/>
          <w:szCs w:val="28"/>
          <w14:textFill>
            <w14:solidFill>
              <w14:schemeClr w14:val="tx1"/>
            </w14:solidFill>
          </w14:textFill>
        </w:rPr>
        <w:t>均需在</w:t>
      </w:r>
      <w:r>
        <w:rPr>
          <w:rFonts w:hint="eastAsia" w:ascii="微软雅黑" w:hAnsi="微软雅黑" w:eastAsia="微软雅黑" w:cs="微软雅黑"/>
          <w:color w:val="000000" w:themeColor="text1"/>
          <w:kern w:val="2"/>
          <w:sz w:val="28"/>
          <w:szCs w:val="28"/>
          <w:u w:val="single"/>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年</w:t>
      </w:r>
      <w:r>
        <w:rPr>
          <w:rFonts w:hint="eastAsia" w:ascii="微软雅黑" w:hAnsi="微软雅黑" w:eastAsia="微软雅黑" w:cs="微软雅黑"/>
          <w:color w:val="000000" w:themeColor="text1"/>
          <w:kern w:val="2"/>
          <w:sz w:val="28"/>
          <w:szCs w:val="28"/>
          <w:u w:val="single"/>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月</w:t>
      </w:r>
      <w:r>
        <w:rPr>
          <w:rFonts w:hint="eastAsia" w:ascii="微软雅黑" w:hAnsi="微软雅黑" w:eastAsia="微软雅黑" w:cs="微软雅黑"/>
          <w:color w:val="000000" w:themeColor="text1"/>
          <w:kern w:val="2"/>
          <w:sz w:val="28"/>
          <w:szCs w:val="28"/>
          <w:u w:val="single"/>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日前完成安装、调试并申请验收</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且验收合格。</w:t>
      </w:r>
    </w:p>
    <w:p w14:paraId="1389CE80">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七、运输</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20F6B12F">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1、运输由乙方负责，费用已包含在合同总价内，包括所有的运输费、装卸费、仓储费、保险费等。</w:t>
      </w:r>
    </w:p>
    <w:p w14:paraId="744AF489">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2、运输方式由乙方自行选择，但必须保证货物完好、按期交货</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到甲方指定地点</w:t>
      </w:r>
      <w:r>
        <w:rPr>
          <w:rFonts w:hint="eastAsia" w:ascii="微软雅黑" w:hAnsi="微软雅黑" w:eastAsia="微软雅黑" w:cs="微软雅黑"/>
          <w:color w:val="000000" w:themeColor="text1"/>
          <w:kern w:val="2"/>
          <w:sz w:val="28"/>
          <w:szCs w:val="28"/>
          <w14:textFill>
            <w14:solidFill>
              <w14:schemeClr w14:val="tx1"/>
            </w14:solidFill>
          </w14:textFill>
        </w:rPr>
        <w:t>。</w:t>
      </w:r>
    </w:p>
    <w:p w14:paraId="0F98643A">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八、质量保证</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68A0245B">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1、乙方提供的设备</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设施</w:t>
      </w:r>
      <w:r>
        <w:rPr>
          <w:rFonts w:hint="eastAsia" w:ascii="微软雅黑" w:hAnsi="微软雅黑" w:eastAsia="微软雅黑" w:cs="微软雅黑"/>
          <w:color w:val="000000" w:themeColor="text1"/>
          <w:kern w:val="2"/>
          <w:sz w:val="28"/>
          <w:szCs w:val="28"/>
          <w14:textFill>
            <w14:solidFill>
              <w14:schemeClr w14:val="tx1"/>
            </w14:solidFill>
          </w14:textFill>
        </w:rPr>
        <w:t>必须是全新未使用、经国家质检部门检验合格并颁发了准销证的产品</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p>
    <w:p w14:paraId="1EA65B4A">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2、乙方确保产品整体技术性能达到</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现行</w:t>
      </w:r>
      <w:r>
        <w:rPr>
          <w:rFonts w:hint="eastAsia" w:ascii="微软雅黑" w:hAnsi="微软雅黑" w:eastAsia="微软雅黑" w:cs="微软雅黑"/>
          <w:color w:val="000000" w:themeColor="text1"/>
          <w:kern w:val="2"/>
          <w:sz w:val="28"/>
          <w:szCs w:val="28"/>
          <w14:textFill>
            <w14:solidFill>
              <w14:schemeClr w14:val="tx1"/>
            </w14:solidFill>
          </w14:textFill>
        </w:rPr>
        <w:t>国家标准</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行业标准</w:t>
      </w:r>
      <w:r>
        <w:rPr>
          <w:rFonts w:hint="eastAsia" w:ascii="微软雅黑" w:hAnsi="微软雅黑" w:eastAsia="微软雅黑" w:cs="微软雅黑"/>
          <w:color w:val="000000" w:themeColor="text1"/>
          <w:kern w:val="2"/>
          <w:sz w:val="28"/>
          <w:szCs w:val="28"/>
          <w14:textFill>
            <w14:solidFill>
              <w14:schemeClr w14:val="tx1"/>
            </w14:solidFill>
          </w14:textFill>
        </w:rPr>
        <w:t>，美观实用</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并符合本合同的约定</w:t>
      </w:r>
      <w:r>
        <w:rPr>
          <w:rFonts w:hint="eastAsia" w:ascii="微软雅黑" w:hAnsi="微软雅黑" w:eastAsia="微软雅黑" w:cs="微软雅黑"/>
          <w:color w:val="000000" w:themeColor="text1"/>
          <w:kern w:val="2"/>
          <w:sz w:val="28"/>
          <w:szCs w:val="28"/>
          <w14:textFill>
            <w14:solidFill>
              <w14:schemeClr w14:val="tx1"/>
            </w14:solidFill>
          </w14:textFill>
        </w:rPr>
        <w:t>。</w:t>
      </w:r>
    </w:p>
    <w:p w14:paraId="52B0E38A">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九、售后服务</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452AE802">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1、乙方对所供设备实行</w:t>
      </w:r>
      <w:r>
        <w:rPr>
          <w:rFonts w:hint="eastAsia" w:ascii="微软雅黑" w:hAnsi="微软雅黑" w:eastAsia="微软雅黑" w:cs="微软雅黑"/>
          <w:color w:val="000000" w:themeColor="text1"/>
          <w:kern w:val="2"/>
          <w:sz w:val="28"/>
          <w:szCs w:val="28"/>
          <w:u w:val="single"/>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年免费保修，</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保修期自</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之日起算，</w:t>
      </w:r>
      <w:r>
        <w:rPr>
          <w:rFonts w:hint="eastAsia" w:ascii="微软雅黑" w:hAnsi="微软雅黑" w:eastAsia="微软雅黑" w:cs="微软雅黑"/>
          <w:color w:val="000000" w:themeColor="text1"/>
          <w:kern w:val="2"/>
          <w:sz w:val="28"/>
          <w:szCs w:val="28"/>
          <w14:textFill>
            <w14:solidFill>
              <w14:schemeClr w14:val="tx1"/>
            </w14:solidFill>
          </w14:textFill>
        </w:rPr>
        <w:t>并提供终身维修服务（如因</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甲方</w:t>
      </w:r>
      <w:r>
        <w:rPr>
          <w:rFonts w:hint="eastAsia" w:ascii="微软雅黑" w:hAnsi="微软雅黑" w:eastAsia="微软雅黑" w:cs="微软雅黑"/>
          <w:color w:val="000000" w:themeColor="text1"/>
          <w:kern w:val="2"/>
          <w:sz w:val="28"/>
          <w:szCs w:val="28"/>
          <w14:textFill>
            <w14:solidFill>
              <w14:schemeClr w14:val="tx1"/>
            </w14:solidFill>
          </w14:textFill>
        </w:rPr>
        <w:t>人为原因引起设备损坏不在保修范围之内）。在质保期内出现质量问题，乙方接到甲方通知</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当日</w:t>
      </w:r>
      <w:r>
        <w:rPr>
          <w:rFonts w:hint="eastAsia" w:ascii="微软雅黑" w:hAnsi="微软雅黑" w:eastAsia="微软雅黑" w:cs="微软雅黑"/>
          <w:color w:val="000000" w:themeColor="text1"/>
          <w:kern w:val="2"/>
          <w:sz w:val="28"/>
          <w:szCs w:val="28"/>
          <w14:textFill>
            <w14:solidFill>
              <w14:schemeClr w14:val="tx1"/>
            </w14:solidFill>
          </w14:textFill>
        </w:rPr>
        <w:t>，应派专业人员到现场进行检测维修，产生的费用由乙方承担。若需送回生产厂家，往返费用由乙方承担</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且乙方应确保修理期间甲方的相应工作不受影响，否则，乙方对甲方因此造成的全部损失进行赔偿。</w:t>
      </w:r>
    </w:p>
    <w:p w14:paraId="53E817C2">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2、在质保期内，排除故障不得超过</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个工作日。否则，甲方有权指定第三方进行维护，</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由此产生的相应</w:t>
      </w:r>
      <w:r>
        <w:rPr>
          <w:rFonts w:hint="eastAsia" w:ascii="微软雅黑" w:hAnsi="微软雅黑" w:eastAsia="微软雅黑" w:cs="微软雅黑"/>
          <w:color w:val="000000" w:themeColor="text1"/>
          <w:kern w:val="2"/>
          <w:sz w:val="28"/>
          <w:szCs w:val="28"/>
          <w14:textFill>
            <w14:solidFill>
              <w14:schemeClr w14:val="tx1"/>
            </w14:solidFill>
          </w14:textFill>
        </w:rPr>
        <w:t>费用由乙方承担。</w:t>
      </w:r>
    </w:p>
    <w:p w14:paraId="63B76617">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十、违约责任</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6F5C1B66">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甲、乙双方均应按照合同的约定履行合同义务，否则，应按照本合同</w:t>
      </w:r>
      <w:r>
        <w:rPr>
          <w:rFonts w:hint="eastAsia" w:ascii="微软雅黑" w:hAnsi="微软雅黑" w:eastAsia="微软雅黑" w:cs="微软雅黑"/>
          <w:color w:val="000000" w:themeColor="text1"/>
          <w:kern w:val="2"/>
          <w:sz w:val="28"/>
          <w:szCs w:val="28"/>
          <w14:textFill>
            <w14:solidFill>
              <w14:schemeClr w14:val="tx1"/>
            </w14:solidFill>
          </w14:textFill>
        </w:rPr>
        <w:t>中的相关</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违约</w:t>
      </w:r>
      <w:r>
        <w:rPr>
          <w:rFonts w:hint="eastAsia" w:ascii="微软雅黑" w:hAnsi="微软雅黑" w:eastAsia="微软雅黑" w:cs="微软雅黑"/>
          <w:color w:val="000000" w:themeColor="text1"/>
          <w:kern w:val="2"/>
          <w:sz w:val="28"/>
          <w:szCs w:val="28"/>
          <w14:textFill>
            <w14:solidFill>
              <w14:schemeClr w14:val="tx1"/>
            </w14:solidFill>
          </w14:textFill>
        </w:rPr>
        <w:t>条款</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承担违约责任，本合同中未约定相关违约条款的，</w:t>
      </w:r>
      <w:r>
        <w:rPr>
          <w:rFonts w:hint="eastAsia" w:ascii="微软雅黑" w:hAnsi="微软雅黑" w:eastAsia="微软雅黑" w:cs="微软雅黑"/>
          <w:color w:val="000000" w:themeColor="text1"/>
          <w:kern w:val="2"/>
          <w:sz w:val="28"/>
          <w:szCs w:val="28"/>
          <w14:textFill>
            <w14:solidFill>
              <w14:schemeClr w14:val="tx1"/>
            </w14:solidFill>
          </w14:textFill>
        </w:rPr>
        <w:t>按《中华人民共和国民法典》</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的相关规定执行</w:t>
      </w:r>
      <w:r>
        <w:rPr>
          <w:rFonts w:hint="eastAsia" w:ascii="微软雅黑" w:hAnsi="微软雅黑" w:eastAsia="微软雅黑" w:cs="微软雅黑"/>
          <w:color w:val="000000" w:themeColor="text1"/>
          <w:kern w:val="2"/>
          <w:sz w:val="28"/>
          <w:szCs w:val="28"/>
          <w14:textFill>
            <w14:solidFill>
              <w14:schemeClr w14:val="tx1"/>
            </w14:solidFill>
          </w14:textFill>
        </w:rPr>
        <w:t>。</w:t>
      </w:r>
    </w:p>
    <w:p w14:paraId="6531B4E8">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乙方</w:t>
      </w:r>
      <w:r>
        <w:rPr>
          <w:rFonts w:hint="eastAsia" w:ascii="微软雅黑" w:hAnsi="微软雅黑" w:eastAsia="微软雅黑" w:cs="微软雅黑"/>
          <w:color w:val="000000" w:themeColor="text1"/>
          <w:kern w:val="2"/>
          <w:sz w:val="28"/>
          <w:szCs w:val="28"/>
          <w14:textFill>
            <w14:solidFill>
              <w14:schemeClr w14:val="tx1"/>
            </w14:solidFill>
          </w14:textFill>
        </w:rPr>
        <w:t>交货期每超过一天，扣除乙方合同总价款的</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迟延</w:t>
      </w:r>
      <w:r>
        <w:rPr>
          <w:rFonts w:hint="eastAsia" w:ascii="微软雅黑" w:hAnsi="微软雅黑" w:eastAsia="微软雅黑" w:cs="微软雅黑"/>
          <w:color w:val="000000" w:themeColor="text1"/>
          <w:kern w:val="2"/>
          <w:sz w:val="28"/>
          <w:szCs w:val="28"/>
          <w14:textFill>
            <w14:solidFill>
              <w14:schemeClr w14:val="tx1"/>
            </w14:solidFill>
          </w14:textFill>
        </w:rPr>
        <w:t>交货超过30天，甲方有权</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解除本合同并拒收</w:t>
      </w:r>
      <w:r>
        <w:rPr>
          <w:rFonts w:hint="eastAsia" w:ascii="微软雅黑" w:hAnsi="微软雅黑" w:eastAsia="微软雅黑" w:cs="微软雅黑"/>
          <w:color w:val="000000" w:themeColor="text1"/>
          <w:kern w:val="2"/>
          <w:sz w:val="28"/>
          <w:szCs w:val="28"/>
          <w14:textFill>
            <w14:solidFill>
              <w14:schemeClr w14:val="tx1"/>
            </w14:solidFill>
          </w14:textFill>
        </w:rPr>
        <w:t>货物。</w:t>
      </w:r>
    </w:p>
    <w:p w14:paraId="1C8576A3">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3</w:t>
      </w:r>
      <w:r>
        <w:rPr>
          <w:rFonts w:hint="eastAsia" w:ascii="微软雅黑" w:hAnsi="微软雅黑" w:eastAsia="微软雅黑" w:cs="微软雅黑"/>
          <w:color w:val="000000" w:themeColor="text1"/>
          <w:kern w:val="2"/>
          <w:sz w:val="28"/>
          <w:szCs w:val="28"/>
          <w14:textFill>
            <w14:solidFill>
              <w14:schemeClr w14:val="tx1"/>
            </w14:solidFill>
          </w14:textFill>
        </w:rPr>
        <w:t>、乙方保证所有设备及其技术资料不会侵犯任何第三方的权利，如有发生，乙方在承担全部责任和对第三方的赔偿外，以</w:t>
      </w:r>
      <w:r>
        <w:rPr>
          <w:rFonts w:hint="eastAsia" w:ascii="微软雅黑" w:hAnsi="微软雅黑" w:eastAsia="微软雅黑" w:cs="微软雅黑"/>
          <w:color w:val="000000" w:themeColor="text1"/>
          <w:kern w:val="2"/>
          <w:sz w:val="28"/>
          <w:szCs w:val="28"/>
          <w:u w:val="single"/>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倍的合同总价额赔偿给甲方</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若该赔偿款不足以弥补甲方的全部损失的，乙方还应对不足部分进行赔偿。</w:t>
      </w:r>
    </w:p>
    <w:p w14:paraId="0294CF56">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十一、合同争议解决的方式</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75171CC1">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both"/>
        <w:textAlignment w:val="auto"/>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本合同在履行过程中如发生争议，由甲、乙双方协商解决；经协商无法解决的可依法向</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甲方所在地</w:t>
      </w:r>
      <w:r>
        <w:rPr>
          <w:rFonts w:hint="eastAsia" w:ascii="微软雅黑" w:hAnsi="微软雅黑" w:eastAsia="微软雅黑" w:cs="微软雅黑"/>
          <w:color w:val="000000" w:themeColor="text1"/>
          <w:kern w:val="2"/>
          <w:sz w:val="28"/>
          <w:szCs w:val="28"/>
          <w14:textFill>
            <w14:solidFill>
              <w14:schemeClr w14:val="tx1"/>
            </w14:solidFill>
          </w14:textFill>
        </w:rPr>
        <w:t>人民法院起诉</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解决。</w:t>
      </w:r>
    </w:p>
    <w:p w14:paraId="1F305101">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十二、合同生效</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09BFA8FC">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本合同一式</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4</w:t>
      </w:r>
      <w:r>
        <w:rPr>
          <w:rFonts w:hint="eastAsia" w:ascii="微软雅黑" w:hAnsi="微软雅黑" w:eastAsia="微软雅黑" w:cs="微软雅黑"/>
          <w:color w:val="000000" w:themeColor="text1"/>
          <w:kern w:val="2"/>
          <w:sz w:val="28"/>
          <w:szCs w:val="28"/>
          <w14:textFill>
            <w14:solidFill>
              <w14:schemeClr w14:val="tx1"/>
            </w14:solidFill>
          </w14:textFill>
        </w:rPr>
        <w:t>份（甲方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2</w:t>
      </w:r>
      <w:r>
        <w:rPr>
          <w:rFonts w:hint="eastAsia" w:ascii="微软雅黑" w:hAnsi="微软雅黑" w:eastAsia="微软雅黑" w:cs="微软雅黑"/>
          <w:color w:val="000000" w:themeColor="text1"/>
          <w:kern w:val="2"/>
          <w:sz w:val="28"/>
          <w:szCs w:val="28"/>
          <w14:textFill>
            <w14:solidFill>
              <w14:schemeClr w14:val="tx1"/>
            </w14:solidFill>
          </w14:textFill>
        </w:rPr>
        <w:t>份、乙方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2</w:t>
      </w:r>
      <w:r>
        <w:rPr>
          <w:rFonts w:hint="eastAsia" w:ascii="微软雅黑" w:hAnsi="微软雅黑" w:eastAsia="微软雅黑" w:cs="微软雅黑"/>
          <w:color w:val="000000" w:themeColor="text1"/>
          <w:kern w:val="2"/>
          <w:sz w:val="28"/>
          <w:szCs w:val="28"/>
          <w14:textFill>
            <w14:solidFill>
              <w14:schemeClr w14:val="tx1"/>
            </w14:solidFill>
          </w14:textFill>
        </w:rPr>
        <w:t>份），经</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甲、乙</w:t>
      </w:r>
      <w:r>
        <w:rPr>
          <w:rFonts w:hint="eastAsia" w:ascii="微软雅黑" w:hAnsi="微软雅黑" w:eastAsia="微软雅黑" w:cs="微软雅黑"/>
          <w:color w:val="000000" w:themeColor="text1"/>
          <w:kern w:val="2"/>
          <w:sz w:val="28"/>
          <w:szCs w:val="28"/>
          <w14:textFill>
            <w14:solidFill>
              <w14:schemeClr w14:val="tx1"/>
            </w14:solidFill>
          </w14:textFill>
        </w:rPr>
        <w:t>双方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法定代表人或负责人</w:t>
      </w:r>
      <w:r>
        <w:rPr>
          <w:rFonts w:hint="eastAsia" w:ascii="微软雅黑" w:hAnsi="微软雅黑" w:eastAsia="微软雅黑" w:cs="微软雅黑"/>
          <w:color w:val="000000" w:themeColor="text1"/>
          <w:kern w:val="2"/>
          <w:sz w:val="28"/>
          <w:szCs w:val="28"/>
          <w14:textFill>
            <w14:solidFill>
              <w14:schemeClr w14:val="tx1"/>
            </w14:solidFill>
          </w14:textFill>
        </w:rPr>
        <w:t>签字盖章后生效。</w:t>
      </w:r>
    </w:p>
    <w:p w14:paraId="3A0AB0E1">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b/>
          <w:color w:val="000000" w:themeColor="text1"/>
          <w:kern w:val="2"/>
          <w:sz w:val="28"/>
          <w:szCs w:val="28"/>
          <w:lang w:eastAsia="zh-CN"/>
          <w14:textFill>
            <w14:solidFill>
              <w14:schemeClr w14:val="tx1"/>
            </w14:solidFill>
          </w14:textFill>
        </w:rPr>
      </w:pPr>
      <w:r>
        <w:rPr>
          <w:rFonts w:hint="eastAsia" w:ascii="微软雅黑" w:hAnsi="微软雅黑" w:eastAsia="微软雅黑" w:cs="微软雅黑"/>
          <w:b/>
          <w:color w:val="000000" w:themeColor="text1"/>
          <w:kern w:val="2"/>
          <w:sz w:val="28"/>
          <w:szCs w:val="28"/>
          <w14:textFill>
            <w14:solidFill>
              <w14:schemeClr w14:val="tx1"/>
            </w14:solidFill>
          </w14:textFill>
        </w:rPr>
        <w:t>十三、其他事项</w:t>
      </w:r>
      <w:r>
        <w:rPr>
          <w:rFonts w:hint="eastAsia" w:ascii="微软雅黑" w:hAnsi="微软雅黑" w:eastAsia="微软雅黑" w:cs="微软雅黑"/>
          <w:b/>
          <w:color w:val="000000" w:themeColor="text1"/>
          <w:kern w:val="2"/>
          <w:sz w:val="28"/>
          <w:szCs w:val="28"/>
          <w:lang w:eastAsia="zh-CN"/>
          <w14:textFill>
            <w14:solidFill>
              <w14:schemeClr w14:val="tx1"/>
            </w14:solidFill>
          </w14:textFill>
        </w:rPr>
        <w:t>：</w:t>
      </w:r>
    </w:p>
    <w:p w14:paraId="7B0FBC05">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1、合同未尽事宜，由甲</w:t>
      </w:r>
      <w:r>
        <w:rPr>
          <w:rFonts w:hint="eastAsia" w:ascii="微软雅黑" w:hAnsi="微软雅黑" w:eastAsia="微软雅黑" w:cs="微软雅黑"/>
          <w:color w:val="000000" w:themeColor="text1"/>
          <w:kern w:val="2"/>
          <w:sz w:val="28"/>
          <w:szCs w:val="28"/>
          <w:lang w:eastAsia="zh-CN"/>
          <w14:textFill>
            <w14:solidFill>
              <w14:schemeClr w14:val="tx1"/>
            </w14:solidFill>
          </w14:textFill>
        </w:rPr>
        <w:t>、</w:t>
      </w:r>
      <w:r>
        <w:rPr>
          <w:rFonts w:hint="eastAsia" w:ascii="微软雅黑" w:hAnsi="微软雅黑" w:eastAsia="微软雅黑" w:cs="微软雅黑"/>
          <w:color w:val="000000" w:themeColor="text1"/>
          <w:kern w:val="2"/>
          <w:sz w:val="28"/>
          <w:szCs w:val="28"/>
          <w14:textFill>
            <w14:solidFill>
              <w14:schemeClr w14:val="tx1"/>
            </w14:solidFill>
          </w14:textFill>
        </w:rPr>
        <w:t>乙双方</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另行</w:t>
      </w:r>
      <w:r>
        <w:rPr>
          <w:rFonts w:hint="eastAsia" w:ascii="微软雅黑" w:hAnsi="微软雅黑" w:eastAsia="微软雅黑" w:cs="微软雅黑"/>
          <w:color w:val="000000" w:themeColor="text1"/>
          <w:kern w:val="2"/>
          <w:sz w:val="28"/>
          <w:szCs w:val="28"/>
          <w14:textFill>
            <w14:solidFill>
              <w14:schemeClr w14:val="tx1"/>
            </w14:solidFill>
          </w14:textFill>
        </w:rPr>
        <w:t>协商，变更增加补充合同，与原合同具有同等法律效力。</w:t>
      </w:r>
    </w:p>
    <w:p w14:paraId="70395A70">
      <w:pPr>
        <w:keepNext w:val="0"/>
        <w:keepLines w:val="0"/>
        <w:pageBreakBefore w:val="0"/>
        <w:widowControl w:val="0"/>
        <w:kinsoku/>
        <w:wordWrap/>
        <w:overflowPunct/>
        <w:topLinePunct w:val="0"/>
        <w:autoSpaceDE/>
        <w:autoSpaceDN/>
        <w:bidi w:val="0"/>
        <w:adjustRightInd w:val="0"/>
        <w:snapToGrid w:val="0"/>
        <w:spacing w:line="276" w:lineRule="auto"/>
        <w:ind w:firstLine="560" w:firstLineChars="200"/>
        <w:jc w:val="both"/>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2、合同一经签订，不得擅自变更、终止。确需调整的，应按</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约</w:t>
      </w:r>
      <w:r>
        <w:rPr>
          <w:rFonts w:hint="eastAsia" w:ascii="微软雅黑" w:hAnsi="微软雅黑" w:eastAsia="微软雅黑" w:cs="微软雅黑"/>
          <w:color w:val="000000" w:themeColor="text1"/>
          <w:kern w:val="2"/>
          <w:sz w:val="28"/>
          <w:szCs w:val="28"/>
          <w14:textFill>
            <w14:solidFill>
              <w14:schemeClr w14:val="tx1"/>
            </w14:solidFill>
          </w14:textFill>
        </w:rPr>
        <w:t>定履行相应的手续。</w:t>
      </w:r>
    </w:p>
    <w:p w14:paraId="754C25F1">
      <w:pPr>
        <w:keepNext w:val="0"/>
        <w:keepLines w:val="0"/>
        <w:pageBreakBefore w:val="0"/>
        <w:widowControl w:val="0"/>
        <w:kinsoku/>
        <w:wordWrap/>
        <w:overflowPunct/>
        <w:topLinePunct w:val="0"/>
        <w:autoSpaceDE/>
        <w:autoSpaceDN/>
        <w:bidi w:val="0"/>
        <w:snapToGrid w:val="0"/>
        <w:spacing w:line="276" w:lineRule="auto"/>
        <w:jc w:val="left"/>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p w14:paraId="11E7614F">
      <w:pPr>
        <w:keepNext w:val="0"/>
        <w:keepLines w:val="0"/>
        <w:pageBreakBefore w:val="0"/>
        <w:widowControl w:val="0"/>
        <w:kinsoku/>
        <w:wordWrap/>
        <w:overflowPunct/>
        <w:topLinePunct w:val="0"/>
        <w:autoSpaceDE/>
        <w:autoSpaceDN/>
        <w:bidi w:val="0"/>
        <w:snapToGrid w:val="0"/>
        <w:spacing w:line="276" w:lineRule="auto"/>
        <w:ind w:left="960" w:hanging="1120" w:hangingChars="400"/>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 xml:space="preserve">甲   方（签章）：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 xml:space="preserve">    乙   方（签章）：</w:t>
      </w:r>
    </w:p>
    <w:p w14:paraId="33058744">
      <w:pPr>
        <w:keepNext w:val="0"/>
        <w:keepLines w:val="0"/>
        <w:pageBreakBefore w:val="0"/>
        <w:widowControl w:val="0"/>
        <w:kinsoku/>
        <w:wordWrap/>
        <w:overflowPunct/>
        <w:topLinePunct w:val="0"/>
        <w:autoSpaceDE/>
        <w:autoSpaceDN/>
        <w:bidi w:val="0"/>
        <w:snapToGrid w:val="0"/>
        <w:spacing w:line="276" w:lineRule="auto"/>
        <w:ind w:left="960" w:hanging="1120" w:hangingChars="400"/>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p w14:paraId="02382D64">
      <w:pPr>
        <w:keepNext w:val="0"/>
        <w:keepLines w:val="0"/>
        <w:pageBreakBefore w:val="0"/>
        <w:widowControl w:val="0"/>
        <w:kinsoku/>
        <w:wordWrap/>
        <w:overflowPunct/>
        <w:topLinePunct w:val="0"/>
        <w:autoSpaceDE/>
        <w:autoSpaceDN/>
        <w:bidi w:val="0"/>
        <w:snapToGrid w:val="0"/>
        <w:spacing w:line="276" w:lineRule="auto"/>
        <w:ind w:left="960" w:hanging="1120" w:hangingChars="400"/>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 xml:space="preserve">法 定 代 表 人：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法 定 代 表 人：</w:t>
      </w:r>
    </w:p>
    <w:p w14:paraId="524565B6">
      <w:pPr>
        <w:keepNext w:val="0"/>
        <w:keepLines w:val="0"/>
        <w:pageBreakBefore w:val="0"/>
        <w:widowControl w:val="0"/>
        <w:kinsoku/>
        <w:wordWrap/>
        <w:overflowPunct/>
        <w:topLinePunct w:val="0"/>
        <w:autoSpaceDE/>
        <w:autoSpaceDN/>
        <w:bidi w:val="0"/>
        <w:snapToGrid w:val="0"/>
        <w:spacing w:line="276" w:lineRule="auto"/>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p w14:paraId="5F0E5FB2">
      <w:pPr>
        <w:keepNext w:val="0"/>
        <w:keepLines w:val="0"/>
        <w:pageBreakBefore w:val="0"/>
        <w:widowControl w:val="0"/>
        <w:kinsoku/>
        <w:wordWrap/>
        <w:overflowPunct/>
        <w:topLinePunct w:val="0"/>
        <w:autoSpaceDE/>
        <w:autoSpaceDN/>
        <w:bidi w:val="0"/>
        <w:snapToGrid w:val="0"/>
        <w:spacing w:line="276" w:lineRule="auto"/>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 xml:space="preserve">委 托 代 理 人：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 xml:space="preserve">委 托 代 理 人：              </w:t>
      </w:r>
    </w:p>
    <w:p w14:paraId="1A1C5F05">
      <w:pPr>
        <w:keepNext w:val="0"/>
        <w:keepLines w:val="0"/>
        <w:pageBreakBefore w:val="0"/>
        <w:widowControl w:val="0"/>
        <w:kinsoku/>
        <w:wordWrap/>
        <w:overflowPunct/>
        <w:topLinePunct w:val="0"/>
        <w:autoSpaceDE/>
        <w:autoSpaceDN/>
        <w:bidi w:val="0"/>
        <w:snapToGrid w:val="0"/>
        <w:spacing w:line="276" w:lineRule="auto"/>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p>
    <w:p w14:paraId="3DDB2114">
      <w:pPr>
        <w:keepNext w:val="0"/>
        <w:keepLines w:val="0"/>
        <w:pageBreakBefore w:val="0"/>
        <w:widowControl w:val="0"/>
        <w:kinsoku/>
        <w:wordWrap/>
        <w:overflowPunct/>
        <w:topLinePunct w:val="0"/>
        <w:autoSpaceDE/>
        <w:autoSpaceDN/>
        <w:bidi w:val="0"/>
        <w:snapToGrid w:val="0"/>
        <w:spacing w:line="276" w:lineRule="auto"/>
        <w:textAlignment w:val="auto"/>
        <w:rPr>
          <w:rFonts w:hint="eastAsia" w:ascii="微软雅黑" w:hAnsi="微软雅黑" w:eastAsia="微软雅黑" w:cs="微软雅黑"/>
          <w:color w:val="000000" w:themeColor="text1"/>
          <w:kern w:val="2"/>
          <w:sz w:val="28"/>
          <w:szCs w:val="28"/>
          <w14:textFill>
            <w14:solidFill>
              <w14:schemeClr w14:val="tx1"/>
            </w14:solidFill>
          </w14:textFill>
        </w:rPr>
      </w:pPr>
      <w:r>
        <w:rPr>
          <w:rFonts w:hint="eastAsia" w:ascii="微软雅黑" w:hAnsi="微软雅黑" w:eastAsia="微软雅黑" w:cs="微软雅黑"/>
          <w:color w:val="000000" w:themeColor="text1"/>
          <w:kern w:val="2"/>
          <w:sz w:val="28"/>
          <w:szCs w:val="28"/>
          <w14:textFill>
            <w14:solidFill>
              <w14:schemeClr w14:val="tx1"/>
            </w14:solidFill>
          </w14:textFill>
        </w:rPr>
        <w:t xml:space="preserve">签订日期：   年  月  日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 xml:space="preserve">签订日期：  </w:t>
      </w:r>
      <w:r>
        <w:rPr>
          <w:rFonts w:hint="eastAsia" w:ascii="微软雅黑" w:hAnsi="微软雅黑" w:eastAsia="微软雅黑" w:cs="微软雅黑"/>
          <w:color w:val="000000" w:themeColor="text1"/>
          <w:kern w:val="2"/>
          <w:sz w:val="28"/>
          <w:szCs w:val="28"/>
          <w:lang w:val="en-US" w:eastAsia="zh-CN"/>
          <w14:textFill>
            <w14:solidFill>
              <w14:schemeClr w14:val="tx1"/>
            </w14:solidFill>
          </w14:textFill>
        </w:rPr>
        <w:t xml:space="preserve">  </w:t>
      </w:r>
      <w:r>
        <w:rPr>
          <w:rFonts w:hint="eastAsia" w:ascii="微软雅黑" w:hAnsi="微软雅黑" w:eastAsia="微软雅黑" w:cs="微软雅黑"/>
          <w:color w:val="000000" w:themeColor="text1"/>
          <w:kern w:val="2"/>
          <w:sz w:val="28"/>
          <w:szCs w:val="28"/>
          <w14:textFill>
            <w14:solidFill>
              <w14:schemeClr w14:val="tx1"/>
            </w14:solidFill>
          </w14:textFill>
        </w:rPr>
        <w:t>年  月  日</w:t>
      </w:r>
    </w:p>
    <w:p w14:paraId="7492F680">
      <w:pPr>
        <w:keepNext w:val="0"/>
        <w:keepLines w:val="0"/>
        <w:pageBreakBefore w:val="0"/>
        <w:widowControl w:val="0"/>
        <w:kinsoku/>
        <w:wordWrap/>
        <w:overflowPunct/>
        <w:topLinePunct w:val="0"/>
        <w:autoSpaceDE/>
        <w:autoSpaceDN/>
        <w:bidi w:val="0"/>
        <w:snapToGrid w:val="0"/>
        <w:spacing w:line="276" w:lineRule="auto"/>
        <w:textAlignment w:val="auto"/>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br w:type="page"/>
      </w:r>
    </w:p>
    <w:p w14:paraId="22E56105">
      <w:pPr>
        <w:pStyle w:val="3"/>
        <w:keepLines w:val="0"/>
        <w:pageBreakBefore w:val="0"/>
        <w:widowControl w:val="0"/>
        <w:numPr>
          <w:ilvl w:val="0"/>
          <w:numId w:val="0"/>
        </w:numPr>
        <w:kinsoku/>
        <w:wordWrap/>
        <w:overflowPunct/>
        <w:topLinePunct w:val="0"/>
        <w:autoSpaceDE/>
        <w:autoSpaceDN/>
        <w:bidi w:val="0"/>
        <w:adjustRightInd w:val="0"/>
        <w:snapToGrid w:val="0"/>
        <w:spacing w:before="334" w:beforeLines="100" w:after="334" w:afterLines="100" w:line="240" w:lineRule="auto"/>
        <w:jc w:val="center"/>
        <w:textAlignment w:val="auto"/>
        <w:rPr>
          <w:rFonts w:hint="eastAsia" w:ascii="宋体" w:hAnsi="宋体" w:eastAsia="宋体" w:cs="宋体"/>
          <w:color w:val="auto"/>
          <w:sz w:val="36"/>
          <w:szCs w:val="36"/>
          <w:highlight w:val="none"/>
        </w:rPr>
      </w:pPr>
      <w:r>
        <w:rPr>
          <w:rFonts w:hint="eastAsia" w:ascii="宋体" w:hAnsi="宋体" w:eastAsia="宋体" w:cs="宋体"/>
          <w:b/>
          <w:color w:val="auto"/>
          <w:kern w:val="2"/>
          <w:sz w:val="36"/>
          <w:szCs w:val="36"/>
          <w:lang w:val="en-US" w:eastAsia="zh-CN" w:bidi="ar-SA"/>
        </w:rPr>
        <w:t>第四章</w:t>
      </w:r>
      <w:r>
        <w:rPr>
          <w:rFonts w:hint="eastAsia" w:asci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采购内容及技术要求</w:t>
      </w:r>
    </w:p>
    <w:p w14:paraId="627A4EFE">
      <w:pPr>
        <w:snapToGrid w:val="0"/>
        <w:spacing w:line="500" w:lineRule="exact"/>
        <w:jc w:val="center"/>
        <w:rPr>
          <w:rFonts w:hint="eastAsia" w:ascii="微软雅黑" w:hAnsi="微软雅黑" w:eastAsia="微软雅黑" w:cs="Times New Roman"/>
          <w:b/>
          <w:kern w:val="2"/>
          <w:sz w:val="30"/>
          <w:szCs w:val="30"/>
        </w:rPr>
      </w:pPr>
      <w:r>
        <w:rPr>
          <w:rFonts w:hint="eastAsia" w:ascii="微软雅黑" w:hAnsi="微软雅黑" w:eastAsia="微软雅黑" w:cs="Times New Roman"/>
          <w:b/>
          <w:kern w:val="2"/>
          <w:sz w:val="30"/>
          <w:szCs w:val="30"/>
        </w:rPr>
        <w:t>彩色多普勒超声诊断仪技术规格及要求</w:t>
      </w:r>
    </w:p>
    <w:p w14:paraId="12FACC44">
      <w:pPr>
        <w:snapToGrid w:val="0"/>
        <w:spacing w:line="300" w:lineRule="exact"/>
        <w:ind w:left="0" w:leftChars="0"/>
        <w:jc w:val="left"/>
        <w:rPr>
          <w:rFonts w:hint="eastAsia" w:ascii="微软雅黑" w:hAnsi="微软雅黑" w:eastAsia="微软雅黑" w:cs="Arial"/>
          <w:b/>
          <w:kern w:val="2"/>
          <w:sz w:val="28"/>
          <w:szCs w:val="28"/>
        </w:rPr>
      </w:pPr>
    </w:p>
    <w:p w14:paraId="5CC5797F">
      <w:pPr>
        <w:snapToGrid w:val="0"/>
        <w:spacing w:line="300" w:lineRule="exact"/>
        <w:ind w:left="960" w:leftChars="400" w:firstLine="549" w:firstLineChars="196"/>
        <w:jc w:val="left"/>
        <w:rPr>
          <w:rFonts w:hint="eastAsia" w:ascii="微软雅黑" w:hAnsi="微软雅黑" w:eastAsia="微软雅黑" w:cs="Arial"/>
          <w:b/>
          <w:kern w:val="2"/>
          <w:sz w:val="28"/>
          <w:szCs w:val="28"/>
        </w:rPr>
      </w:pPr>
    </w:p>
    <w:p w14:paraId="2EBE0773">
      <w:pPr>
        <w:keepNext/>
        <w:numPr>
          <w:ilvl w:val="0"/>
          <w:numId w:val="0"/>
        </w:numPr>
        <w:snapToGrid w:val="0"/>
        <w:ind w:left="0" w:leftChars="0" w:firstLine="0" w:firstLineChars="0"/>
        <w:outlineLvl w:val="0"/>
        <w:rPr>
          <w:rFonts w:hint="eastAsia" w:ascii="微软雅黑" w:hAnsi="微软雅黑" w:eastAsia="微软雅黑" w:cs="Times New Roman"/>
          <w:b/>
          <w:bCs/>
          <w:kern w:val="32"/>
          <w:sz w:val="21"/>
          <w:szCs w:val="32"/>
          <w:lang w:val="en-US" w:eastAsia="zh-CN" w:bidi="ar-SA"/>
        </w:rPr>
      </w:pPr>
      <w:r>
        <w:rPr>
          <w:rFonts w:hint="eastAsia" w:ascii="微软雅黑" w:hAnsi="微软雅黑" w:eastAsia="微软雅黑" w:cs="Times New Roman"/>
          <w:b/>
          <w:bCs/>
          <w:kern w:val="32"/>
          <w:sz w:val="21"/>
          <w:szCs w:val="32"/>
          <w:lang w:val="en-US" w:eastAsia="zh-CN" w:bidi="ar-SA"/>
        </w:rPr>
        <w:t>一、</w:t>
      </w:r>
      <w:r>
        <w:rPr>
          <w:rFonts w:ascii="微软雅黑" w:hAnsi="微软雅黑" w:eastAsia="微软雅黑" w:cs="Times New Roman"/>
          <w:b/>
          <w:bCs/>
          <w:kern w:val="32"/>
          <w:sz w:val="21"/>
          <w:szCs w:val="32"/>
          <w:lang w:val="en-US" w:eastAsia="zh-CN" w:bidi="ar-SA"/>
        </w:rPr>
        <w:t>设备名称：全数字彩色多普勒超声诊断仪</w:t>
      </w:r>
    </w:p>
    <w:p w14:paraId="455BD5F6">
      <w:pPr>
        <w:keepNext/>
        <w:numPr>
          <w:ilvl w:val="0"/>
          <w:numId w:val="0"/>
        </w:numPr>
        <w:snapToGrid w:val="0"/>
        <w:ind w:left="420" w:leftChars="0" w:hanging="420" w:hangingChars="200"/>
        <w:outlineLvl w:val="0"/>
        <w:rPr>
          <w:rFonts w:hint="eastAsia" w:ascii="微软雅黑" w:hAnsi="微软雅黑" w:eastAsia="微软雅黑" w:cs="Times New Roman"/>
          <w:b w:val="0"/>
          <w:bCs/>
          <w:kern w:val="32"/>
          <w:sz w:val="21"/>
          <w:szCs w:val="32"/>
          <w:lang w:val="en-US" w:eastAsia="zh-CN" w:bidi="ar-SA"/>
        </w:rPr>
      </w:pPr>
      <w:r>
        <w:rPr>
          <w:rFonts w:hint="eastAsia" w:ascii="微软雅黑" w:hAnsi="微软雅黑" w:eastAsia="微软雅黑" w:cs="Times New Roman"/>
          <w:b/>
          <w:bCs/>
          <w:kern w:val="32"/>
          <w:sz w:val="21"/>
          <w:szCs w:val="32"/>
          <w:lang w:val="en-US" w:eastAsia="zh-CN" w:bidi="ar-SA"/>
        </w:rPr>
        <w:t>二、</w:t>
      </w:r>
      <w:r>
        <w:rPr>
          <w:rFonts w:ascii="微软雅黑" w:hAnsi="微软雅黑" w:eastAsia="微软雅黑" w:cs="Times New Roman"/>
          <w:b/>
          <w:bCs/>
          <w:kern w:val="32"/>
          <w:sz w:val="21"/>
          <w:szCs w:val="32"/>
          <w:lang w:val="en-US" w:eastAsia="zh-CN" w:bidi="ar-SA"/>
        </w:rPr>
        <w:t>用途：</w:t>
      </w:r>
      <w:bookmarkStart w:id="46" w:name="_Hlk111555523"/>
      <w:r>
        <w:rPr>
          <w:rFonts w:ascii="微软雅黑" w:hAnsi="微软雅黑" w:eastAsia="微软雅黑" w:cs="Times New Roman"/>
          <w:b w:val="0"/>
          <w:bCs/>
          <w:kern w:val="32"/>
          <w:sz w:val="21"/>
          <w:szCs w:val="32"/>
          <w:lang w:val="en-US" w:eastAsia="zh-CN" w:bidi="ar-SA"/>
        </w:rPr>
        <w:t>主要用于</w:t>
      </w:r>
      <w:r>
        <w:rPr>
          <w:rFonts w:hint="eastAsia" w:ascii="微软雅黑" w:hAnsi="微软雅黑" w:eastAsia="微软雅黑" w:cs="Times New Roman"/>
          <w:b w:val="0"/>
          <w:bCs/>
          <w:kern w:val="32"/>
          <w:sz w:val="21"/>
          <w:szCs w:val="32"/>
          <w:lang w:val="en-US" w:eastAsia="zh-CN" w:bidi="ar-SA"/>
        </w:rPr>
        <w:t>腹部、心脏、小器官、血管、泌尿、儿科、神经、急症</w:t>
      </w:r>
      <w:r>
        <w:rPr>
          <w:rFonts w:ascii="微软雅黑" w:hAnsi="微软雅黑" w:eastAsia="微软雅黑" w:cs="Times New Roman"/>
          <w:b w:val="0"/>
          <w:bCs/>
          <w:kern w:val="32"/>
          <w:sz w:val="21"/>
          <w:szCs w:val="32"/>
          <w:lang w:val="en-US" w:eastAsia="zh-CN" w:bidi="ar-SA"/>
        </w:rPr>
        <w:t>等方面的临床诊断工作</w:t>
      </w:r>
      <w:bookmarkEnd w:id="46"/>
      <w:r>
        <w:rPr>
          <w:rFonts w:ascii="微软雅黑" w:hAnsi="微软雅黑" w:eastAsia="微软雅黑" w:cs="Times New Roman"/>
          <w:b w:val="0"/>
          <w:bCs/>
          <w:kern w:val="32"/>
          <w:sz w:val="21"/>
          <w:szCs w:val="32"/>
          <w:lang w:val="en-US" w:eastAsia="zh-CN" w:bidi="ar-SA"/>
        </w:rPr>
        <w:t>，具备持续升级能力，能满足开展新的临床应用需求。</w:t>
      </w:r>
    </w:p>
    <w:p w14:paraId="1497FAFB">
      <w:pPr>
        <w:keepNext/>
        <w:numPr>
          <w:ilvl w:val="0"/>
          <w:numId w:val="0"/>
        </w:numPr>
        <w:snapToGrid w:val="0"/>
        <w:ind w:left="0" w:leftChars="0" w:firstLine="0" w:firstLineChars="0"/>
        <w:outlineLvl w:val="0"/>
        <w:rPr>
          <w:rFonts w:ascii="微软雅黑" w:hAnsi="微软雅黑" w:eastAsia="微软雅黑" w:cs="Times New Roman"/>
          <w:b/>
          <w:bCs/>
          <w:kern w:val="32"/>
          <w:sz w:val="21"/>
          <w:szCs w:val="32"/>
          <w:lang w:val="en-US" w:eastAsia="zh-CN" w:bidi="ar-SA"/>
        </w:rPr>
      </w:pPr>
      <w:r>
        <w:rPr>
          <w:rFonts w:hint="eastAsia" w:ascii="微软雅黑" w:hAnsi="微软雅黑" w:eastAsia="微软雅黑" w:cs="Times New Roman"/>
          <w:b/>
          <w:bCs/>
          <w:kern w:val="32"/>
          <w:sz w:val="21"/>
          <w:szCs w:val="32"/>
          <w:lang w:val="en-US" w:eastAsia="zh-CN" w:bidi="ar-SA"/>
        </w:rPr>
        <w:t>三、</w:t>
      </w:r>
      <w:r>
        <w:rPr>
          <w:rFonts w:ascii="微软雅黑" w:hAnsi="微软雅黑" w:eastAsia="微软雅黑" w:cs="Times New Roman"/>
          <w:b/>
          <w:bCs/>
          <w:kern w:val="32"/>
          <w:sz w:val="21"/>
          <w:szCs w:val="32"/>
          <w:lang w:val="en-US" w:eastAsia="zh-CN" w:bidi="ar-SA"/>
        </w:rPr>
        <w:t>主要技术规格及系统概述：</w:t>
      </w:r>
    </w:p>
    <w:p w14:paraId="0C8395C0">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3.1</w:t>
      </w:r>
      <w:r>
        <w:rPr>
          <w:rFonts w:ascii="微软雅黑" w:hAnsi="微软雅黑" w:eastAsia="微软雅黑" w:cs="Times New Roman"/>
          <w:b/>
          <w:bCs/>
          <w:kern w:val="2"/>
          <w:sz w:val="21"/>
          <w:szCs w:val="32"/>
          <w:lang w:val="en-US" w:eastAsia="zh-CN" w:bidi="ar-SA"/>
        </w:rPr>
        <w:t>主机成像系统：</w:t>
      </w:r>
    </w:p>
    <w:p w14:paraId="41CEE768">
      <w:pPr>
        <w:numPr>
          <w:ilvl w:val="0"/>
          <w:numId w:val="0"/>
        </w:numPr>
        <w:snapToGrid w:val="0"/>
        <w:ind w:left="420" w:leftChars="0" w:firstLine="0" w:firstLineChars="0"/>
        <w:outlineLvl w:val="2"/>
        <w:rPr>
          <w:rFonts w:hint="eastAsia"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w:t>
      </w:r>
      <w:r>
        <w:rPr>
          <w:rFonts w:hint="eastAsia" w:ascii="微软雅黑" w:hAnsi="微软雅黑" w:eastAsia="微软雅黑" w:cs="微软雅黑"/>
          <w:bCs/>
          <w:color w:val="auto"/>
          <w:kern w:val="2"/>
          <w:sz w:val="21"/>
          <w:szCs w:val="32"/>
          <w:lang w:val="en-US" w:eastAsia="zh-CN" w:bidi="ar-SA"/>
        </w:rPr>
        <w:t>★</w:t>
      </w:r>
      <w:r>
        <w:rPr>
          <w:rFonts w:ascii="微软雅黑" w:hAnsi="微软雅黑" w:eastAsia="微软雅黑" w:cs="Times New Roman"/>
          <w:bCs/>
          <w:color w:val="auto"/>
          <w:kern w:val="2"/>
          <w:sz w:val="21"/>
          <w:szCs w:val="32"/>
          <w:lang w:val="en-US" w:eastAsia="zh-CN" w:bidi="ar-SA"/>
        </w:rPr>
        <w:t>高分辨率液晶显示</w:t>
      </w:r>
      <w:r>
        <w:rPr>
          <w:rFonts w:hint="eastAsia" w:ascii="微软雅黑" w:hAnsi="微软雅黑" w:eastAsia="微软雅黑" w:cs="Times New Roman"/>
          <w:bCs/>
          <w:color w:val="auto"/>
          <w:kern w:val="2"/>
          <w:sz w:val="21"/>
          <w:szCs w:val="32"/>
          <w:lang w:val="en-US" w:eastAsia="zh-CN" w:bidi="ar-SA"/>
        </w:rPr>
        <w:t>器≥22英寸，屏幕亮度和对比度数字可调，显示器亮度可根据环境光自动调节，可上下左右任意旋转，可前后折叠</w:t>
      </w:r>
    </w:p>
    <w:p w14:paraId="21D6B203">
      <w:pPr>
        <w:numPr>
          <w:ilvl w:val="0"/>
          <w:numId w:val="0"/>
        </w:numPr>
        <w:snapToGrid w:val="0"/>
        <w:ind w:left="420" w:leftChars="0" w:firstLine="0" w:firstLineChars="0"/>
        <w:outlineLvl w:val="2"/>
        <w:rPr>
          <w:rFonts w:hint="eastAsia"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3.1.2★操作面板具备防眩光彩色触摸屏≥15.1英寸。</w:t>
      </w:r>
      <w:r>
        <w:rPr>
          <w:rFonts w:ascii="微软雅黑" w:hAnsi="微软雅黑" w:eastAsia="微软雅黑" w:cs="Times New Roman"/>
          <w:bCs/>
          <w:color w:val="auto"/>
          <w:kern w:val="2"/>
          <w:sz w:val="21"/>
          <w:szCs w:val="32"/>
          <w:lang w:val="en-US" w:eastAsia="zh-CN" w:bidi="ar-SA"/>
        </w:rPr>
        <w:t>触摸屏可独立调节角度≥50度</w:t>
      </w:r>
    </w:p>
    <w:p w14:paraId="76934EBC">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3.1.3</w:t>
      </w:r>
      <w:r>
        <w:rPr>
          <w:rFonts w:hint="eastAsia" w:ascii="微软雅黑" w:hAnsi="微软雅黑" w:eastAsia="微软雅黑" w:cs="Times New Roman"/>
          <w:bCs/>
          <w:kern w:val="2"/>
          <w:sz w:val="21"/>
          <w:szCs w:val="32"/>
          <w:lang w:val="en-US" w:eastAsia="zh-CN" w:bidi="ar-SA"/>
        </w:rPr>
        <w:t>触摸屏支持手势控制，可自定义≥</w:t>
      </w:r>
      <w:r>
        <w:rPr>
          <w:rFonts w:ascii="微软雅黑" w:hAnsi="微软雅黑" w:eastAsia="微软雅黑" w:cs="Times New Roman"/>
          <w:bCs/>
          <w:kern w:val="2"/>
          <w:sz w:val="21"/>
          <w:szCs w:val="32"/>
          <w:lang w:val="en-US" w:eastAsia="zh-CN" w:bidi="ar-SA"/>
        </w:rPr>
        <w:t>7个双指手势功能（如冻结、存图、打印等）</w:t>
      </w:r>
    </w:p>
    <w:p w14:paraId="500CE163">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3.1.4</w:t>
      </w:r>
      <w:r>
        <w:rPr>
          <w:rFonts w:ascii="微软雅黑" w:hAnsi="微软雅黑" w:eastAsia="微软雅黑" w:cs="Times New Roman"/>
          <w:bCs/>
          <w:kern w:val="2"/>
          <w:sz w:val="21"/>
          <w:szCs w:val="32"/>
          <w:lang w:val="en-US" w:eastAsia="zh-CN" w:bidi="ar-SA"/>
        </w:rPr>
        <w:t>控制面板全空间悬浮式调节，可同时旋转和升降，前后拉升。旋转角度 ≥180度，</w:t>
      </w:r>
      <w:r>
        <w:rPr>
          <w:rFonts w:hint="eastAsia" w:ascii="微软雅黑" w:hAnsi="微软雅黑" w:eastAsia="微软雅黑" w:cs="Times New Roman"/>
          <w:bCs/>
          <w:kern w:val="2"/>
          <w:sz w:val="21"/>
          <w:szCs w:val="32"/>
          <w:lang w:val="en-US" w:eastAsia="zh-CN" w:bidi="ar-SA"/>
        </w:rPr>
        <w:t>上</w:t>
      </w:r>
      <w:r>
        <w:rPr>
          <w:rFonts w:ascii="微软雅黑" w:hAnsi="微软雅黑" w:eastAsia="微软雅黑" w:cs="Times New Roman"/>
          <w:bCs/>
          <w:kern w:val="2"/>
          <w:sz w:val="21"/>
          <w:szCs w:val="32"/>
          <w:lang w:val="en-US" w:eastAsia="zh-CN" w:bidi="ar-SA"/>
        </w:rPr>
        <w:t>下移动≥30cm</w:t>
      </w:r>
    </w:p>
    <w:p w14:paraId="2C293B51">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3.1.5</w:t>
      </w:r>
      <w:r>
        <w:rPr>
          <w:rFonts w:hint="eastAsia" w:ascii="微软雅黑" w:hAnsi="微软雅黑" w:eastAsia="微软雅黑" w:cs="Times New Roman"/>
          <w:bCs/>
          <w:kern w:val="2"/>
          <w:sz w:val="21"/>
          <w:szCs w:val="32"/>
          <w:lang w:val="en-US" w:eastAsia="zh-CN" w:bidi="ar-SA"/>
        </w:rPr>
        <w:t>多倍信号并行处理技术</w:t>
      </w:r>
    </w:p>
    <w:p w14:paraId="4C01D018">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3.1.6</w:t>
      </w:r>
      <w:r>
        <w:rPr>
          <w:rFonts w:ascii="微软雅黑" w:hAnsi="微软雅黑" w:eastAsia="微软雅黑" w:cs="Times New Roman"/>
          <w:bCs/>
          <w:kern w:val="2"/>
          <w:sz w:val="21"/>
          <w:szCs w:val="32"/>
          <w:lang w:val="en-US" w:eastAsia="zh-CN" w:bidi="ar-SA"/>
        </w:rPr>
        <w:t>数字化全程动态聚焦，数字化可变孔径及动态变迹</w:t>
      </w:r>
      <w:r>
        <w:rPr>
          <w:rFonts w:hint="eastAsia" w:ascii="方正兰亭黑3_GBK" w:hAnsi="等线" w:eastAsia="方正兰亭黑3_GBK" w:cs="Arial"/>
          <w:bCs/>
          <w:kern w:val="2"/>
          <w:sz w:val="20"/>
          <w:szCs w:val="20"/>
          <w:lang w:val="en-US" w:eastAsia="zh-CN" w:bidi="ar-SA"/>
        </w:rPr>
        <w:t>，</w:t>
      </w:r>
      <w:r>
        <w:rPr>
          <w:rFonts w:ascii="方正兰亭黑3_GBK" w:hAnsi="等线" w:eastAsia="方正兰亭黑3_GBK" w:cs="Arial"/>
          <w:bCs/>
          <w:kern w:val="2"/>
          <w:sz w:val="20"/>
          <w:szCs w:val="20"/>
          <w:lang w:val="en-US" w:eastAsia="zh-CN" w:bidi="ar-SA"/>
        </w:rPr>
        <w:t>A/D</w:t>
      </w:r>
      <w:r>
        <w:rPr>
          <w:rFonts w:hint="eastAsia" w:ascii="方正兰亭黑3_GBK" w:hAnsi="等线" w:eastAsia="方正兰亭黑3_GBK" w:cs="Arial"/>
          <w:bCs/>
          <w:kern w:val="2"/>
          <w:sz w:val="20"/>
          <w:szCs w:val="20"/>
          <w:lang w:val="en-US" w:eastAsia="zh-CN" w:bidi="ar-SA"/>
        </w:rPr>
        <w:t>≥</w:t>
      </w:r>
      <w:r>
        <w:rPr>
          <w:rFonts w:ascii="方正兰亭黑3_GBK" w:hAnsi="等线" w:eastAsia="方正兰亭黑3_GBK" w:cs="Arial"/>
          <w:bCs/>
          <w:kern w:val="2"/>
          <w:sz w:val="20"/>
          <w:szCs w:val="20"/>
          <w:lang w:val="en-US" w:eastAsia="zh-CN" w:bidi="ar-SA"/>
        </w:rPr>
        <w:t>1</w:t>
      </w:r>
      <w:r>
        <w:rPr>
          <w:rFonts w:hint="eastAsia" w:ascii="方正兰亭黑3_GBK" w:hAnsi="等线" w:eastAsia="方正兰亭黑3_GBK" w:cs="Arial"/>
          <w:bCs/>
          <w:kern w:val="2"/>
          <w:sz w:val="20"/>
          <w:szCs w:val="20"/>
          <w:lang w:val="en-US" w:eastAsia="zh-CN" w:bidi="ar-SA"/>
        </w:rPr>
        <w:t>2</w:t>
      </w:r>
      <w:r>
        <w:rPr>
          <w:rFonts w:ascii="方正兰亭黑3_GBK" w:hAnsi="等线" w:eastAsia="方正兰亭黑3_GBK" w:cs="Arial"/>
          <w:bCs/>
          <w:kern w:val="2"/>
          <w:sz w:val="20"/>
          <w:szCs w:val="20"/>
          <w:lang w:val="en-US" w:eastAsia="zh-CN" w:bidi="ar-SA"/>
        </w:rPr>
        <w:t xml:space="preserve"> bit</w:t>
      </w:r>
    </w:p>
    <w:p w14:paraId="3308795A">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3.1.7</w:t>
      </w:r>
      <w:r>
        <w:rPr>
          <w:rFonts w:ascii="微软雅黑" w:hAnsi="微软雅黑" w:eastAsia="微软雅黑" w:cs="Times New Roman"/>
          <w:bCs/>
          <w:kern w:val="2"/>
          <w:sz w:val="21"/>
          <w:szCs w:val="32"/>
          <w:lang w:val="en-US" w:eastAsia="zh-CN" w:bidi="ar-SA"/>
        </w:rPr>
        <w:t>数字化二维灰阶成像及M型显像单元</w:t>
      </w:r>
    </w:p>
    <w:p w14:paraId="7D7142C0">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3.1.8</w:t>
      </w:r>
      <w:r>
        <w:rPr>
          <w:rFonts w:hint="eastAsia" w:ascii="微软雅黑" w:hAnsi="微软雅黑" w:eastAsia="微软雅黑" w:cs="Times New Roman"/>
          <w:bCs/>
          <w:kern w:val="2"/>
          <w:sz w:val="21"/>
          <w:szCs w:val="32"/>
          <w:lang w:val="en-US" w:eastAsia="zh-CN" w:bidi="ar-SA"/>
        </w:rPr>
        <w:t>解剖M型技术≥3条取样线，可360度任意旋转</w:t>
      </w:r>
      <w:r>
        <w:rPr>
          <w:rFonts w:hint="eastAsia" w:ascii="微软雅黑" w:hAnsi="微软雅黑" w:eastAsia="微软雅黑" w:cs="Times New Roman"/>
          <w:bCs/>
          <w:kern w:val="2"/>
          <w:sz w:val="21"/>
          <w:szCs w:val="21"/>
          <w:lang w:val="en-US" w:eastAsia="zh-CN" w:bidi="ar-SA"/>
        </w:rPr>
        <w:t>，可在实时和冻结的二维图像上获取解剖M图像</w:t>
      </w:r>
      <w:r>
        <w:rPr>
          <w:rFonts w:hint="eastAsia" w:ascii="微软雅黑" w:hAnsi="微软雅黑" w:eastAsia="微软雅黑" w:cs="Times New Roman"/>
          <w:bCs/>
          <w:kern w:val="2"/>
          <w:sz w:val="21"/>
          <w:szCs w:val="32"/>
          <w:lang w:val="en-US" w:eastAsia="zh-CN" w:bidi="ar-SA"/>
        </w:rPr>
        <w:t>。</w:t>
      </w:r>
    </w:p>
    <w:p w14:paraId="0A6B2A14">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3.1.9</w:t>
      </w:r>
      <w:r>
        <w:rPr>
          <w:rFonts w:hint="eastAsia" w:ascii="微软雅黑" w:hAnsi="微软雅黑" w:eastAsia="微软雅黑" w:cs="Times New Roman"/>
          <w:bCs/>
          <w:kern w:val="2"/>
          <w:sz w:val="21"/>
          <w:szCs w:val="32"/>
          <w:lang w:val="en-US" w:eastAsia="zh-CN" w:bidi="ar-SA"/>
        </w:rPr>
        <w:t>曲线解剖</w:t>
      </w:r>
      <w:r>
        <w:rPr>
          <w:rFonts w:ascii="微软雅黑" w:hAnsi="微软雅黑" w:eastAsia="微软雅黑" w:cs="Times New Roman"/>
          <w:bCs/>
          <w:kern w:val="2"/>
          <w:sz w:val="21"/>
          <w:szCs w:val="32"/>
          <w:lang w:val="en-US" w:eastAsia="zh-CN" w:bidi="ar-SA"/>
        </w:rPr>
        <w:t>M型技术</w:t>
      </w:r>
    </w:p>
    <w:p w14:paraId="7085CF52">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3.1.10</w:t>
      </w:r>
      <w:r>
        <w:rPr>
          <w:rFonts w:ascii="微软雅黑" w:hAnsi="微软雅黑" w:eastAsia="微软雅黑" w:cs="Times New Roman"/>
          <w:bCs/>
          <w:kern w:val="2"/>
          <w:sz w:val="21"/>
          <w:szCs w:val="32"/>
          <w:lang w:val="en-US" w:eastAsia="zh-CN" w:bidi="ar-SA"/>
        </w:rPr>
        <w:t>彩色多普勒成像技术</w:t>
      </w:r>
    </w:p>
    <w:p w14:paraId="3C8A7486">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3.1.11</w:t>
      </w:r>
      <w:r>
        <w:rPr>
          <w:rFonts w:ascii="微软雅黑" w:hAnsi="微软雅黑" w:eastAsia="微软雅黑" w:cs="Times New Roman"/>
          <w:bCs/>
          <w:kern w:val="2"/>
          <w:sz w:val="21"/>
          <w:szCs w:val="32"/>
          <w:lang w:val="en-US" w:eastAsia="zh-CN" w:bidi="ar-SA"/>
        </w:rPr>
        <w:t>彩色多普勒能量图技术</w:t>
      </w:r>
    </w:p>
    <w:p w14:paraId="7D9BFE01">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3.1.12</w:t>
      </w:r>
      <w:r>
        <w:rPr>
          <w:rFonts w:ascii="微软雅黑" w:hAnsi="微软雅黑" w:eastAsia="微软雅黑" w:cs="Times New Roman"/>
          <w:bCs/>
          <w:kern w:val="2"/>
          <w:sz w:val="21"/>
          <w:szCs w:val="32"/>
          <w:lang w:val="en-US" w:eastAsia="zh-CN" w:bidi="ar-SA"/>
        </w:rPr>
        <w:t>方向性能量图技术</w:t>
      </w:r>
    </w:p>
    <w:p w14:paraId="1CC94440">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3.1.13</w:t>
      </w:r>
      <w:r>
        <w:rPr>
          <w:rFonts w:ascii="微软雅黑" w:hAnsi="微软雅黑" w:eastAsia="微软雅黑" w:cs="Times New Roman"/>
          <w:bCs/>
          <w:kern w:val="2"/>
          <w:sz w:val="21"/>
          <w:szCs w:val="32"/>
          <w:lang w:val="en-US" w:eastAsia="zh-CN" w:bidi="ar-SA"/>
        </w:rPr>
        <w:t>数字化频谱多普勒显示和分析单元(包括PW、CW和HPRF)</w:t>
      </w:r>
    </w:p>
    <w:p w14:paraId="089816C1">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3.1.14</w:t>
      </w:r>
      <w:r>
        <w:rPr>
          <w:rFonts w:ascii="微软雅黑" w:hAnsi="微软雅黑" w:eastAsia="微软雅黑" w:cs="Times New Roman"/>
          <w:bCs/>
          <w:kern w:val="2"/>
          <w:sz w:val="21"/>
          <w:szCs w:val="32"/>
          <w:lang w:val="en-US" w:eastAsia="zh-CN" w:bidi="ar-SA"/>
        </w:rPr>
        <w:t>智能化一键图像优化技术</w:t>
      </w:r>
      <w:r>
        <w:rPr>
          <w:rFonts w:hint="eastAsia" w:ascii="微软雅黑" w:hAnsi="微软雅黑" w:eastAsia="微软雅黑" w:cs="Times New Roman"/>
          <w:bCs/>
          <w:kern w:val="2"/>
          <w:sz w:val="21"/>
          <w:szCs w:val="32"/>
          <w:lang w:val="en-US" w:eastAsia="zh-CN" w:bidi="ar-SA"/>
        </w:rPr>
        <w:t>，自动连续优化图像，具备</w:t>
      </w:r>
      <w:r>
        <w:rPr>
          <w:rFonts w:ascii="微软雅黑" w:hAnsi="微软雅黑" w:eastAsia="微软雅黑" w:cs="Times New Roman"/>
          <w:bCs/>
          <w:kern w:val="2"/>
          <w:sz w:val="21"/>
          <w:szCs w:val="32"/>
          <w:lang w:val="en-US" w:eastAsia="zh-CN" w:bidi="ar-SA"/>
        </w:rPr>
        <w:t>独立按键</w:t>
      </w:r>
      <w:r>
        <w:rPr>
          <w:rFonts w:hint="eastAsia" w:ascii="微软雅黑" w:hAnsi="微软雅黑" w:eastAsia="微软雅黑" w:cs="Times New Roman"/>
          <w:bCs/>
          <w:kern w:val="2"/>
          <w:sz w:val="21"/>
          <w:szCs w:val="32"/>
          <w:lang w:val="en-US" w:eastAsia="zh-CN" w:bidi="ar-SA"/>
        </w:rPr>
        <w:t>。可支持对二维灰阶、彩色多普勒、频谱多普勒、及造影图像的优化。</w:t>
      </w:r>
    </w:p>
    <w:p w14:paraId="405F9022">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3.1.15</w:t>
      </w:r>
      <w:r>
        <w:rPr>
          <w:rFonts w:ascii="微软雅黑" w:hAnsi="微软雅黑" w:eastAsia="微软雅黑" w:cs="Times New Roman"/>
          <w:bCs/>
          <w:kern w:val="2"/>
          <w:sz w:val="21"/>
          <w:szCs w:val="32"/>
          <w:lang w:val="en-US" w:eastAsia="zh-CN" w:bidi="ar-SA"/>
        </w:rPr>
        <w:t>空间复合成像技术，支持彩色多普勒模式</w:t>
      </w:r>
    </w:p>
    <w:p w14:paraId="69F2B61B">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3.1.16</w:t>
      </w:r>
      <w:r>
        <w:rPr>
          <w:rFonts w:hint="eastAsia" w:ascii="微软雅黑" w:hAnsi="微软雅黑" w:eastAsia="微软雅黑" w:cs="Times New Roman"/>
          <w:bCs/>
          <w:kern w:val="2"/>
          <w:sz w:val="21"/>
          <w:szCs w:val="32"/>
          <w:lang w:val="en-US" w:eastAsia="zh-CN" w:bidi="ar-SA"/>
        </w:rPr>
        <w:t>斑点</w:t>
      </w:r>
      <w:r>
        <w:rPr>
          <w:rFonts w:ascii="微软雅黑" w:hAnsi="微软雅黑" w:eastAsia="微软雅黑" w:cs="Times New Roman"/>
          <w:bCs/>
          <w:kern w:val="2"/>
          <w:sz w:val="21"/>
          <w:szCs w:val="32"/>
          <w:lang w:val="en-US" w:eastAsia="zh-CN" w:bidi="ar-SA"/>
        </w:rPr>
        <w:t>噪声抑制技术，</w:t>
      </w:r>
      <w:r>
        <w:rPr>
          <w:rFonts w:hint="eastAsia" w:ascii="微软雅黑" w:hAnsi="微软雅黑" w:eastAsia="微软雅黑" w:cs="Times New Roman"/>
          <w:bCs/>
          <w:kern w:val="2"/>
          <w:sz w:val="21"/>
          <w:szCs w:val="32"/>
          <w:lang w:val="en-US" w:eastAsia="zh-CN" w:bidi="ar-SA"/>
        </w:rPr>
        <w:t>在二维图像，造影成像模式及三维成像下可支持≥</w:t>
      </w:r>
      <w:r>
        <w:rPr>
          <w:rFonts w:ascii="微软雅黑" w:hAnsi="微软雅黑" w:eastAsia="微软雅黑" w:cs="Times New Roman"/>
          <w:bCs/>
          <w:kern w:val="2"/>
          <w:sz w:val="21"/>
          <w:szCs w:val="32"/>
          <w:lang w:val="en-US" w:eastAsia="zh-CN" w:bidi="ar-SA"/>
        </w:rPr>
        <w:t>7档调节</w:t>
      </w:r>
      <w:r>
        <w:rPr>
          <w:rFonts w:hint="eastAsia" w:ascii="微软雅黑" w:hAnsi="微软雅黑" w:eastAsia="微软雅黑" w:cs="Times New Roman"/>
          <w:bCs/>
          <w:kern w:val="2"/>
          <w:sz w:val="21"/>
          <w:szCs w:val="32"/>
          <w:lang w:val="en-US" w:eastAsia="zh-CN" w:bidi="ar-SA"/>
        </w:rPr>
        <w:t>。</w:t>
      </w:r>
    </w:p>
    <w:p w14:paraId="25A93038">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3.1.17</w:t>
      </w:r>
      <w:r>
        <w:rPr>
          <w:rFonts w:ascii="微软雅黑" w:hAnsi="微软雅黑" w:eastAsia="微软雅黑" w:cs="Times New Roman"/>
          <w:bCs/>
          <w:kern w:val="2"/>
          <w:sz w:val="21"/>
          <w:szCs w:val="32"/>
          <w:lang w:val="en-US" w:eastAsia="zh-CN" w:bidi="ar-SA"/>
        </w:rPr>
        <w:t>具备自动血流跟踪技术，</w:t>
      </w:r>
      <w:r>
        <w:rPr>
          <w:rFonts w:hint="eastAsia" w:ascii="微软雅黑" w:hAnsi="微软雅黑" w:eastAsia="微软雅黑" w:cs="Times New Roman"/>
          <w:bCs/>
          <w:kern w:val="2"/>
          <w:sz w:val="21"/>
          <w:szCs w:val="32"/>
          <w:lang w:val="en-US" w:eastAsia="zh-CN" w:bidi="ar-SA"/>
        </w:rPr>
        <w:t>可以实现</w:t>
      </w:r>
      <w:r>
        <w:rPr>
          <w:rFonts w:ascii="微软雅黑" w:hAnsi="微软雅黑" w:eastAsia="微软雅黑" w:cs="Times New Roman"/>
          <w:bCs/>
          <w:kern w:val="2"/>
          <w:sz w:val="21"/>
          <w:szCs w:val="32"/>
          <w:lang w:val="en-US" w:eastAsia="zh-CN" w:bidi="ar-SA"/>
        </w:rPr>
        <w:t>ROI框位置和角度的自动优化，提供Color/Power模式下彩色血流/能量图像的实时动态优化</w:t>
      </w:r>
    </w:p>
    <w:p w14:paraId="3625EC52">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3.1.18</w:t>
      </w:r>
      <w:r>
        <w:rPr>
          <w:rFonts w:hint="eastAsia" w:ascii="微软雅黑" w:hAnsi="微软雅黑" w:eastAsia="微软雅黑" w:cs="微软雅黑"/>
          <w:bCs/>
          <w:color w:val="auto"/>
          <w:kern w:val="2"/>
          <w:sz w:val="21"/>
          <w:szCs w:val="32"/>
          <w:lang w:val="en-US" w:eastAsia="zh-CN" w:bidi="ar-SA"/>
        </w:rPr>
        <w:t>★</w:t>
      </w:r>
      <w:r>
        <w:rPr>
          <w:rFonts w:ascii="微软雅黑" w:hAnsi="微软雅黑" w:eastAsia="微软雅黑" w:cs="Times New Roman"/>
          <w:bCs/>
          <w:color w:val="auto"/>
          <w:kern w:val="2"/>
          <w:sz w:val="21"/>
          <w:szCs w:val="32"/>
          <w:lang w:val="en-US" w:eastAsia="zh-CN" w:bidi="ar-SA"/>
        </w:rPr>
        <w:t>穿刺针增强技术，凸阵和线阵探头均可支持，具有双屏实时对比显示（增强前后效果），并支持自适应校正角度</w:t>
      </w:r>
    </w:p>
    <w:p w14:paraId="2ED1C877">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3.1.19</w:t>
      </w:r>
      <w:r>
        <w:rPr>
          <w:rFonts w:ascii="微软雅黑" w:hAnsi="微软雅黑" w:eastAsia="微软雅黑" w:cs="Times New Roman"/>
          <w:bCs/>
          <w:kern w:val="2"/>
          <w:sz w:val="21"/>
          <w:szCs w:val="32"/>
          <w:lang w:val="en-US" w:eastAsia="zh-CN" w:bidi="ar-SA"/>
        </w:rPr>
        <w:t>图像放大，支持高清放大和全局放大、局部放大</w:t>
      </w:r>
      <w:r>
        <w:rPr>
          <w:rFonts w:hint="eastAsia" w:ascii="微软雅黑" w:hAnsi="微软雅黑" w:eastAsia="微软雅黑" w:cs="Times New Roman"/>
          <w:bCs/>
          <w:kern w:val="2"/>
          <w:sz w:val="21"/>
          <w:szCs w:val="32"/>
          <w:lang w:val="en-US" w:eastAsia="zh-CN" w:bidi="ar-SA"/>
        </w:rPr>
        <w:t>，放大倍数≥</w:t>
      </w:r>
      <w:r>
        <w:rPr>
          <w:rFonts w:ascii="微软雅黑" w:hAnsi="微软雅黑" w:eastAsia="微软雅黑" w:cs="Times New Roman"/>
          <w:bCs/>
          <w:kern w:val="2"/>
          <w:sz w:val="21"/>
          <w:szCs w:val="32"/>
          <w:lang w:val="en-US" w:eastAsia="zh-CN" w:bidi="ar-SA"/>
        </w:rPr>
        <w:t>16倍;支持≥2种放大全屏放大模式</w:t>
      </w:r>
      <w:r>
        <w:rPr>
          <w:rFonts w:hint="eastAsia" w:ascii="微软雅黑" w:hAnsi="微软雅黑" w:eastAsia="微软雅黑" w:cs="Times New Roman"/>
          <w:bCs/>
          <w:kern w:val="2"/>
          <w:sz w:val="21"/>
          <w:szCs w:val="32"/>
          <w:lang w:val="en-US" w:eastAsia="zh-CN" w:bidi="ar-SA"/>
        </w:rPr>
        <w:t>。</w:t>
      </w:r>
    </w:p>
    <w:p w14:paraId="0EE04D40">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3.1.20</w:t>
      </w:r>
      <w:r>
        <w:rPr>
          <w:rFonts w:hint="eastAsia" w:ascii="微软雅黑" w:hAnsi="微软雅黑" w:eastAsia="微软雅黑" w:cs="Times New Roman"/>
          <w:bCs/>
          <w:kern w:val="2"/>
          <w:sz w:val="21"/>
          <w:szCs w:val="32"/>
          <w:lang w:val="en-US" w:eastAsia="zh-CN" w:bidi="ar-SA"/>
        </w:rPr>
        <w:t>支持</w:t>
      </w:r>
      <w:r>
        <w:rPr>
          <w:rFonts w:ascii="微软雅黑" w:hAnsi="微软雅黑" w:eastAsia="微软雅黑" w:cs="Times New Roman"/>
          <w:bCs/>
          <w:kern w:val="2"/>
          <w:sz w:val="21"/>
          <w:szCs w:val="32"/>
          <w:lang w:val="en-US" w:eastAsia="zh-CN" w:bidi="ar-SA"/>
        </w:rPr>
        <w:t>线阵探头双B图像拼接</w:t>
      </w:r>
    </w:p>
    <w:p w14:paraId="78BF04C3">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3.1.21</w:t>
      </w:r>
      <w:r>
        <w:rPr>
          <w:rFonts w:hint="eastAsia" w:ascii="微软雅黑" w:hAnsi="微软雅黑" w:eastAsia="微软雅黑" w:cs="微软雅黑"/>
          <w:bCs/>
          <w:color w:val="auto"/>
          <w:kern w:val="2"/>
          <w:sz w:val="21"/>
          <w:szCs w:val="32"/>
          <w:lang w:val="en-US" w:eastAsia="zh-CN" w:bidi="ar-SA"/>
        </w:rPr>
        <w:t>★</w:t>
      </w:r>
      <w:r>
        <w:rPr>
          <w:rFonts w:hint="eastAsia" w:ascii="微软雅黑" w:hAnsi="微软雅黑" w:eastAsia="微软雅黑" w:cs="Times New Roman"/>
          <w:bCs/>
          <w:color w:val="auto"/>
          <w:kern w:val="2"/>
          <w:sz w:val="21"/>
          <w:szCs w:val="32"/>
          <w:lang w:val="en-US" w:eastAsia="zh-CN" w:bidi="ar-SA"/>
        </w:rPr>
        <w:t>Smart HRI 自动肝肾比测量</w:t>
      </w:r>
    </w:p>
    <w:p w14:paraId="5C8F3D5B">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3.1.22</w:t>
      </w:r>
      <w:r>
        <w:rPr>
          <w:rFonts w:ascii="微软雅黑" w:hAnsi="微软雅黑" w:eastAsia="微软雅黑" w:cs="Times New Roman"/>
          <w:bCs/>
          <w:kern w:val="2"/>
          <w:sz w:val="21"/>
          <w:szCs w:val="32"/>
          <w:lang w:val="en-US" w:eastAsia="zh-CN" w:bidi="ar-SA"/>
        </w:rPr>
        <w:t>声功率可调，可实时显示MI/TI（TIB，TIC，TIS）</w:t>
      </w:r>
    </w:p>
    <w:p w14:paraId="1D113794">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3.1.23</w:t>
      </w:r>
      <w:r>
        <w:rPr>
          <w:rFonts w:hint="eastAsia" w:ascii="微软雅黑" w:hAnsi="微软雅黑" w:eastAsia="微软雅黑" w:cs="Times New Roman"/>
          <w:bCs/>
          <w:kern w:val="2"/>
          <w:sz w:val="21"/>
          <w:szCs w:val="32"/>
          <w:lang w:val="en-US" w:eastAsia="zh-CN" w:bidi="ar-SA"/>
        </w:rPr>
        <w:t>具备</w:t>
      </w:r>
      <w:r>
        <w:rPr>
          <w:rFonts w:ascii="微软雅黑" w:hAnsi="微软雅黑" w:eastAsia="微软雅黑" w:cs="Times New Roman"/>
          <w:bCs/>
          <w:kern w:val="2"/>
          <w:sz w:val="21"/>
          <w:szCs w:val="32"/>
          <w:lang w:val="en-US" w:eastAsia="zh-CN" w:bidi="ar-SA"/>
        </w:rPr>
        <w:t>腹部、浅表、心脏模式自动工作流协议，支持定制化模板，在检查过程中可按照协议自动注释，自动标记体位图，自动切换图像模式等</w:t>
      </w:r>
    </w:p>
    <w:p w14:paraId="44FCBD29">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3.1.24</w:t>
      </w:r>
      <w:r>
        <w:rPr>
          <w:rFonts w:hint="eastAsia" w:ascii="微软雅黑" w:hAnsi="微软雅黑" w:eastAsia="微软雅黑" w:cs="Times New Roman"/>
          <w:bCs/>
          <w:kern w:val="2"/>
          <w:sz w:val="21"/>
          <w:szCs w:val="32"/>
          <w:lang w:val="en-US" w:eastAsia="zh-CN" w:bidi="ar-SA"/>
        </w:rPr>
        <w:t>具备</w:t>
      </w:r>
      <w:r>
        <w:rPr>
          <w:rFonts w:ascii="微软雅黑" w:hAnsi="微软雅黑" w:eastAsia="微软雅黑" w:cs="Times New Roman"/>
          <w:bCs/>
          <w:kern w:val="2"/>
          <w:sz w:val="21"/>
          <w:szCs w:val="32"/>
          <w:lang w:val="en-US" w:eastAsia="zh-CN" w:bidi="ar-SA"/>
        </w:rPr>
        <w:t>语音注释，可将语音注释信息保存到电影文件中，支持在超声设备或是在PC端回放语音注释</w:t>
      </w:r>
    </w:p>
    <w:p w14:paraId="604D16CA">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3.1.25</w:t>
      </w:r>
      <w:r>
        <w:rPr>
          <w:rFonts w:hint="eastAsia" w:ascii="微软雅黑" w:hAnsi="微软雅黑" w:eastAsia="微软雅黑" w:cs="Times New Roman"/>
          <w:bCs/>
          <w:kern w:val="2"/>
          <w:sz w:val="21"/>
          <w:szCs w:val="32"/>
          <w:lang w:val="en-US" w:eastAsia="zh-CN" w:bidi="ar-SA"/>
        </w:rPr>
        <w:t>具备</w:t>
      </w:r>
      <w:r>
        <w:rPr>
          <w:rFonts w:ascii="微软雅黑" w:hAnsi="微软雅黑" w:eastAsia="微软雅黑" w:cs="Times New Roman"/>
          <w:bCs/>
          <w:kern w:val="2"/>
          <w:sz w:val="21"/>
          <w:szCs w:val="32"/>
          <w:lang w:val="en-US" w:eastAsia="zh-CN" w:bidi="ar-SA"/>
        </w:rPr>
        <w:t>超声远程会诊系统，该系统需具备单独远程超声会诊系统注册证及信息安全等级保护三级证书</w:t>
      </w:r>
    </w:p>
    <w:p w14:paraId="61C68947">
      <w:pPr>
        <w:snapToGrid w:val="0"/>
        <w:ind w:left="0" w:leftChars="0" w:firstLine="420" w:firstLineChars="200"/>
        <w:rPr>
          <w:rFonts w:ascii="微软雅黑" w:hAnsi="微软雅黑" w:eastAsia="微软雅黑" w:cs="Times New Roman"/>
          <w:kern w:val="2"/>
          <w:sz w:val="21"/>
          <w:szCs w:val="24"/>
        </w:rPr>
      </w:pPr>
      <w:r>
        <w:rPr>
          <w:rFonts w:hint="eastAsia" w:ascii="微软雅黑" w:hAnsi="微软雅黑" w:eastAsia="微软雅黑" w:cs="Times New Roman"/>
          <w:kern w:val="2"/>
          <w:sz w:val="21"/>
          <w:szCs w:val="24"/>
          <w:lang w:val="en-US" w:eastAsia="zh-CN"/>
        </w:rPr>
        <w:t xml:space="preserve">3.1.26 </w:t>
      </w:r>
      <w:r>
        <w:rPr>
          <w:rFonts w:ascii="微软雅黑" w:hAnsi="微软雅黑" w:eastAsia="微软雅黑" w:cs="Times New Roman"/>
          <w:kern w:val="2"/>
          <w:sz w:val="21"/>
          <w:szCs w:val="24"/>
        </w:rPr>
        <w:t>所投机型为2022年</w:t>
      </w:r>
      <w:r>
        <w:rPr>
          <w:rFonts w:hint="eastAsia" w:ascii="微软雅黑" w:hAnsi="微软雅黑" w:eastAsia="微软雅黑" w:cs="Times New Roman"/>
          <w:kern w:val="2"/>
          <w:sz w:val="21"/>
          <w:szCs w:val="24"/>
        </w:rPr>
        <w:t>及</w:t>
      </w:r>
      <w:r>
        <w:rPr>
          <w:rFonts w:ascii="微软雅黑" w:hAnsi="微软雅黑" w:eastAsia="微软雅黑" w:cs="Times New Roman"/>
          <w:kern w:val="2"/>
          <w:sz w:val="21"/>
          <w:szCs w:val="24"/>
        </w:rPr>
        <w:t>以后</w:t>
      </w:r>
      <w:r>
        <w:rPr>
          <w:rFonts w:hint="eastAsia" w:ascii="微软雅黑" w:hAnsi="微软雅黑" w:eastAsia="微软雅黑" w:cs="Times New Roman"/>
          <w:kern w:val="2"/>
          <w:sz w:val="21"/>
          <w:szCs w:val="24"/>
        </w:rPr>
        <w:t>推出</w:t>
      </w:r>
      <w:r>
        <w:rPr>
          <w:rFonts w:ascii="微软雅黑" w:hAnsi="微软雅黑" w:eastAsia="微软雅黑" w:cs="Times New Roman"/>
          <w:kern w:val="2"/>
          <w:sz w:val="21"/>
          <w:szCs w:val="24"/>
        </w:rPr>
        <w:t>最新机型并具备持续升级能力</w:t>
      </w:r>
      <w:r>
        <w:rPr>
          <w:rFonts w:hint="eastAsia" w:ascii="微软雅黑" w:hAnsi="微软雅黑" w:eastAsia="微软雅黑" w:cs="Times New Roman"/>
          <w:kern w:val="2"/>
          <w:sz w:val="21"/>
          <w:szCs w:val="24"/>
        </w:rPr>
        <w:t>。</w:t>
      </w:r>
    </w:p>
    <w:p w14:paraId="2F3281B1">
      <w:pPr>
        <w:numPr>
          <w:ilvl w:val="0"/>
          <w:numId w:val="0"/>
        </w:numPr>
        <w:snapToGrid w:val="0"/>
        <w:ind w:left="284" w:leftChars="0" w:firstLine="0" w:firstLineChars="0"/>
        <w:outlineLvl w:val="1"/>
        <w:rPr>
          <w:rFonts w:ascii="微软雅黑" w:hAnsi="微软雅黑" w:eastAsia="微软雅黑" w:cs="Times New Roman"/>
          <w:b/>
          <w:bCs/>
          <w:color w:val="auto"/>
          <w:kern w:val="2"/>
          <w:sz w:val="21"/>
          <w:szCs w:val="32"/>
          <w:shd w:val="clear" w:color="auto" w:fill="FFFFFF"/>
          <w:lang w:val="en-US" w:eastAsia="zh-CN" w:bidi="ar-SA"/>
        </w:rPr>
      </w:pPr>
      <w:r>
        <w:rPr>
          <w:rFonts w:hint="eastAsia" w:ascii="微软雅黑" w:hAnsi="微软雅黑" w:eastAsia="微软雅黑" w:cs="Times New Roman"/>
          <w:b/>
          <w:bCs/>
          <w:color w:val="auto"/>
          <w:spacing w:val="0"/>
          <w:w w:val="100"/>
          <w:kern w:val="21"/>
          <w:position w:val="0"/>
          <w:sz w:val="21"/>
          <w:szCs w:val="32"/>
          <w:shd w:val="clear" w:fill="FFFFFF"/>
          <w:lang w:val="en-US" w:eastAsia="zh-CN" w:bidi="ar-SA"/>
        </w:rPr>
        <w:t>3.2</w:t>
      </w:r>
      <w:r>
        <w:rPr>
          <w:rFonts w:ascii="微软雅黑" w:hAnsi="微软雅黑" w:eastAsia="微软雅黑" w:cs="Times New Roman"/>
          <w:b/>
          <w:bCs/>
          <w:color w:val="auto"/>
          <w:kern w:val="2"/>
          <w:sz w:val="21"/>
          <w:szCs w:val="32"/>
          <w:shd w:val="clear" w:color="auto" w:fill="FFFFFF"/>
          <w:lang w:val="en-US" w:eastAsia="zh-CN" w:bidi="ar-SA"/>
        </w:rPr>
        <w:t>先进成像技术：</w:t>
      </w:r>
    </w:p>
    <w:p w14:paraId="364DD5E6">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3.2.1</w:t>
      </w:r>
      <w:r>
        <w:rPr>
          <w:rFonts w:hint="eastAsia" w:ascii="微软雅黑" w:hAnsi="微软雅黑" w:eastAsia="微软雅黑" w:cs="微软雅黑"/>
          <w:bCs/>
          <w:color w:val="auto"/>
          <w:kern w:val="2"/>
          <w:sz w:val="21"/>
          <w:szCs w:val="32"/>
          <w:lang w:val="en-US" w:eastAsia="zh-CN" w:bidi="ar-SA"/>
        </w:rPr>
        <w:t>★</w:t>
      </w:r>
      <w:r>
        <w:rPr>
          <w:rFonts w:ascii="微软雅黑" w:hAnsi="微软雅黑" w:eastAsia="微软雅黑" w:cs="Times New Roman"/>
          <w:bCs/>
          <w:color w:val="auto"/>
          <w:kern w:val="2"/>
          <w:sz w:val="21"/>
          <w:szCs w:val="32"/>
          <w:lang w:val="en-US" w:eastAsia="zh-CN" w:bidi="ar-SA"/>
        </w:rPr>
        <w:t>造影成像技术</w:t>
      </w:r>
      <w:r>
        <w:rPr>
          <w:rFonts w:hint="eastAsia" w:ascii="微软雅黑" w:hAnsi="微软雅黑" w:eastAsia="微软雅黑" w:cs="Times New Roman"/>
          <w:bCs/>
          <w:color w:val="auto"/>
          <w:kern w:val="2"/>
          <w:sz w:val="21"/>
          <w:szCs w:val="32"/>
          <w:lang w:val="en-US" w:eastAsia="zh-CN" w:bidi="ar-SA"/>
        </w:rPr>
        <w:t>及造影定量分析功能</w:t>
      </w:r>
    </w:p>
    <w:p w14:paraId="00522B6A">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1)</w:t>
      </w:r>
      <w:r>
        <w:rPr>
          <w:rFonts w:hint="eastAsia" w:ascii="微软雅黑" w:hAnsi="微软雅黑" w:eastAsia="微软雅黑" w:cs="Times New Roman"/>
          <w:kern w:val="2"/>
          <w:sz w:val="21"/>
          <w:szCs w:val="24"/>
        </w:rPr>
        <w:t>可支持多种探头：凸阵探头、线阵探头，腔内探头，心脏探头、容积探头</w:t>
      </w:r>
    </w:p>
    <w:p w14:paraId="2B8B1824">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2)</w:t>
      </w:r>
      <w:r>
        <w:rPr>
          <w:rFonts w:hint="eastAsia" w:ascii="微软雅黑" w:hAnsi="微软雅黑" w:eastAsia="微软雅黑" w:cs="Times New Roman"/>
          <w:kern w:val="2"/>
          <w:sz w:val="21"/>
          <w:szCs w:val="24"/>
        </w:rPr>
        <w:t>支持微血管造影增强功能</w:t>
      </w:r>
    </w:p>
    <w:p w14:paraId="35CA2056">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3)</w:t>
      </w:r>
      <w:r>
        <w:rPr>
          <w:rFonts w:hint="eastAsia" w:ascii="微软雅黑" w:hAnsi="微软雅黑" w:eastAsia="微软雅黑" w:cs="Times New Roman"/>
          <w:kern w:val="2"/>
          <w:sz w:val="21"/>
          <w:szCs w:val="24"/>
        </w:rPr>
        <w:t>双计时器</w:t>
      </w:r>
    </w:p>
    <w:p w14:paraId="2085E908">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4)</w:t>
      </w:r>
      <w:r>
        <w:rPr>
          <w:rFonts w:hint="eastAsia" w:ascii="微软雅黑" w:hAnsi="微软雅黑" w:eastAsia="微软雅黑" w:cs="Times New Roman"/>
          <w:kern w:val="2"/>
          <w:sz w:val="21"/>
          <w:szCs w:val="24"/>
        </w:rPr>
        <w:t>具备向后存储，≥</w:t>
      </w:r>
      <w:r>
        <w:rPr>
          <w:rFonts w:ascii="微软雅黑" w:hAnsi="微软雅黑" w:eastAsia="微软雅黑" w:cs="Times New Roman"/>
          <w:kern w:val="2"/>
          <w:sz w:val="21"/>
          <w:szCs w:val="24"/>
        </w:rPr>
        <w:t>6分钟电影；支持向前存储</w:t>
      </w:r>
    </w:p>
    <w:p w14:paraId="76197A01">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5)</w:t>
      </w:r>
      <w:r>
        <w:rPr>
          <w:rFonts w:hint="eastAsia" w:ascii="微软雅黑" w:hAnsi="微软雅黑" w:eastAsia="微软雅黑" w:cs="Times New Roman"/>
          <w:kern w:val="2"/>
          <w:sz w:val="21"/>
          <w:szCs w:val="24"/>
        </w:rPr>
        <w:t>具备混合模式</w:t>
      </w:r>
    </w:p>
    <w:p w14:paraId="0960C81E">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6)</w:t>
      </w:r>
      <w:r>
        <w:rPr>
          <w:rFonts w:hint="eastAsia" w:ascii="微软雅黑" w:hAnsi="微软雅黑" w:eastAsia="微软雅黑" w:cs="Times New Roman"/>
          <w:kern w:val="2"/>
          <w:sz w:val="21"/>
          <w:szCs w:val="24"/>
        </w:rPr>
        <w:t>支持造影图像和组织图像位置互换</w:t>
      </w:r>
    </w:p>
    <w:p w14:paraId="51336175">
      <w:pPr>
        <w:numPr>
          <w:ilvl w:val="0"/>
          <w:numId w:val="0"/>
        </w:numPr>
        <w:snapToGrid w:val="0"/>
        <w:ind w:firstLine="840" w:firstLineChars="40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7)</w:t>
      </w:r>
      <w:r>
        <w:rPr>
          <w:rFonts w:hint="eastAsia" w:ascii="微软雅黑" w:hAnsi="微软雅黑" w:eastAsia="微软雅黑" w:cs="Times New Roman"/>
          <w:kern w:val="2"/>
          <w:sz w:val="21"/>
          <w:szCs w:val="24"/>
        </w:rPr>
        <w:t>造影定量分析：取样点可跟踪感兴趣区运动、提供</w:t>
      </w:r>
      <w:r>
        <w:rPr>
          <w:rFonts w:ascii="微软雅黑" w:hAnsi="微软雅黑" w:eastAsia="微软雅黑" w:cs="Times New Roman"/>
          <w:kern w:val="2"/>
          <w:sz w:val="21"/>
          <w:szCs w:val="24"/>
        </w:rPr>
        <w:t>TIC时间强度曲线分析、可选择原始曲线和拟合曲线、具有表格报告分析</w:t>
      </w:r>
    </w:p>
    <w:p w14:paraId="754BF4F0">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color w:val="auto"/>
          <w:kern w:val="2"/>
          <w:sz w:val="21"/>
          <w:szCs w:val="24"/>
          <w:lang w:val="en-US" w:eastAsia="zh-CN" w:bidi="ar-SA"/>
        </w:rPr>
        <w:t>8)</w:t>
      </w:r>
      <w:r>
        <w:rPr>
          <w:rFonts w:hint="eastAsia" w:ascii="微软雅黑" w:hAnsi="微软雅黑" w:eastAsia="微软雅黑" w:cs="Times New Roman"/>
          <w:kern w:val="2"/>
          <w:sz w:val="21"/>
          <w:szCs w:val="24"/>
        </w:rPr>
        <w:t>支持左心室造影</w:t>
      </w:r>
    </w:p>
    <w:p w14:paraId="7AB673AB">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3.2.2</w:t>
      </w:r>
      <w:r>
        <w:rPr>
          <w:rFonts w:hint="eastAsia" w:ascii="微软雅黑" w:hAnsi="微软雅黑" w:eastAsia="微软雅黑" w:cs="微软雅黑"/>
          <w:bCs/>
          <w:color w:val="auto"/>
          <w:kern w:val="2"/>
          <w:sz w:val="21"/>
          <w:szCs w:val="32"/>
          <w:lang w:val="en-US" w:eastAsia="zh-CN" w:bidi="ar-SA"/>
        </w:rPr>
        <w:t>★</w:t>
      </w:r>
      <w:r>
        <w:rPr>
          <w:rFonts w:hint="eastAsia" w:ascii="微软雅黑" w:hAnsi="微软雅黑" w:eastAsia="微软雅黑" w:cs="Times New Roman"/>
          <w:bCs/>
          <w:color w:val="auto"/>
          <w:kern w:val="2"/>
          <w:sz w:val="21"/>
          <w:szCs w:val="32"/>
          <w:lang w:val="en-US" w:eastAsia="zh-CN" w:bidi="ar-SA"/>
        </w:rPr>
        <w:t>应变式</w:t>
      </w:r>
      <w:r>
        <w:rPr>
          <w:rFonts w:ascii="微软雅黑" w:hAnsi="微软雅黑" w:eastAsia="微软雅黑" w:cs="Times New Roman"/>
          <w:bCs/>
          <w:color w:val="auto"/>
          <w:kern w:val="2"/>
          <w:sz w:val="21"/>
          <w:szCs w:val="32"/>
          <w:lang w:val="en-US" w:eastAsia="zh-CN" w:bidi="ar-SA"/>
        </w:rPr>
        <w:t>弹性成像技术</w:t>
      </w:r>
    </w:p>
    <w:p w14:paraId="3BB5DADC">
      <w:pPr>
        <w:numPr>
          <w:ilvl w:val="0"/>
          <w:numId w:val="5"/>
        </w:numPr>
        <w:snapToGrid w:val="0"/>
        <w:ind w:left="1260" w:leftChars="0" w:hanging="420"/>
        <w:rPr>
          <w:rFonts w:ascii="微软雅黑" w:hAnsi="微软雅黑" w:eastAsia="微软雅黑" w:cs="Times New Roman"/>
          <w:kern w:val="2"/>
          <w:sz w:val="21"/>
          <w:szCs w:val="24"/>
        </w:rPr>
      </w:pPr>
      <w:r>
        <w:rPr>
          <w:rFonts w:hint="eastAsia" w:ascii="微软雅黑" w:hAnsi="微软雅黑" w:eastAsia="微软雅黑" w:cs="微软雅黑"/>
          <w:kern w:val="2"/>
          <w:sz w:val="21"/>
          <w:szCs w:val="24"/>
        </w:rPr>
        <w:t>★</w:t>
      </w:r>
      <w:r>
        <w:rPr>
          <w:rFonts w:hint="eastAsia" w:ascii="微软雅黑" w:hAnsi="微软雅黑" w:eastAsia="微软雅黑" w:cs="微软雅黑"/>
          <w:kern w:val="2"/>
          <w:sz w:val="21"/>
          <w:szCs w:val="24"/>
          <w:lang w:val="en-US" w:eastAsia="zh-CN"/>
        </w:rPr>
        <w:t>可</w:t>
      </w:r>
      <w:r>
        <w:rPr>
          <w:rFonts w:ascii="微软雅黑" w:hAnsi="微软雅黑" w:eastAsia="微软雅黑" w:cs="Times New Roman"/>
          <w:kern w:val="2"/>
          <w:sz w:val="21"/>
          <w:szCs w:val="24"/>
        </w:rPr>
        <w:t>支持探头：线阵探头、腔内探头、容积探头</w:t>
      </w:r>
      <w:r>
        <w:rPr>
          <w:rFonts w:hint="eastAsia" w:ascii="微软雅黑" w:hAnsi="微软雅黑" w:eastAsia="微软雅黑" w:cs="Times New Roman"/>
          <w:kern w:val="2"/>
          <w:sz w:val="21"/>
          <w:szCs w:val="24"/>
        </w:rPr>
        <w:t>。</w:t>
      </w:r>
    </w:p>
    <w:p w14:paraId="62345A15">
      <w:pPr>
        <w:numPr>
          <w:ilvl w:val="0"/>
          <w:numId w:val="5"/>
        </w:numPr>
        <w:snapToGrid w:val="0"/>
        <w:ind w:left="1260" w:leftChars="0" w:hanging="420"/>
        <w:rPr>
          <w:rFonts w:ascii="微软雅黑" w:hAnsi="微软雅黑" w:eastAsia="微软雅黑" w:cs="Times New Roman"/>
          <w:kern w:val="2"/>
          <w:sz w:val="21"/>
          <w:szCs w:val="24"/>
        </w:rPr>
      </w:pPr>
      <w:r>
        <w:rPr>
          <w:rFonts w:hint="eastAsia" w:ascii="微软雅黑" w:hAnsi="微软雅黑" w:eastAsia="微软雅黑" w:cs="Times New Roman"/>
          <w:kern w:val="2"/>
          <w:sz w:val="21"/>
          <w:szCs w:val="24"/>
        </w:rPr>
        <w:t>具备组织硬度定量分析软件</w:t>
      </w:r>
      <w:r>
        <w:rPr>
          <w:rFonts w:hint="eastAsia" w:ascii="微软雅黑" w:hAnsi="微软雅黑" w:eastAsia="微软雅黑" w:cs="Times New Roman"/>
          <w:kern w:val="2"/>
          <w:sz w:val="21"/>
          <w:szCs w:val="21"/>
        </w:rPr>
        <w:t>，支持应变、应变率和应变直方图的测量</w:t>
      </w:r>
    </w:p>
    <w:p w14:paraId="5F62236A">
      <w:pPr>
        <w:numPr>
          <w:ilvl w:val="0"/>
          <w:numId w:val="5"/>
        </w:numPr>
        <w:snapToGrid w:val="0"/>
        <w:ind w:left="1260" w:leftChars="0" w:hanging="420"/>
        <w:rPr>
          <w:rFonts w:ascii="微软雅黑" w:hAnsi="微软雅黑" w:eastAsia="微软雅黑" w:cs="Times New Roman"/>
          <w:kern w:val="2"/>
          <w:sz w:val="21"/>
          <w:szCs w:val="24"/>
        </w:rPr>
      </w:pPr>
      <w:r>
        <w:rPr>
          <w:rFonts w:hint="eastAsia" w:ascii="微软雅黑" w:hAnsi="微软雅黑" w:eastAsia="微软雅黑" w:cs="Times New Roman"/>
          <w:kern w:val="2"/>
          <w:sz w:val="21"/>
          <w:szCs w:val="24"/>
        </w:rPr>
        <w:t>具备肿块周边组织弹性定量分析功能</w:t>
      </w:r>
    </w:p>
    <w:p w14:paraId="75518673">
      <w:pPr>
        <w:numPr>
          <w:ilvl w:val="0"/>
          <w:numId w:val="5"/>
        </w:numPr>
        <w:snapToGrid w:val="0"/>
        <w:ind w:left="1260" w:leftChars="0" w:hanging="420"/>
        <w:rPr>
          <w:rFonts w:hint="eastAsia" w:ascii="微软雅黑" w:hAnsi="微软雅黑" w:eastAsia="微软雅黑" w:cs="Times New Roman"/>
          <w:kern w:val="2"/>
          <w:sz w:val="21"/>
          <w:szCs w:val="24"/>
        </w:rPr>
      </w:pPr>
      <w:r>
        <w:rPr>
          <w:rFonts w:hint="eastAsia" w:ascii="微软雅黑" w:hAnsi="微软雅黑" w:eastAsia="微软雅黑" w:cs="Times New Roman"/>
          <w:kern w:val="2"/>
          <w:sz w:val="21"/>
          <w:szCs w:val="21"/>
        </w:rPr>
        <w:t>具备定量测量映射分析，即在组织图测量时弹性图同步测量</w:t>
      </w:r>
    </w:p>
    <w:p w14:paraId="0E882CF2">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3.2.3</w:t>
      </w:r>
      <w:r>
        <w:rPr>
          <w:rFonts w:hint="eastAsia" w:ascii="微软雅黑" w:hAnsi="微软雅黑" w:eastAsia="微软雅黑" w:cs="微软雅黑"/>
          <w:bCs/>
          <w:color w:val="auto"/>
          <w:kern w:val="2"/>
          <w:sz w:val="21"/>
          <w:szCs w:val="32"/>
          <w:lang w:val="en-US" w:eastAsia="zh-CN" w:bidi="ar-SA"/>
        </w:rPr>
        <w:t>★</w:t>
      </w:r>
      <w:r>
        <w:rPr>
          <w:rFonts w:hint="eastAsia" w:ascii="微软雅黑" w:hAnsi="微软雅黑" w:eastAsia="微软雅黑" w:cs="Times New Roman"/>
          <w:bCs/>
          <w:color w:val="auto"/>
          <w:kern w:val="2"/>
          <w:sz w:val="21"/>
          <w:szCs w:val="32"/>
          <w:lang w:val="en-US" w:eastAsia="zh-CN" w:bidi="ar-SA"/>
        </w:rPr>
        <w:t>剪切波弹性成像</w:t>
      </w:r>
    </w:p>
    <w:p w14:paraId="5DEB777E">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kern w:val="2"/>
          <w:sz w:val="21"/>
          <w:szCs w:val="24"/>
          <w:lang w:val="en-US" w:eastAsia="zh-CN" w:bidi="ar-SA"/>
        </w:rPr>
        <w:t>1)</w:t>
      </w:r>
      <w:r>
        <w:rPr>
          <w:rFonts w:hint="eastAsia" w:ascii="微软雅黑" w:hAnsi="微软雅黑" w:eastAsia="微软雅黑" w:cs="Times New Roman"/>
          <w:kern w:val="2"/>
          <w:sz w:val="21"/>
          <w:szCs w:val="24"/>
        </w:rPr>
        <w:t>可在凸阵探头上同时实现应变式弹性及剪切波弹性成像</w:t>
      </w:r>
    </w:p>
    <w:p w14:paraId="597742A7">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kern w:val="2"/>
          <w:sz w:val="21"/>
          <w:szCs w:val="24"/>
          <w:lang w:val="en-US" w:eastAsia="zh-CN" w:bidi="ar-SA"/>
        </w:rPr>
        <w:t>2)</w:t>
      </w:r>
      <w:r>
        <w:rPr>
          <w:rFonts w:hint="eastAsia" w:ascii="微软雅黑" w:hAnsi="微软雅黑" w:eastAsia="微软雅黑" w:cs="Times New Roman"/>
          <w:kern w:val="2"/>
          <w:sz w:val="21"/>
          <w:szCs w:val="24"/>
        </w:rPr>
        <w:t>可在线阵</w:t>
      </w:r>
      <w:r>
        <w:rPr>
          <w:rFonts w:ascii="微软雅黑" w:hAnsi="微软雅黑" w:eastAsia="微软雅黑" w:cs="Times New Roman"/>
          <w:kern w:val="2"/>
          <w:sz w:val="21"/>
          <w:szCs w:val="24"/>
        </w:rPr>
        <w:t>探头上同时实现应变式弹性</w:t>
      </w:r>
      <w:r>
        <w:rPr>
          <w:rFonts w:hint="eastAsia" w:ascii="微软雅黑" w:hAnsi="微软雅黑" w:eastAsia="微软雅黑" w:cs="Times New Roman"/>
          <w:kern w:val="2"/>
          <w:sz w:val="21"/>
          <w:szCs w:val="24"/>
        </w:rPr>
        <w:t>及</w:t>
      </w:r>
      <w:r>
        <w:rPr>
          <w:rFonts w:ascii="微软雅黑" w:hAnsi="微软雅黑" w:eastAsia="微软雅黑" w:cs="Times New Roman"/>
          <w:kern w:val="2"/>
          <w:sz w:val="21"/>
          <w:szCs w:val="24"/>
        </w:rPr>
        <w:t>剪切波弹性成像</w:t>
      </w:r>
      <w:r>
        <w:rPr>
          <w:rFonts w:hint="eastAsia" w:ascii="微软雅黑" w:hAnsi="微软雅黑" w:eastAsia="微软雅黑" w:cs="Times New Roman"/>
          <w:kern w:val="2"/>
          <w:sz w:val="21"/>
          <w:szCs w:val="24"/>
        </w:rPr>
        <w:t>。</w:t>
      </w:r>
    </w:p>
    <w:p w14:paraId="25CA99D5">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kern w:val="2"/>
          <w:sz w:val="21"/>
          <w:szCs w:val="24"/>
          <w:lang w:val="en-US" w:eastAsia="zh-CN" w:bidi="ar-SA"/>
        </w:rPr>
        <w:t>3)</w:t>
      </w:r>
      <w:r>
        <w:rPr>
          <w:rFonts w:hint="eastAsia" w:ascii="微软雅黑" w:hAnsi="微软雅黑" w:eastAsia="微软雅黑" w:cs="Times New Roman"/>
          <w:kern w:val="2"/>
          <w:sz w:val="21"/>
          <w:szCs w:val="24"/>
          <w:lang w:val="en-US" w:eastAsia="zh-CN"/>
        </w:rPr>
        <w:t>具备</w:t>
      </w:r>
      <w:r>
        <w:rPr>
          <w:rFonts w:ascii="微软雅黑" w:hAnsi="微软雅黑" w:eastAsia="微软雅黑" w:cs="Times New Roman"/>
          <w:kern w:val="2"/>
          <w:sz w:val="21"/>
          <w:szCs w:val="24"/>
        </w:rPr>
        <w:t>二维实时剪切波和单点式剪切波成像</w:t>
      </w:r>
    </w:p>
    <w:p w14:paraId="6114B259">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kern w:val="2"/>
          <w:sz w:val="21"/>
          <w:szCs w:val="24"/>
          <w:lang w:val="en-US" w:eastAsia="zh-CN" w:bidi="ar-SA"/>
        </w:rPr>
        <w:t>4)</w:t>
      </w:r>
      <w:r>
        <w:rPr>
          <w:rFonts w:ascii="微软雅黑" w:hAnsi="微软雅黑" w:eastAsia="微软雅黑" w:cs="Times New Roman"/>
          <w:kern w:val="2"/>
          <w:sz w:val="21"/>
          <w:szCs w:val="24"/>
        </w:rPr>
        <w:t>实时剪切波弹性成像取样框大小可调，可得到取样框内</w:t>
      </w:r>
      <w:r>
        <w:rPr>
          <w:rFonts w:hint="eastAsia" w:ascii="微软雅黑" w:hAnsi="微软雅黑" w:eastAsia="微软雅黑" w:cs="Times New Roman"/>
          <w:kern w:val="2"/>
          <w:sz w:val="21"/>
          <w:szCs w:val="24"/>
        </w:rPr>
        <w:t>≥</w:t>
      </w:r>
      <w:r>
        <w:rPr>
          <w:rFonts w:ascii="微软雅黑" w:hAnsi="微软雅黑" w:eastAsia="微软雅黑" w:cs="Times New Roman"/>
          <w:kern w:val="2"/>
          <w:sz w:val="21"/>
          <w:szCs w:val="24"/>
        </w:rPr>
        <w:t>3</w:t>
      </w:r>
      <w:r>
        <w:rPr>
          <w:rFonts w:hint="eastAsia" w:ascii="微软雅黑" w:hAnsi="微软雅黑" w:eastAsia="微软雅黑" w:cs="Times New Roman"/>
          <w:kern w:val="2"/>
          <w:sz w:val="21"/>
          <w:szCs w:val="24"/>
        </w:rPr>
        <w:t>种定量参数</w:t>
      </w:r>
    </w:p>
    <w:p w14:paraId="61FE7797">
      <w:pPr>
        <w:numPr>
          <w:ilvl w:val="0"/>
          <w:numId w:val="0"/>
        </w:numPr>
        <w:snapToGrid w:val="0"/>
        <w:ind w:left="1260" w:leftChars="0" w:hanging="420" w:firstLineChars="0"/>
        <w:rPr>
          <w:rFonts w:ascii="微软雅黑" w:hAnsi="微软雅黑" w:eastAsia="微软雅黑" w:cs="Times New Roman"/>
          <w:kern w:val="2"/>
          <w:sz w:val="21"/>
          <w:szCs w:val="24"/>
          <w:shd w:val="clear" w:color="auto" w:fill="FFFFFF"/>
        </w:rPr>
      </w:pPr>
      <w:r>
        <w:rPr>
          <w:rFonts w:ascii="微软雅黑" w:hAnsi="微软雅黑" w:eastAsia="微软雅黑" w:cs="Times New Roman"/>
          <w:kern w:val="2"/>
          <w:sz w:val="21"/>
          <w:szCs w:val="24"/>
          <w:shd w:val="clear" w:fill="FFFFFF"/>
          <w:lang w:val="en-US" w:eastAsia="zh-CN" w:bidi="ar-SA"/>
        </w:rPr>
        <w:t>5)</w:t>
      </w:r>
      <w:r>
        <w:rPr>
          <w:rFonts w:hint="eastAsia" w:ascii="微软雅黑" w:hAnsi="微软雅黑" w:eastAsia="微软雅黑" w:cs="Times New Roman"/>
          <w:kern w:val="2"/>
          <w:sz w:val="21"/>
          <w:szCs w:val="21"/>
        </w:rPr>
        <w:t>实时剪切波弹性成像及二维成像</w:t>
      </w:r>
      <w:r>
        <w:rPr>
          <w:rFonts w:hint="eastAsia" w:ascii="微软雅黑" w:hAnsi="微软雅黑" w:eastAsia="微软雅黑" w:cs="Times New Roman"/>
          <w:kern w:val="2"/>
          <w:sz w:val="21"/>
          <w:szCs w:val="21"/>
          <w:shd w:val="clear" w:color="auto" w:fill="FFFFFF"/>
        </w:rPr>
        <w:t>双实时成像，图像布局包括上下，左右多种方式可调</w:t>
      </w:r>
    </w:p>
    <w:p w14:paraId="1B0461DF">
      <w:pPr>
        <w:numPr>
          <w:ilvl w:val="0"/>
          <w:numId w:val="0"/>
        </w:numPr>
        <w:snapToGrid w:val="0"/>
        <w:ind w:left="1260" w:leftChars="0" w:hanging="420" w:firstLineChars="0"/>
        <w:rPr>
          <w:rFonts w:hint="eastAsia" w:ascii="微软雅黑" w:hAnsi="微软雅黑" w:eastAsia="微软雅黑" w:cs="Times New Roman"/>
          <w:kern w:val="2"/>
          <w:sz w:val="21"/>
          <w:szCs w:val="24"/>
          <w:shd w:val="clear" w:color="auto" w:fill="FFFFFF"/>
        </w:rPr>
      </w:pPr>
      <w:r>
        <w:rPr>
          <w:rFonts w:hint="eastAsia" w:ascii="微软雅黑" w:hAnsi="微软雅黑" w:eastAsia="微软雅黑" w:cs="Times New Roman"/>
          <w:kern w:val="2"/>
          <w:sz w:val="21"/>
          <w:szCs w:val="24"/>
          <w:shd w:val="clear" w:fill="FFFFFF"/>
          <w:lang w:val="en-US" w:eastAsia="zh-CN" w:bidi="ar-SA"/>
        </w:rPr>
        <w:t>6)</w:t>
      </w:r>
      <w:r>
        <w:rPr>
          <w:rFonts w:hint="eastAsia" w:ascii="微软雅黑" w:hAnsi="微软雅黑" w:eastAsia="微软雅黑" w:cs="Times New Roman"/>
          <w:kern w:val="2"/>
          <w:sz w:val="21"/>
          <w:szCs w:val="21"/>
          <w:shd w:val="clear" w:color="auto" w:fill="FFFFFF"/>
        </w:rPr>
        <w:t>同时输出以kPa和m/s为单位的组织硬度定量数据，保证临床可以使用硬度数据进行临床诊断</w:t>
      </w:r>
    </w:p>
    <w:p w14:paraId="68161826">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3.2.4</w:t>
      </w:r>
      <w:r>
        <w:rPr>
          <w:rFonts w:hint="eastAsia" w:ascii="微软雅黑" w:hAnsi="微软雅黑" w:eastAsia="微软雅黑" w:cs="微软雅黑"/>
          <w:bCs/>
          <w:color w:val="auto"/>
          <w:kern w:val="2"/>
          <w:sz w:val="21"/>
          <w:szCs w:val="32"/>
          <w:lang w:val="en-US" w:eastAsia="zh-CN" w:bidi="ar-SA"/>
        </w:rPr>
        <w:t>★</w:t>
      </w:r>
      <w:r>
        <w:rPr>
          <w:rFonts w:ascii="微软雅黑" w:hAnsi="微软雅黑" w:eastAsia="微软雅黑" w:cs="Times New Roman"/>
          <w:bCs/>
          <w:color w:val="auto"/>
          <w:kern w:val="2"/>
          <w:sz w:val="21"/>
          <w:szCs w:val="32"/>
          <w:lang w:val="en-US" w:eastAsia="zh-CN" w:bidi="ar-SA"/>
        </w:rPr>
        <w:t>TDI组织多普勒成像</w:t>
      </w:r>
    </w:p>
    <w:p w14:paraId="72CB4B9D">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kern w:val="2"/>
          <w:sz w:val="21"/>
          <w:szCs w:val="24"/>
          <w:lang w:val="en-US" w:eastAsia="zh-CN" w:bidi="ar-SA"/>
        </w:rPr>
        <w:t>1)</w:t>
      </w:r>
      <w:r>
        <w:rPr>
          <w:rFonts w:ascii="微软雅黑" w:hAnsi="微软雅黑" w:eastAsia="微软雅黑" w:cs="Times New Roman"/>
          <w:kern w:val="2"/>
          <w:sz w:val="21"/>
          <w:szCs w:val="24"/>
        </w:rPr>
        <w:t>TDI成像模式：彩色速度模式图、能量模式图、频谱模式图、M型模式图</w:t>
      </w:r>
    </w:p>
    <w:p w14:paraId="2C94E543">
      <w:pPr>
        <w:numPr>
          <w:ilvl w:val="0"/>
          <w:numId w:val="0"/>
        </w:numPr>
        <w:snapToGrid w:val="0"/>
        <w:ind w:left="1260" w:leftChars="0" w:hanging="420" w:firstLineChars="0"/>
        <w:rPr>
          <w:rFonts w:ascii="微软雅黑" w:hAnsi="微软雅黑" w:eastAsia="微软雅黑" w:cs="Times New Roman"/>
          <w:kern w:val="2"/>
          <w:sz w:val="21"/>
          <w:szCs w:val="24"/>
        </w:rPr>
      </w:pPr>
      <w:r>
        <w:rPr>
          <w:rFonts w:ascii="微软雅黑" w:hAnsi="微软雅黑" w:eastAsia="微软雅黑" w:cs="Times New Roman"/>
          <w:kern w:val="2"/>
          <w:sz w:val="21"/>
          <w:szCs w:val="24"/>
          <w:lang w:val="en-US" w:eastAsia="zh-CN" w:bidi="ar-SA"/>
        </w:rPr>
        <w:t>2)</w:t>
      </w:r>
      <w:r>
        <w:rPr>
          <w:rFonts w:ascii="微软雅黑" w:hAnsi="微软雅黑" w:eastAsia="微软雅黑" w:cs="Times New Roman"/>
          <w:kern w:val="2"/>
          <w:sz w:val="21"/>
          <w:szCs w:val="24"/>
        </w:rPr>
        <w:t>TDI组织多普勒定量分析软件：</w:t>
      </w:r>
      <w:r>
        <w:rPr>
          <w:rFonts w:hint="eastAsia" w:ascii="微软雅黑" w:hAnsi="微软雅黑" w:eastAsia="微软雅黑" w:cs="Times New Roman"/>
          <w:kern w:val="2"/>
          <w:sz w:val="21"/>
          <w:szCs w:val="24"/>
          <w:lang w:val="en-US" w:eastAsia="zh-CN"/>
        </w:rPr>
        <w:t>具备</w:t>
      </w:r>
      <w:r>
        <w:rPr>
          <w:rFonts w:ascii="微软雅黑" w:hAnsi="微软雅黑" w:eastAsia="微软雅黑" w:cs="Times New Roman"/>
          <w:kern w:val="2"/>
          <w:sz w:val="21"/>
          <w:szCs w:val="24"/>
        </w:rPr>
        <w:t>运动追踪功能；同步显示≥6段心肌组织运动速度曲线图</w:t>
      </w:r>
    </w:p>
    <w:p w14:paraId="675AE978">
      <w:pPr>
        <w:numPr>
          <w:ilvl w:val="0"/>
          <w:numId w:val="0"/>
        </w:numPr>
        <w:snapToGrid w:val="0"/>
        <w:ind w:left="1260" w:leftChars="0" w:hanging="420" w:firstLineChars="0"/>
        <w:rPr>
          <w:rFonts w:hint="eastAsia" w:ascii="微软雅黑" w:hAnsi="微软雅黑" w:eastAsia="微软雅黑" w:cs="Times New Roman"/>
          <w:kern w:val="2"/>
          <w:sz w:val="21"/>
          <w:szCs w:val="24"/>
        </w:rPr>
      </w:pPr>
      <w:r>
        <w:rPr>
          <w:rFonts w:hint="eastAsia" w:ascii="微软雅黑" w:hAnsi="微软雅黑" w:eastAsia="微软雅黑" w:cs="Times New Roman"/>
          <w:kern w:val="2"/>
          <w:sz w:val="21"/>
          <w:szCs w:val="24"/>
          <w:lang w:val="en-US" w:eastAsia="zh-CN" w:bidi="ar-SA"/>
        </w:rPr>
        <w:t>3)</w:t>
      </w:r>
      <w:r>
        <w:rPr>
          <w:rFonts w:ascii="微软雅黑" w:hAnsi="微软雅黑" w:eastAsia="微软雅黑" w:cs="Times New Roman"/>
          <w:kern w:val="2"/>
          <w:sz w:val="21"/>
          <w:szCs w:val="24"/>
        </w:rPr>
        <w:t>TDI曲线</w:t>
      </w:r>
      <w:r>
        <w:rPr>
          <w:rFonts w:hint="eastAsia" w:ascii="微软雅黑" w:hAnsi="微软雅黑" w:eastAsia="微软雅黑" w:cs="Times New Roman"/>
          <w:kern w:val="2"/>
          <w:sz w:val="21"/>
          <w:szCs w:val="24"/>
        </w:rPr>
        <w:t>解剖</w:t>
      </w:r>
      <w:r>
        <w:rPr>
          <w:rFonts w:ascii="微软雅黑" w:hAnsi="微软雅黑" w:eastAsia="微软雅黑" w:cs="Times New Roman"/>
          <w:kern w:val="2"/>
          <w:sz w:val="21"/>
          <w:szCs w:val="24"/>
        </w:rPr>
        <w:t>M型模式：同步显示心肌组织节段运动同步性、运动时相对比</w:t>
      </w:r>
    </w:p>
    <w:p w14:paraId="331D90FD">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3.2.5</w:t>
      </w:r>
      <w:r>
        <w:rPr>
          <w:rFonts w:hint="eastAsia" w:ascii="微软雅黑" w:hAnsi="微软雅黑" w:eastAsia="微软雅黑" w:cs="微软雅黑"/>
          <w:bCs/>
          <w:kern w:val="2"/>
          <w:sz w:val="21"/>
          <w:szCs w:val="32"/>
          <w:lang w:val="en-US" w:eastAsia="zh-CN" w:bidi="ar-SA"/>
        </w:rPr>
        <w:t>★</w:t>
      </w:r>
      <w:r>
        <w:rPr>
          <w:rFonts w:ascii="微软雅黑" w:hAnsi="微软雅黑" w:eastAsia="微软雅黑" w:cs="Times New Roman"/>
          <w:bCs/>
          <w:kern w:val="2"/>
          <w:sz w:val="21"/>
          <w:szCs w:val="32"/>
          <w:lang w:val="en-US" w:eastAsia="zh-CN" w:bidi="ar-SA"/>
        </w:rPr>
        <w:t>组织追踪成像定量分析</w:t>
      </w:r>
    </w:p>
    <w:p w14:paraId="26EF012A">
      <w:pPr>
        <w:numPr>
          <w:ilvl w:val="3"/>
          <w:numId w:val="0"/>
        </w:numPr>
        <w:snapToGrid w:val="0"/>
        <w:ind w:left="852" w:leftChars="0" w:firstLine="0" w:firstLineChars="0"/>
        <w:outlineLvl w:val="2"/>
        <w:rPr>
          <w:rFonts w:ascii="微软雅黑" w:hAnsi="微软雅黑" w:eastAsia="微软雅黑" w:cs="Times New Roman"/>
          <w:bCs w:val="0"/>
          <w:kern w:val="2"/>
          <w:sz w:val="21"/>
          <w:szCs w:val="24"/>
          <w:lang w:val="en-US" w:eastAsia="zh-CN" w:bidi="ar-SA"/>
        </w:rPr>
      </w:pPr>
      <w:r>
        <w:rPr>
          <w:rFonts w:hint="eastAsia" w:ascii="微软雅黑" w:hAnsi="微软雅黑" w:eastAsia="微软雅黑" w:cs="Times New Roman"/>
          <w:bCs w:val="0"/>
          <w:kern w:val="2"/>
          <w:sz w:val="21"/>
          <w:szCs w:val="24"/>
          <w:lang w:val="en-US" w:eastAsia="zh-CN" w:bidi="ar-SA"/>
        </w:rPr>
        <w:t>1)二维模式下追踪心肌运动，支持心内膜、心外膜、心肌层三组追踪轨迹</w:t>
      </w:r>
    </w:p>
    <w:p w14:paraId="50DF50A3">
      <w:pPr>
        <w:numPr>
          <w:ilvl w:val="3"/>
          <w:numId w:val="0"/>
        </w:numPr>
        <w:snapToGrid w:val="0"/>
        <w:ind w:left="852" w:leftChars="0" w:firstLine="0" w:firstLineChars="0"/>
        <w:outlineLvl w:val="2"/>
        <w:rPr>
          <w:rFonts w:ascii="微软雅黑" w:hAnsi="微软雅黑" w:eastAsia="微软雅黑" w:cs="Times New Roman"/>
          <w:bCs w:val="0"/>
          <w:kern w:val="2"/>
          <w:sz w:val="21"/>
          <w:szCs w:val="24"/>
          <w:lang w:val="en-US" w:eastAsia="zh-CN" w:bidi="ar-SA"/>
        </w:rPr>
      </w:pPr>
      <w:r>
        <w:rPr>
          <w:rFonts w:hint="eastAsia" w:ascii="微软雅黑" w:hAnsi="微软雅黑" w:eastAsia="微软雅黑" w:cs="Times New Roman"/>
          <w:bCs w:val="0"/>
          <w:kern w:val="2"/>
          <w:sz w:val="21"/>
          <w:szCs w:val="24"/>
          <w:lang w:val="en-US" w:eastAsia="zh-CN" w:bidi="ar-SA"/>
        </w:rPr>
        <w:t>2)具有组织向量图（箭头显示）和曲线图分析，数据包括速度、位移、应变及应变率</w:t>
      </w:r>
    </w:p>
    <w:p w14:paraId="77ED4954">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3.2.6</w:t>
      </w:r>
      <w:r>
        <w:rPr>
          <w:rFonts w:hint="eastAsia" w:ascii="微软雅黑" w:hAnsi="微软雅黑" w:eastAsia="微软雅黑" w:cs="微软雅黑"/>
          <w:bCs/>
          <w:color w:val="auto"/>
          <w:kern w:val="2"/>
          <w:sz w:val="21"/>
          <w:szCs w:val="32"/>
          <w:lang w:val="en-US" w:eastAsia="zh-CN" w:bidi="ar-SA"/>
        </w:rPr>
        <w:t>★</w:t>
      </w:r>
      <w:r>
        <w:rPr>
          <w:rFonts w:hint="eastAsia" w:ascii="微软雅黑" w:hAnsi="微软雅黑" w:eastAsia="微软雅黑" w:cs="Times New Roman"/>
          <w:bCs/>
          <w:color w:val="auto"/>
          <w:kern w:val="2"/>
          <w:sz w:val="21"/>
          <w:szCs w:val="32"/>
          <w:lang w:val="en-US" w:eastAsia="zh-CN" w:bidi="ar-SA"/>
        </w:rPr>
        <w:t>内置超声教学软件，提供解剖示意图、标准超声图像，包含腹部、心脏、乳腺、甲状腺、妇科、产科等切面。同时，支持腹部及心脏各≥5个标准切面的自动识别。</w:t>
      </w:r>
    </w:p>
    <w:p w14:paraId="10F04A03">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3.3</w:t>
      </w:r>
      <w:r>
        <w:rPr>
          <w:rFonts w:ascii="微软雅黑" w:hAnsi="微软雅黑" w:eastAsia="微软雅黑" w:cs="Times New Roman"/>
          <w:b/>
          <w:bCs/>
          <w:kern w:val="2"/>
          <w:sz w:val="21"/>
          <w:szCs w:val="32"/>
          <w:lang w:val="en-US" w:eastAsia="zh-CN" w:bidi="ar-SA"/>
        </w:rPr>
        <w:t>测量和分析：(B型、M型、D型、彩色模式)</w:t>
      </w:r>
    </w:p>
    <w:p w14:paraId="0C2CAB91">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w:t>
      </w:r>
      <w:r>
        <w:rPr>
          <w:rFonts w:hint="eastAsia" w:ascii="微软雅黑" w:hAnsi="微软雅黑" w:eastAsia="微软雅黑" w:cs="Times New Roman"/>
          <w:bCs/>
          <w:kern w:val="2"/>
          <w:sz w:val="21"/>
          <w:szCs w:val="32"/>
          <w:lang w:val="en-US" w:eastAsia="zh-CN" w:bidi="ar-SA"/>
        </w:rPr>
        <w:t>常规测量软件包</w:t>
      </w:r>
    </w:p>
    <w:p w14:paraId="36ADEB12">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3.3.2</w:t>
      </w:r>
      <w:r>
        <w:rPr>
          <w:rFonts w:hint="eastAsia" w:ascii="微软雅黑" w:hAnsi="微软雅黑" w:eastAsia="微软雅黑" w:cs="Times New Roman"/>
          <w:bCs/>
          <w:kern w:val="2"/>
          <w:sz w:val="21"/>
          <w:szCs w:val="32"/>
          <w:lang w:val="en-US" w:eastAsia="zh-CN" w:bidi="ar-SA"/>
        </w:rPr>
        <w:t>基础测量包，2B模式下支持双幅跨幅测量</w:t>
      </w:r>
    </w:p>
    <w:p w14:paraId="1D7EC239">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3.3.3</w:t>
      </w:r>
      <w:r>
        <w:rPr>
          <w:rFonts w:hint="eastAsia" w:ascii="微软雅黑" w:hAnsi="微软雅黑" w:eastAsia="微软雅黑" w:cs="Times New Roman"/>
          <w:bCs/>
          <w:kern w:val="2"/>
          <w:sz w:val="21"/>
          <w:szCs w:val="32"/>
          <w:lang w:val="en-US" w:eastAsia="zh-CN" w:bidi="ar-SA"/>
        </w:rPr>
        <w:t>定点测速功能，彩色多普勒模式下可同屏测量血管腔内≥7个任意位置的血流速度</w:t>
      </w:r>
    </w:p>
    <w:p w14:paraId="64A9DA1E">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3.3.4</w:t>
      </w:r>
      <w:r>
        <w:rPr>
          <w:rFonts w:ascii="微软雅黑" w:hAnsi="微软雅黑" w:eastAsia="微软雅黑" w:cs="Times New Roman"/>
          <w:bCs/>
          <w:kern w:val="2"/>
          <w:sz w:val="21"/>
          <w:szCs w:val="32"/>
          <w:lang w:val="en-US" w:eastAsia="zh-CN" w:bidi="ar-SA"/>
        </w:rPr>
        <w:t>半自动面积及径线测量 自动描迹、测量和计算工具，可支持径、周长、面积、平均灰度、径1/ 径2、径2/ 径1 等测量结果</w:t>
      </w:r>
    </w:p>
    <w:p w14:paraId="107D0545">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3.3.5</w:t>
      </w:r>
      <w:r>
        <w:rPr>
          <w:rFonts w:ascii="微软雅黑" w:hAnsi="微软雅黑" w:eastAsia="微软雅黑" w:cs="Times New Roman"/>
          <w:bCs/>
          <w:kern w:val="2"/>
          <w:sz w:val="21"/>
          <w:szCs w:val="32"/>
          <w:lang w:val="en-US" w:eastAsia="zh-CN" w:bidi="ar-SA"/>
        </w:rPr>
        <w:t>全科测量包，自动生成报告：腹部、妇科、产科、心脏、泌尿、小器官、儿科、血管</w:t>
      </w:r>
      <w:r>
        <w:rPr>
          <w:rFonts w:hint="eastAsia" w:ascii="微软雅黑" w:hAnsi="微软雅黑" w:eastAsia="微软雅黑" w:cs="Times New Roman"/>
          <w:bCs/>
          <w:kern w:val="2"/>
          <w:sz w:val="21"/>
          <w:szCs w:val="32"/>
          <w:lang w:val="en-US" w:eastAsia="zh-CN" w:bidi="ar-SA"/>
        </w:rPr>
        <w:t>等。</w:t>
      </w:r>
    </w:p>
    <w:p w14:paraId="70154709">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3.3.6</w:t>
      </w:r>
      <w:r>
        <w:rPr>
          <w:rFonts w:hint="eastAsia" w:ascii="微软雅黑" w:hAnsi="微软雅黑" w:eastAsia="微软雅黑" w:cs="Times New Roman"/>
          <w:bCs/>
          <w:kern w:val="2"/>
          <w:sz w:val="21"/>
          <w:szCs w:val="32"/>
          <w:lang w:val="en-US" w:eastAsia="zh-CN" w:bidi="ar-SA"/>
        </w:rPr>
        <w:t>妇科测量软件包：支持二维卵泡自动测量，一键自动分割无回声结构，以不同的颜色区分显示不同位置和大小的无回声结构。</w:t>
      </w:r>
    </w:p>
    <w:p w14:paraId="5D833DA4">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3.3.7</w:t>
      </w:r>
      <w:r>
        <w:rPr>
          <w:rFonts w:hint="eastAsia" w:ascii="微软雅黑" w:hAnsi="微软雅黑" w:eastAsia="微软雅黑" w:cs="Times New Roman"/>
          <w:bCs/>
          <w:kern w:val="2"/>
          <w:sz w:val="21"/>
          <w:szCs w:val="32"/>
          <w:lang w:val="en-US" w:eastAsia="zh-CN" w:bidi="ar-SA"/>
        </w:rPr>
        <w:t>具备专业卵泡评估报告，多项</w:t>
      </w:r>
      <w:r>
        <w:rPr>
          <w:rFonts w:ascii="微软雅黑" w:hAnsi="微软雅黑" w:eastAsia="微软雅黑" w:cs="Times New Roman"/>
          <w:bCs/>
          <w:kern w:val="2"/>
          <w:sz w:val="21"/>
          <w:szCs w:val="32"/>
          <w:lang w:val="en-US" w:eastAsia="zh-CN" w:bidi="ar-SA"/>
        </w:rPr>
        <w:t>IVF评估指标及发育曲线分析</w:t>
      </w:r>
    </w:p>
    <w:p w14:paraId="35D7EAA5">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3.3.8</w:t>
      </w:r>
      <w:r>
        <w:rPr>
          <w:rFonts w:hint="eastAsia" w:ascii="微软雅黑" w:hAnsi="微软雅黑" w:eastAsia="微软雅黑" w:cs="Times New Roman"/>
          <w:bCs/>
          <w:kern w:val="2"/>
          <w:sz w:val="21"/>
          <w:szCs w:val="32"/>
          <w:lang w:val="en-US" w:eastAsia="zh-CN" w:bidi="ar-SA"/>
        </w:rPr>
        <w:t>产科测量软件包：自动产科测量，要求自动测量≥</w:t>
      </w:r>
      <w:r>
        <w:rPr>
          <w:rFonts w:ascii="微软雅黑" w:hAnsi="微软雅黑" w:eastAsia="微软雅黑" w:cs="Times New Roman"/>
          <w:bCs/>
          <w:kern w:val="2"/>
          <w:sz w:val="21"/>
          <w:szCs w:val="32"/>
          <w:lang w:val="en-US" w:eastAsia="zh-CN" w:bidi="ar-SA"/>
        </w:rPr>
        <w:t>5项胎儿发育评估指标</w:t>
      </w:r>
      <w:r>
        <w:rPr>
          <w:rFonts w:hint="eastAsia" w:ascii="微软雅黑" w:hAnsi="微软雅黑" w:eastAsia="微软雅黑" w:cs="Times New Roman"/>
          <w:bCs/>
          <w:kern w:val="2"/>
          <w:sz w:val="21"/>
          <w:szCs w:val="32"/>
          <w:lang w:val="en-US" w:eastAsia="zh-CN" w:bidi="ar-SA"/>
        </w:rPr>
        <w:t>。</w:t>
      </w:r>
    </w:p>
    <w:p w14:paraId="236EC824">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3.3.9</w:t>
      </w:r>
      <w:r>
        <w:rPr>
          <w:rFonts w:ascii="微软雅黑" w:hAnsi="微软雅黑" w:eastAsia="微软雅黑" w:cs="Times New Roman"/>
          <w:bCs/>
          <w:kern w:val="2"/>
          <w:sz w:val="21"/>
          <w:szCs w:val="32"/>
          <w:lang w:val="en-US" w:eastAsia="zh-CN" w:bidi="ar-SA"/>
        </w:rPr>
        <w:t>自动NT测量</w:t>
      </w:r>
    </w:p>
    <w:p w14:paraId="0682BA16">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3.3.10</w:t>
      </w:r>
      <w:r>
        <w:rPr>
          <w:rFonts w:hint="eastAsia" w:ascii="微软雅黑" w:hAnsi="微软雅黑" w:eastAsia="微软雅黑" w:cs="Times New Roman"/>
          <w:bCs/>
          <w:kern w:val="2"/>
          <w:sz w:val="21"/>
          <w:szCs w:val="32"/>
          <w:lang w:val="en-US" w:eastAsia="zh-CN" w:bidi="ar-SA"/>
        </w:rPr>
        <w:t>心脏测量软件包：心功能自动测量软件</w:t>
      </w:r>
      <w:r>
        <w:rPr>
          <w:rFonts w:ascii="微软雅黑" w:hAnsi="微软雅黑" w:eastAsia="微软雅黑" w:cs="Times New Roman"/>
          <w:bCs/>
          <w:kern w:val="2"/>
          <w:sz w:val="21"/>
          <w:szCs w:val="32"/>
          <w:lang w:val="en-US" w:eastAsia="zh-CN" w:bidi="ar-SA"/>
        </w:rPr>
        <w:t>,无需ECG可自动识别四腔心、两腔心切面，自动识别心肌边界，并进行自动描迹，无需手动选择切面和手动描记</w:t>
      </w:r>
    </w:p>
    <w:p w14:paraId="1C42C059">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3.3.11</w:t>
      </w:r>
      <w:r>
        <w:rPr>
          <w:rFonts w:hint="eastAsia" w:ascii="微软雅黑" w:hAnsi="微软雅黑" w:eastAsia="微软雅黑" w:cs="Times New Roman"/>
          <w:bCs/>
          <w:kern w:val="2"/>
          <w:sz w:val="21"/>
          <w:szCs w:val="32"/>
          <w:lang w:val="en-US" w:eastAsia="zh-CN" w:bidi="ar-SA"/>
        </w:rPr>
        <w:t>腹部测量</w:t>
      </w:r>
      <w:r>
        <w:rPr>
          <w:rFonts w:ascii="微软雅黑" w:hAnsi="微软雅黑" w:eastAsia="微软雅黑" w:cs="Times New Roman"/>
          <w:bCs/>
          <w:kern w:val="2"/>
          <w:sz w:val="21"/>
          <w:szCs w:val="32"/>
          <w:lang w:val="en-US" w:eastAsia="zh-CN" w:bidi="ar-SA"/>
        </w:rPr>
        <w:t>软件包：支持膀胱自动测量</w:t>
      </w:r>
    </w:p>
    <w:p w14:paraId="13B866DA">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3.3.12</w:t>
      </w:r>
      <w:r>
        <w:rPr>
          <w:rFonts w:ascii="微软雅黑" w:hAnsi="微软雅黑" w:eastAsia="微软雅黑" w:cs="Times New Roman"/>
          <w:bCs/>
          <w:kern w:val="2"/>
          <w:sz w:val="21"/>
          <w:szCs w:val="32"/>
          <w:lang w:val="en-US" w:eastAsia="zh-CN" w:bidi="ar-SA"/>
        </w:rPr>
        <w:t>自动肝肾比测量 一键自动肝肾器官识别，自动计算肾皮质及肝脏的灰阶比值，方便进行肝脏脂肪变的定量评估</w:t>
      </w:r>
    </w:p>
    <w:p w14:paraId="59AC49FF">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3.3.13</w:t>
      </w:r>
      <w:r>
        <w:rPr>
          <w:rFonts w:hint="eastAsia" w:ascii="微软雅黑" w:hAnsi="微软雅黑" w:eastAsia="微软雅黑" w:cs="Times New Roman"/>
          <w:bCs/>
          <w:kern w:val="2"/>
          <w:sz w:val="21"/>
          <w:szCs w:val="32"/>
          <w:lang w:val="en-US" w:eastAsia="zh-CN" w:bidi="ar-SA"/>
        </w:rPr>
        <w:t>小器官测量软件包，</w:t>
      </w:r>
      <w:r>
        <w:rPr>
          <w:rFonts w:ascii="微软雅黑" w:hAnsi="微软雅黑" w:eastAsia="微软雅黑" w:cs="Times New Roman"/>
          <w:bCs/>
          <w:kern w:val="2"/>
          <w:sz w:val="21"/>
          <w:szCs w:val="32"/>
          <w:lang w:val="en-US" w:eastAsia="zh-CN" w:bidi="ar-SA"/>
        </w:rPr>
        <w:t>包含</w:t>
      </w:r>
      <w:r>
        <w:rPr>
          <w:rFonts w:hint="eastAsia" w:ascii="微软雅黑" w:hAnsi="微软雅黑" w:eastAsia="微软雅黑" w:cs="Times New Roman"/>
          <w:bCs/>
          <w:kern w:val="2"/>
          <w:sz w:val="21"/>
          <w:szCs w:val="32"/>
          <w:lang w:val="en-US" w:eastAsia="zh-CN" w:bidi="ar-SA"/>
        </w:rPr>
        <w:t>乳腺</w:t>
      </w:r>
      <w:r>
        <w:rPr>
          <w:rFonts w:ascii="微软雅黑" w:hAnsi="微软雅黑" w:eastAsia="微软雅黑" w:cs="Times New Roman"/>
          <w:bCs/>
          <w:kern w:val="2"/>
          <w:sz w:val="21"/>
          <w:szCs w:val="32"/>
          <w:lang w:val="en-US" w:eastAsia="zh-CN" w:bidi="ar-SA"/>
        </w:rPr>
        <w:t>测量包</w:t>
      </w:r>
    </w:p>
    <w:p w14:paraId="0943327A">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3.3.14</w:t>
      </w:r>
      <w:r>
        <w:rPr>
          <w:rFonts w:hint="eastAsia" w:ascii="微软雅黑" w:hAnsi="微软雅黑" w:eastAsia="微软雅黑" w:cs="微软雅黑"/>
          <w:bCs/>
          <w:color w:val="auto"/>
          <w:kern w:val="2"/>
          <w:sz w:val="21"/>
          <w:szCs w:val="32"/>
          <w:lang w:val="en-US" w:eastAsia="zh-CN" w:bidi="ar-SA"/>
        </w:rPr>
        <w:t>★</w:t>
      </w:r>
      <w:r>
        <w:rPr>
          <w:rFonts w:hint="eastAsia" w:ascii="微软雅黑" w:hAnsi="微软雅黑" w:eastAsia="微软雅黑" w:cs="Times New Roman"/>
          <w:bCs/>
          <w:color w:val="auto"/>
          <w:kern w:val="2"/>
          <w:sz w:val="21"/>
          <w:szCs w:val="32"/>
          <w:lang w:val="en-US" w:eastAsia="zh-CN" w:bidi="ar-SA"/>
        </w:rPr>
        <w:t>血管测量软件包：IMT血管内中膜自动测量，测量结果参数≥</w:t>
      </w:r>
      <w:r>
        <w:rPr>
          <w:rFonts w:ascii="微软雅黑" w:hAnsi="微软雅黑" w:eastAsia="微软雅黑" w:cs="Times New Roman"/>
          <w:bCs/>
          <w:color w:val="auto"/>
          <w:kern w:val="2"/>
          <w:sz w:val="21"/>
          <w:szCs w:val="32"/>
          <w:lang w:val="en-US" w:eastAsia="zh-CN" w:bidi="ar-SA"/>
        </w:rPr>
        <w:t>7项，具备IMT评估曲线分析。</w:t>
      </w:r>
    </w:p>
    <w:p w14:paraId="1438AE0C">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3.3.15</w:t>
      </w:r>
      <w:r>
        <w:rPr>
          <w:rFonts w:hint="eastAsia" w:ascii="微软雅黑" w:hAnsi="微软雅黑" w:eastAsia="微软雅黑" w:cs="微软雅黑"/>
          <w:bCs/>
          <w:kern w:val="2"/>
          <w:sz w:val="21"/>
          <w:szCs w:val="32"/>
          <w:lang w:val="en-US" w:eastAsia="zh-CN" w:bidi="ar-SA"/>
        </w:rPr>
        <w:t>★</w:t>
      </w:r>
      <w:r>
        <w:rPr>
          <w:rFonts w:hint="eastAsia" w:ascii="微软雅黑" w:hAnsi="微软雅黑" w:eastAsia="微软雅黑" w:cs="Times New Roman"/>
          <w:bCs/>
          <w:kern w:val="2"/>
          <w:sz w:val="21"/>
          <w:szCs w:val="32"/>
          <w:lang w:val="en-US" w:eastAsia="zh-CN" w:bidi="ar-SA"/>
        </w:rPr>
        <w:t>具备颈动脉血管内中膜自动实时测量</w:t>
      </w:r>
      <w:r>
        <w:rPr>
          <w:rFonts w:ascii="微软雅黑" w:hAnsi="微软雅黑" w:eastAsia="微软雅黑" w:cs="Times New Roman"/>
          <w:bCs/>
          <w:kern w:val="2"/>
          <w:sz w:val="21"/>
          <w:szCs w:val="32"/>
          <w:lang w:val="en-US" w:eastAsia="zh-CN" w:bidi="ar-SA"/>
        </w:rPr>
        <w:t>,自动获取6组IMT内膜厚度值,并实时更新</w:t>
      </w:r>
    </w:p>
    <w:p w14:paraId="10598588">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3.3.16</w:t>
      </w:r>
      <w:r>
        <w:rPr>
          <w:rFonts w:hint="eastAsia" w:ascii="微软雅黑" w:hAnsi="微软雅黑" w:eastAsia="微软雅黑" w:cs="微软雅黑"/>
          <w:bCs/>
          <w:color w:val="auto"/>
          <w:kern w:val="2"/>
          <w:sz w:val="21"/>
          <w:szCs w:val="32"/>
          <w:lang w:val="en-US" w:eastAsia="zh-CN" w:bidi="ar-SA"/>
        </w:rPr>
        <w:t>★</w:t>
      </w:r>
      <w:r>
        <w:rPr>
          <w:rFonts w:ascii="微软雅黑" w:hAnsi="微软雅黑" w:eastAsia="微软雅黑" w:cs="Times New Roman"/>
          <w:bCs/>
          <w:color w:val="auto"/>
          <w:kern w:val="2"/>
          <w:sz w:val="21"/>
          <w:szCs w:val="32"/>
          <w:lang w:val="en-US" w:eastAsia="zh-CN" w:bidi="ar-SA"/>
        </w:rPr>
        <w:t>小儿髋关节自动测量功能，可一键自动计算α角,β角，自动进行临床分型</w:t>
      </w:r>
    </w:p>
    <w:p w14:paraId="74E6DB58">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3.4</w:t>
      </w:r>
      <w:r>
        <w:rPr>
          <w:rFonts w:ascii="微软雅黑" w:hAnsi="微软雅黑" w:eastAsia="微软雅黑" w:cs="Times New Roman"/>
          <w:b/>
          <w:bCs/>
          <w:kern w:val="2"/>
          <w:sz w:val="21"/>
          <w:szCs w:val="32"/>
          <w:lang w:val="en-US" w:eastAsia="zh-CN" w:bidi="ar-SA"/>
        </w:rPr>
        <w:t>图像存储(电影)回放重显及病案管理单元</w:t>
      </w:r>
    </w:p>
    <w:p w14:paraId="22BEA087">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3.4.1</w:t>
      </w:r>
      <w:r>
        <w:rPr>
          <w:rFonts w:ascii="微软雅黑" w:hAnsi="微软雅黑" w:eastAsia="微软雅黑" w:cs="Times New Roman"/>
          <w:bCs/>
          <w:kern w:val="2"/>
          <w:sz w:val="21"/>
          <w:szCs w:val="32"/>
          <w:lang w:val="en-US" w:eastAsia="zh-CN" w:bidi="ar-SA"/>
        </w:rPr>
        <w:t>硬盘≥1T，图像存储，电影回放：≥150秒</w:t>
      </w:r>
    </w:p>
    <w:p w14:paraId="22BD9172">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3.4.2</w:t>
      </w:r>
      <w:r>
        <w:rPr>
          <w:rFonts w:hint="eastAsia" w:ascii="微软雅黑" w:hAnsi="微软雅黑" w:eastAsia="微软雅黑" w:cs="Times New Roman"/>
          <w:bCs/>
          <w:kern w:val="2"/>
          <w:sz w:val="21"/>
          <w:szCs w:val="21"/>
          <w:lang w:val="en-US" w:eastAsia="zh-CN" w:bidi="ar-SA"/>
        </w:rPr>
        <w:t>多种导出图像格式：动态图像、静态图像以PC格式直接导出。导出、备份图像数据资料同时，可进行实时检查，不影响检查操作</w:t>
      </w:r>
    </w:p>
    <w:p w14:paraId="2FBFD20D">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3.4.3</w:t>
      </w:r>
      <w:r>
        <w:rPr>
          <w:rFonts w:hint="eastAsia" w:ascii="微软雅黑" w:hAnsi="微软雅黑" w:eastAsia="微软雅黑" w:cs="微软雅黑"/>
          <w:bCs/>
          <w:kern w:val="2"/>
          <w:sz w:val="21"/>
          <w:szCs w:val="32"/>
          <w:lang w:val="en-US" w:eastAsia="zh-CN" w:bidi="ar-SA"/>
        </w:rPr>
        <w:t>★</w:t>
      </w:r>
      <w:r>
        <w:rPr>
          <w:rFonts w:hint="eastAsia" w:ascii="微软雅黑" w:hAnsi="微软雅黑" w:eastAsia="微软雅黑" w:cs="Times New Roman"/>
          <w:bCs/>
          <w:kern w:val="2"/>
          <w:sz w:val="21"/>
          <w:szCs w:val="32"/>
          <w:lang w:val="en-US" w:eastAsia="zh-CN" w:bidi="ar-SA"/>
        </w:rPr>
        <w:t>具备</w:t>
      </w:r>
      <w:r>
        <w:rPr>
          <w:rFonts w:ascii="微软雅黑" w:hAnsi="微软雅黑" w:eastAsia="微软雅黑" w:cs="Times New Roman"/>
          <w:bCs/>
          <w:kern w:val="2"/>
          <w:sz w:val="21"/>
          <w:szCs w:val="32"/>
          <w:lang w:val="en-US" w:eastAsia="zh-CN" w:bidi="ar-SA"/>
        </w:rPr>
        <w:t>向后存储和向前存储，时间长度可预置，向后存储≥6分钟的电影，对剪接和编辑的电影图像可多次存储和多次编辑；图像和电影均可以实时扫描、冻结状态下直接存储，并且具有独立的存储功能键</w:t>
      </w:r>
    </w:p>
    <w:p w14:paraId="19EA7422">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3.4.4</w:t>
      </w:r>
      <w:r>
        <w:rPr>
          <w:rFonts w:hint="eastAsia" w:ascii="微软雅黑" w:hAnsi="微软雅黑" w:eastAsia="微软雅黑" w:cs="微软雅黑"/>
          <w:bCs/>
          <w:kern w:val="2"/>
          <w:sz w:val="21"/>
          <w:szCs w:val="32"/>
          <w:lang w:val="en-US" w:eastAsia="zh-CN" w:bidi="ar-SA"/>
        </w:rPr>
        <w:t>★</w:t>
      </w:r>
      <w:r>
        <w:rPr>
          <w:rFonts w:ascii="微软雅黑" w:hAnsi="微软雅黑" w:eastAsia="微软雅黑" w:cs="Times New Roman"/>
          <w:bCs/>
          <w:kern w:val="2"/>
          <w:sz w:val="21"/>
          <w:szCs w:val="32"/>
          <w:lang w:val="en-US" w:eastAsia="zh-CN" w:bidi="ar-SA"/>
        </w:rPr>
        <w:t>原始数据处理，支持动、静态图像冻结后，最大可调节参数≥32项</w:t>
      </w:r>
    </w:p>
    <w:p w14:paraId="60114DC0">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3.5</w:t>
      </w:r>
      <w:r>
        <w:rPr>
          <w:rFonts w:ascii="微软雅黑" w:hAnsi="微软雅黑" w:eastAsia="微软雅黑" w:cs="Times New Roman"/>
          <w:b/>
          <w:bCs/>
          <w:kern w:val="2"/>
          <w:sz w:val="21"/>
          <w:szCs w:val="32"/>
          <w:lang w:val="en-US" w:eastAsia="zh-CN" w:bidi="ar-SA"/>
        </w:rPr>
        <w:t>连通性</w:t>
      </w:r>
      <w:r>
        <w:rPr>
          <w:rFonts w:hint="eastAsia" w:ascii="微软雅黑" w:hAnsi="微软雅黑" w:eastAsia="微软雅黑" w:cs="Times New Roman"/>
          <w:b/>
          <w:bCs/>
          <w:kern w:val="2"/>
          <w:sz w:val="21"/>
          <w:szCs w:val="32"/>
          <w:lang w:val="en-US" w:eastAsia="zh-CN" w:bidi="ar-SA"/>
        </w:rPr>
        <w:t>要求</w:t>
      </w:r>
      <w:r>
        <w:rPr>
          <w:rFonts w:ascii="微软雅黑" w:hAnsi="微软雅黑" w:eastAsia="微软雅黑" w:cs="Times New Roman"/>
          <w:b/>
          <w:bCs/>
          <w:kern w:val="2"/>
          <w:sz w:val="21"/>
          <w:szCs w:val="32"/>
          <w:lang w:val="en-US" w:eastAsia="zh-CN" w:bidi="ar-SA"/>
        </w:rPr>
        <w:t>：</w:t>
      </w:r>
    </w:p>
    <w:p w14:paraId="1AB35FF3">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3.5.1</w:t>
      </w:r>
      <w:r>
        <w:rPr>
          <w:rFonts w:hint="eastAsia" w:ascii="微软雅黑" w:hAnsi="微软雅黑" w:eastAsia="微软雅黑" w:cs="Times New Roman"/>
          <w:bCs/>
          <w:kern w:val="2"/>
          <w:sz w:val="21"/>
          <w:szCs w:val="32"/>
          <w:lang w:val="en-US" w:eastAsia="zh-CN" w:bidi="ar-SA"/>
        </w:rPr>
        <w:t>具备网络连接，能开放</w:t>
      </w:r>
      <w:r>
        <w:rPr>
          <w:rFonts w:ascii="微软雅黑" w:hAnsi="微软雅黑" w:eastAsia="微软雅黑" w:cs="Times New Roman"/>
          <w:bCs/>
          <w:kern w:val="2"/>
          <w:sz w:val="21"/>
          <w:szCs w:val="32"/>
          <w:lang w:val="en-US" w:eastAsia="zh-CN" w:bidi="ar-SA"/>
        </w:rPr>
        <w:t>DICOM 3.0接口满足任何厂家PACS联网传输，并可支持DICOM结构化报告</w:t>
      </w:r>
    </w:p>
    <w:p w14:paraId="17203BF3">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3.5.2</w:t>
      </w:r>
      <w:r>
        <w:rPr>
          <w:rFonts w:hint="eastAsia" w:ascii="微软雅黑" w:hAnsi="微软雅黑" w:eastAsia="微软雅黑" w:cs="Times New Roman"/>
          <w:bCs/>
          <w:kern w:val="2"/>
          <w:sz w:val="21"/>
          <w:szCs w:val="32"/>
          <w:lang w:val="en-US" w:eastAsia="zh-CN" w:bidi="ar-SA"/>
        </w:rPr>
        <w:t>具备</w:t>
      </w:r>
      <w:r>
        <w:rPr>
          <w:rFonts w:ascii="微软雅黑" w:hAnsi="微软雅黑" w:eastAsia="微软雅黑" w:cs="Times New Roman"/>
          <w:bCs/>
          <w:kern w:val="2"/>
          <w:sz w:val="21"/>
          <w:szCs w:val="32"/>
          <w:lang w:val="en-US" w:eastAsia="zh-CN" w:bidi="ar-SA"/>
        </w:rPr>
        <w:t>移动设备无线传输，一键传输图片到智能手机终端或PC端。支持手机等移动终端APP远程操作设备</w:t>
      </w:r>
    </w:p>
    <w:p w14:paraId="0C88596A">
      <w:pPr>
        <w:keepNext/>
        <w:numPr>
          <w:ilvl w:val="0"/>
          <w:numId w:val="0"/>
        </w:numPr>
        <w:snapToGrid w:val="0"/>
        <w:ind w:left="0" w:leftChars="0" w:firstLine="0" w:firstLineChars="0"/>
        <w:outlineLvl w:val="0"/>
        <w:rPr>
          <w:rFonts w:ascii="微软雅黑" w:hAnsi="微软雅黑" w:eastAsia="微软雅黑" w:cs="Times New Roman"/>
          <w:b/>
          <w:bCs/>
          <w:kern w:val="32"/>
          <w:sz w:val="21"/>
          <w:szCs w:val="32"/>
          <w:lang w:val="en-US" w:eastAsia="zh-CN" w:bidi="ar-SA"/>
        </w:rPr>
      </w:pPr>
      <w:r>
        <w:rPr>
          <w:rFonts w:hint="eastAsia" w:ascii="微软雅黑" w:hAnsi="微软雅黑" w:eastAsia="微软雅黑" w:cs="Times New Roman"/>
          <w:b/>
          <w:bCs/>
          <w:kern w:val="32"/>
          <w:sz w:val="21"/>
          <w:szCs w:val="32"/>
          <w:lang w:val="en-US" w:eastAsia="zh-CN" w:bidi="ar-SA"/>
        </w:rPr>
        <w:t>四、</w:t>
      </w:r>
      <w:r>
        <w:rPr>
          <w:rFonts w:ascii="微软雅黑" w:hAnsi="微软雅黑" w:eastAsia="微软雅黑" w:cs="Times New Roman"/>
          <w:b/>
          <w:bCs/>
          <w:kern w:val="32"/>
          <w:sz w:val="21"/>
          <w:szCs w:val="32"/>
          <w:lang w:val="en-US" w:eastAsia="zh-CN" w:bidi="ar-SA"/>
        </w:rPr>
        <w:t>系统技术参数及要求：</w:t>
      </w:r>
    </w:p>
    <w:p w14:paraId="288BF9AA">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4.1</w:t>
      </w:r>
      <w:r>
        <w:rPr>
          <w:rFonts w:ascii="微软雅黑" w:hAnsi="微软雅黑" w:eastAsia="微软雅黑" w:cs="Times New Roman"/>
          <w:b/>
          <w:bCs/>
          <w:kern w:val="2"/>
          <w:sz w:val="21"/>
          <w:szCs w:val="32"/>
          <w:lang w:val="en-US" w:eastAsia="zh-CN" w:bidi="ar-SA"/>
        </w:rPr>
        <w:t>系统通用功能：</w:t>
      </w:r>
    </w:p>
    <w:p w14:paraId="12C58B09">
      <w:pPr>
        <w:numPr>
          <w:ilvl w:val="0"/>
          <w:numId w:val="0"/>
        </w:numPr>
        <w:snapToGrid w:val="0"/>
        <w:ind w:left="420" w:leftChars="0" w:firstLine="0" w:firstLineChars="0"/>
        <w:outlineLvl w:val="2"/>
        <w:rPr>
          <w:rFonts w:hint="eastAsia"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4.1.1</w:t>
      </w:r>
      <w:r>
        <w:rPr>
          <w:rFonts w:hint="eastAsia" w:ascii="微软雅黑" w:hAnsi="微软雅黑" w:eastAsia="微软雅黑" w:cs="微软雅黑"/>
          <w:bCs/>
          <w:color w:val="auto"/>
          <w:kern w:val="2"/>
          <w:sz w:val="21"/>
          <w:szCs w:val="32"/>
          <w:lang w:val="en-US" w:eastAsia="zh-CN" w:bidi="ar-SA"/>
        </w:rPr>
        <w:t>★</w:t>
      </w:r>
      <w:r>
        <w:rPr>
          <w:rFonts w:hint="eastAsia" w:ascii="微软雅黑" w:hAnsi="微软雅黑" w:eastAsia="微软雅黑" w:cs="Times New Roman"/>
          <w:bCs/>
          <w:color w:val="auto"/>
          <w:kern w:val="2"/>
          <w:sz w:val="21"/>
          <w:szCs w:val="32"/>
          <w:lang w:val="en-US" w:eastAsia="zh-CN" w:bidi="ar-SA"/>
        </w:rPr>
        <w:t>主机探头接口≥5个，大小一致，全激活、相互通用。</w:t>
      </w:r>
    </w:p>
    <w:p w14:paraId="78D8D4F7">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4.1.2预设条件：针对不同的检查脏器，预置最佳化图像的检查条件，减少操作时的调节。</w:t>
      </w:r>
    </w:p>
    <w:p w14:paraId="45633372">
      <w:pPr>
        <w:numPr>
          <w:ilvl w:val="0"/>
          <w:numId w:val="0"/>
        </w:numPr>
        <w:snapToGrid w:val="0"/>
        <w:ind w:left="284" w:leftChars="0" w:firstLine="0" w:firstLineChars="0"/>
        <w:outlineLvl w:val="1"/>
        <w:rPr>
          <w:rFonts w:ascii="微软雅黑" w:hAnsi="微软雅黑" w:eastAsia="微软雅黑" w:cs="Times New Roman"/>
          <w:b/>
          <w:bCs/>
          <w:color w:val="auto"/>
          <w:kern w:val="2"/>
          <w:sz w:val="21"/>
          <w:szCs w:val="32"/>
          <w:lang w:val="en-US" w:eastAsia="zh-CN" w:bidi="ar-SA"/>
        </w:rPr>
      </w:pPr>
      <w:r>
        <w:rPr>
          <w:rFonts w:hint="eastAsia" w:ascii="微软雅黑" w:hAnsi="微软雅黑" w:eastAsia="微软雅黑" w:cs="Times New Roman"/>
          <w:b/>
          <w:bCs/>
          <w:color w:val="auto"/>
          <w:spacing w:val="0"/>
          <w:w w:val="100"/>
          <w:kern w:val="21"/>
          <w:position w:val="0"/>
          <w:sz w:val="21"/>
          <w:szCs w:val="32"/>
          <w:lang w:val="en-US" w:eastAsia="zh-CN" w:bidi="ar-SA"/>
        </w:rPr>
        <w:t>4.2</w:t>
      </w:r>
      <w:r>
        <w:rPr>
          <w:rFonts w:hint="eastAsia" w:ascii="微软雅黑" w:hAnsi="微软雅黑" w:eastAsia="微软雅黑" w:cs="微软雅黑"/>
          <w:b/>
          <w:bCs/>
          <w:color w:val="auto"/>
          <w:kern w:val="2"/>
          <w:sz w:val="21"/>
          <w:szCs w:val="32"/>
          <w:lang w:val="en-US" w:eastAsia="zh-CN" w:bidi="ar-SA"/>
        </w:rPr>
        <w:t>★</w:t>
      </w:r>
      <w:r>
        <w:rPr>
          <w:rFonts w:ascii="微软雅黑" w:hAnsi="微软雅黑" w:eastAsia="微软雅黑" w:cs="Times New Roman"/>
          <w:b/>
          <w:bCs/>
          <w:color w:val="auto"/>
          <w:kern w:val="2"/>
          <w:sz w:val="21"/>
          <w:szCs w:val="32"/>
          <w:lang w:val="en-US" w:eastAsia="zh-CN" w:bidi="ar-SA"/>
        </w:rPr>
        <w:t>探头规格</w:t>
      </w:r>
    </w:p>
    <w:p w14:paraId="649A8691">
      <w:pPr>
        <w:numPr>
          <w:ilvl w:val="0"/>
          <w:numId w:val="0"/>
        </w:numPr>
        <w:snapToGrid w:val="0"/>
        <w:ind w:left="420" w:leftChars="0" w:firstLine="0" w:firstLineChars="0"/>
        <w:outlineLvl w:val="2"/>
        <w:rPr>
          <w:rFonts w:hint="eastAsia"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4.2.1</w:t>
      </w:r>
      <w:r>
        <w:rPr>
          <w:rFonts w:ascii="微软雅黑" w:hAnsi="微软雅黑" w:eastAsia="微软雅黑" w:cs="Times New Roman"/>
          <w:bCs/>
          <w:color w:val="auto"/>
          <w:kern w:val="2"/>
          <w:sz w:val="21"/>
          <w:szCs w:val="32"/>
          <w:lang w:val="en-US" w:eastAsia="zh-CN" w:bidi="ar-SA"/>
        </w:rPr>
        <w:t>频率：</w:t>
      </w:r>
      <w:r>
        <w:rPr>
          <w:rFonts w:hint="eastAsia" w:ascii="微软雅黑" w:hAnsi="微软雅黑" w:eastAsia="微软雅黑" w:cs="Times New Roman"/>
          <w:bCs/>
          <w:color w:val="auto"/>
          <w:kern w:val="2"/>
          <w:sz w:val="21"/>
          <w:szCs w:val="32"/>
          <w:lang w:val="en-US" w:eastAsia="zh-CN" w:bidi="ar-SA"/>
        </w:rPr>
        <w:t>超宽频带或变频探头，所配探头均为宽频变频探头</w:t>
      </w:r>
    </w:p>
    <w:p w14:paraId="68F2E62C">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4.2.2二维、谐波、彩色及频谱多普勒模式分别独立变频，≥</w:t>
      </w:r>
      <w:r>
        <w:rPr>
          <w:rFonts w:ascii="微软雅黑" w:hAnsi="微软雅黑" w:eastAsia="微软雅黑" w:cs="Times New Roman"/>
          <w:bCs/>
          <w:color w:val="auto"/>
          <w:kern w:val="2"/>
          <w:sz w:val="21"/>
          <w:szCs w:val="32"/>
          <w:lang w:val="en-US" w:eastAsia="zh-CN" w:bidi="ar-SA"/>
        </w:rPr>
        <w:t>3段；</w:t>
      </w:r>
    </w:p>
    <w:p w14:paraId="76B523B1">
      <w:pPr>
        <w:numPr>
          <w:ilvl w:val="0"/>
          <w:numId w:val="0"/>
        </w:numPr>
        <w:snapToGrid w:val="0"/>
        <w:ind w:left="420" w:leftChars="0" w:firstLine="0" w:firstLineChars="0"/>
        <w:outlineLvl w:val="2"/>
        <w:rPr>
          <w:rFonts w:hint="eastAsia"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4.2.3</w:t>
      </w:r>
      <w:r>
        <w:rPr>
          <w:rFonts w:ascii="微软雅黑" w:hAnsi="微软雅黑" w:eastAsia="微软雅黑" w:cs="Times New Roman"/>
          <w:bCs/>
          <w:color w:val="auto"/>
          <w:kern w:val="2"/>
          <w:sz w:val="21"/>
          <w:szCs w:val="32"/>
          <w:lang w:val="en-US" w:eastAsia="zh-CN" w:bidi="ar-SA"/>
        </w:rPr>
        <w:t>电子线阵探头阵元数≥192</w:t>
      </w:r>
    </w:p>
    <w:p w14:paraId="583533E8">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4.2.4一把</w:t>
      </w:r>
      <w:r>
        <w:rPr>
          <w:rFonts w:ascii="微软雅黑" w:hAnsi="微软雅黑" w:eastAsia="微软雅黑" w:cs="Times New Roman"/>
          <w:bCs/>
          <w:color w:val="auto"/>
          <w:kern w:val="2"/>
          <w:sz w:val="21"/>
          <w:szCs w:val="32"/>
          <w:lang w:val="en-US" w:eastAsia="zh-CN" w:bidi="ar-SA"/>
        </w:rPr>
        <w:t>腹部凸阵探头（</w:t>
      </w:r>
      <w:r>
        <w:rPr>
          <w:rFonts w:hint="eastAsia" w:ascii="微软雅黑" w:hAnsi="微软雅黑" w:eastAsia="微软雅黑" w:cs="Times New Roman"/>
          <w:bCs/>
          <w:color w:val="auto"/>
          <w:kern w:val="2"/>
          <w:sz w:val="21"/>
          <w:szCs w:val="32"/>
          <w:lang w:val="en-US" w:eastAsia="zh-CN" w:bidi="ar-SA"/>
        </w:rPr>
        <w:t>≤2.0-≥5.5MHz</w:t>
      </w:r>
      <w:r>
        <w:rPr>
          <w:rFonts w:ascii="微软雅黑" w:hAnsi="微软雅黑" w:eastAsia="微软雅黑" w:cs="Times New Roman"/>
          <w:bCs/>
          <w:color w:val="auto"/>
          <w:kern w:val="2"/>
          <w:sz w:val="21"/>
          <w:szCs w:val="32"/>
          <w:lang w:val="en-US" w:eastAsia="zh-CN" w:bidi="ar-SA"/>
        </w:rPr>
        <w:t>）</w:t>
      </w:r>
    </w:p>
    <w:p w14:paraId="37136543">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4.2.5一把</w:t>
      </w:r>
      <w:r>
        <w:rPr>
          <w:rFonts w:ascii="微软雅黑" w:hAnsi="微软雅黑" w:eastAsia="微软雅黑" w:cs="Times New Roman"/>
          <w:bCs/>
          <w:color w:val="auto"/>
          <w:kern w:val="2"/>
          <w:sz w:val="21"/>
          <w:szCs w:val="32"/>
          <w:lang w:val="en-US" w:eastAsia="zh-CN" w:bidi="ar-SA"/>
        </w:rPr>
        <w:t>血管/小器官线阵探头（</w:t>
      </w:r>
      <w:r>
        <w:rPr>
          <w:rFonts w:hint="eastAsia" w:ascii="微软雅黑" w:hAnsi="微软雅黑" w:eastAsia="微软雅黑" w:cs="Times New Roman"/>
          <w:bCs/>
          <w:color w:val="auto"/>
          <w:kern w:val="2"/>
          <w:sz w:val="21"/>
          <w:szCs w:val="32"/>
          <w:lang w:val="en-US" w:eastAsia="zh-CN" w:bidi="ar-SA"/>
        </w:rPr>
        <w:t>≤3.0-≥13.0MHz</w:t>
      </w:r>
      <w:r>
        <w:rPr>
          <w:rFonts w:ascii="微软雅黑" w:hAnsi="微软雅黑" w:eastAsia="微软雅黑" w:cs="Times New Roman"/>
          <w:bCs/>
          <w:color w:val="auto"/>
          <w:kern w:val="2"/>
          <w:sz w:val="21"/>
          <w:szCs w:val="32"/>
          <w:lang w:val="en-US" w:eastAsia="zh-CN" w:bidi="ar-SA"/>
        </w:rPr>
        <w:t>）</w:t>
      </w:r>
    </w:p>
    <w:p w14:paraId="5E99D333">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4.2.6一把腔内探头（≤3-≥11MHzMH</w:t>
      </w:r>
      <w:r>
        <w:rPr>
          <w:rFonts w:ascii="微软雅黑" w:hAnsi="微软雅黑" w:eastAsia="微软雅黑" w:cs="Times New Roman"/>
          <w:bCs/>
          <w:color w:val="auto"/>
          <w:kern w:val="2"/>
          <w:sz w:val="21"/>
          <w:szCs w:val="32"/>
          <w:lang w:val="en-US" w:eastAsia="zh-CN" w:bidi="ar-SA"/>
        </w:rPr>
        <w:t>z</w:t>
      </w:r>
      <w:r>
        <w:rPr>
          <w:rFonts w:hint="eastAsia" w:ascii="微软雅黑" w:hAnsi="微软雅黑" w:eastAsia="微软雅黑" w:cs="Times New Roman"/>
          <w:bCs/>
          <w:color w:val="auto"/>
          <w:kern w:val="2"/>
          <w:sz w:val="21"/>
          <w:szCs w:val="32"/>
          <w:lang w:val="en-US" w:eastAsia="zh-CN" w:bidi="ar-SA"/>
        </w:rPr>
        <w:t>），扫描角度≥190°</w:t>
      </w:r>
    </w:p>
    <w:p w14:paraId="6308BEAC">
      <w:pPr>
        <w:snapToGrid w:val="0"/>
        <w:ind w:left="0" w:leftChars="0" w:firstLine="420" w:firstLineChars="200"/>
        <w:rPr>
          <w:rFonts w:hint="eastAsia"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4.2.7 标配前列腺穿刺支架</w:t>
      </w:r>
    </w:p>
    <w:p w14:paraId="03B54C4C">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4.3</w:t>
      </w:r>
      <w:r>
        <w:rPr>
          <w:rFonts w:ascii="微软雅黑" w:hAnsi="微软雅黑" w:eastAsia="微软雅黑" w:cs="Times New Roman"/>
          <w:b/>
          <w:bCs/>
          <w:kern w:val="2"/>
          <w:sz w:val="21"/>
          <w:szCs w:val="32"/>
          <w:lang w:val="en-US" w:eastAsia="zh-CN" w:bidi="ar-SA"/>
        </w:rPr>
        <w:t>二维显像主要参数：</w:t>
      </w:r>
    </w:p>
    <w:p w14:paraId="2F427F4E">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4.3.1</w:t>
      </w:r>
      <w:r>
        <w:rPr>
          <w:rFonts w:ascii="微软雅黑" w:hAnsi="微软雅黑" w:eastAsia="微软雅黑" w:cs="Times New Roman"/>
          <w:bCs/>
          <w:kern w:val="2"/>
          <w:sz w:val="21"/>
          <w:szCs w:val="32"/>
          <w:lang w:val="en-US" w:eastAsia="zh-CN" w:bidi="ar-SA"/>
        </w:rPr>
        <w:t>成像速度：</w:t>
      </w:r>
      <w:r>
        <w:rPr>
          <w:rFonts w:hint="eastAsia" w:ascii="微软雅黑" w:hAnsi="微软雅黑" w:eastAsia="微软雅黑" w:cs="Times New Roman"/>
          <w:bCs/>
          <w:kern w:val="2"/>
          <w:sz w:val="21"/>
          <w:szCs w:val="32"/>
          <w:lang w:val="en-US" w:eastAsia="zh-CN" w:bidi="ar-SA"/>
        </w:rPr>
        <w:t>相控阵探头，</w:t>
      </w:r>
      <w:r>
        <w:rPr>
          <w:rFonts w:ascii="微软雅黑" w:hAnsi="微软雅黑" w:eastAsia="微软雅黑" w:cs="Times New Roman"/>
          <w:bCs/>
          <w:kern w:val="2"/>
          <w:sz w:val="21"/>
          <w:szCs w:val="32"/>
          <w:lang w:val="en-US" w:eastAsia="zh-CN" w:bidi="ar-SA"/>
        </w:rPr>
        <w:t>18CM深度时, 全视野，帧率≥57帧/秒；凸阵探头，18CM深度时, 全视野， 帧率≥39帧/秒</w:t>
      </w:r>
    </w:p>
    <w:p w14:paraId="482B62AF">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4.3.2</w:t>
      </w:r>
      <w:r>
        <w:rPr>
          <w:rFonts w:ascii="微软雅黑" w:hAnsi="微软雅黑" w:eastAsia="微软雅黑" w:cs="Times New Roman"/>
          <w:bCs/>
          <w:kern w:val="2"/>
          <w:sz w:val="21"/>
          <w:szCs w:val="32"/>
          <w:lang w:val="en-US" w:eastAsia="zh-CN" w:bidi="ar-SA"/>
        </w:rPr>
        <w:t>增益调节：B/M/D分别独立可调，≥100，可视可调步进≥1</w:t>
      </w:r>
      <w:r>
        <w:rPr>
          <w:rFonts w:hint="eastAsia" w:ascii="微软雅黑" w:hAnsi="微软雅黑" w:eastAsia="微软雅黑" w:cs="Times New Roman"/>
          <w:bCs/>
          <w:kern w:val="2"/>
          <w:sz w:val="21"/>
          <w:szCs w:val="32"/>
          <w:lang w:val="en-US" w:eastAsia="zh-CN" w:bidi="ar-SA"/>
        </w:rPr>
        <w:t>。</w:t>
      </w:r>
    </w:p>
    <w:p w14:paraId="5B98C26A">
      <w:pPr>
        <w:numPr>
          <w:ilvl w:val="0"/>
          <w:numId w:val="0"/>
        </w:numPr>
        <w:snapToGrid w:val="0"/>
        <w:ind w:left="420" w:leftChars="0" w:firstLine="0" w:firstLineChars="0"/>
        <w:outlineLvl w:val="2"/>
        <w:rPr>
          <w:rFonts w:ascii="微软雅黑" w:hAnsi="微软雅黑" w:eastAsia="微软雅黑" w:cs="Times New Roman"/>
          <w:bCs/>
          <w:kern w:val="2"/>
          <w:sz w:val="21"/>
          <w:szCs w:val="32"/>
          <w:shd w:val="clear" w:color="auto" w:fill="FFFFFF"/>
          <w:lang w:val="en-US" w:eastAsia="zh-CN" w:bidi="ar-SA"/>
        </w:rPr>
      </w:pPr>
      <w:r>
        <w:rPr>
          <w:rFonts w:hint="eastAsia" w:ascii="微软雅黑" w:hAnsi="微软雅黑" w:eastAsia="微软雅黑" w:cs="Times New Roman"/>
          <w:bCs/>
          <w:color w:val="auto"/>
          <w:kern w:val="2"/>
          <w:sz w:val="21"/>
          <w:szCs w:val="32"/>
          <w:shd w:val="clear" w:fill="FFFFFF"/>
          <w:lang w:val="en-US" w:eastAsia="zh-CN" w:bidi="ar-SA"/>
        </w:rPr>
        <w:t>4.3.3</w:t>
      </w:r>
      <w:r>
        <w:rPr>
          <w:rFonts w:ascii="微软雅黑" w:hAnsi="微软雅黑" w:eastAsia="微软雅黑" w:cs="Times New Roman"/>
          <w:bCs/>
          <w:kern w:val="2"/>
          <w:sz w:val="21"/>
          <w:szCs w:val="32"/>
          <w:shd w:val="clear" w:color="auto" w:fill="FFFFFF"/>
          <w:lang w:val="en-US" w:eastAsia="zh-CN" w:bidi="ar-SA"/>
        </w:rPr>
        <w:t>TGC: ≥8段，LGC: ≥8段</w:t>
      </w:r>
    </w:p>
    <w:p w14:paraId="1324CC3C">
      <w:pPr>
        <w:numPr>
          <w:ilvl w:val="0"/>
          <w:numId w:val="0"/>
        </w:numPr>
        <w:snapToGrid w:val="0"/>
        <w:ind w:left="420" w:leftChars="0" w:firstLine="0" w:firstLineChars="0"/>
        <w:outlineLvl w:val="2"/>
        <w:rPr>
          <w:rFonts w:hint="eastAsia"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4.3.4</w:t>
      </w:r>
      <w:r>
        <w:rPr>
          <w:rFonts w:ascii="微软雅黑" w:hAnsi="微软雅黑" w:eastAsia="微软雅黑" w:cs="Times New Roman"/>
          <w:bCs/>
          <w:color w:val="auto"/>
          <w:kern w:val="2"/>
          <w:sz w:val="21"/>
          <w:szCs w:val="32"/>
          <w:lang w:val="en-US" w:eastAsia="zh-CN" w:bidi="ar-SA"/>
        </w:rPr>
        <w:t>显示深度≥38cm</w:t>
      </w:r>
    </w:p>
    <w:p w14:paraId="52436229">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4.3.5</w:t>
      </w:r>
      <w:r>
        <w:rPr>
          <w:rFonts w:ascii="微软雅黑" w:hAnsi="微软雅黑" w:eastAsia="微软雅黑" w:cs="Times New Roman"/>
          <w:bCs/>
          <w:kern w:val="2"/>
          <w:sz w:val="21"/>
          <w:szCs w:val="32"/>
          <w:lang w:val="en-US" w:eastAsia="zh-CN" w:bidi="ar-SA"/>
        </w:rPr>
        <w:t>伪彩图谱: ≥8种</w:t>
      </w:r>
    </w:p>
    <w:p w14:paraId="0FFBB80E">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4.3.6</w:t>
      </w:r>
      <w:r>
        <w:rPr>
          <w:rFonts w:ascii="微软雅黑" w:hAnsi="微软雅黑" w:eastAsia="微软雅黑" w:cs="Times New Roman"/>
          <w:bCs/>
          <w:kern w:val="2"/>
          <w:sz w:val="21"/>
          <w:szCs w:val="32"/>
          <w:lang w:val="en-US" w:eastAsia="zh-CN" w:bidi="ar-SA"/>
        </w:rPr>
        <w:t>最大</w:t>
      </w:r>
      <w:r>
        <w:rPr>
          <w:rFonts w:hint="eastAsia" w:ascii="微软雅黑" w:hAnsi="微软雅黑" w:eastAsia="微软雅黑" w:cs="Times New Roman"/>
          <w:bCs/>
          <w:kern w:val="2"/>
          <w:sz w:val="21"/>
          <w:szCs w:val="32"/>
          <w:lang w:val="en-US" w:eastAsia="zh-CN" w:bidi="ar-SA"/>
        </w:rPr>
        <w:t>帧率</w:t>
      </w:r>
      <w:r>
        <w:rPr>
          <w:rFonts w:ascii="微软雅黑" w:hAnsi="微软雅黑" w:eastAsia="微软雅黑" w:cs="Times New Roman"/>
          <w:bCs/>
          <w:kern w:val="2"/>
          <w:sz w:val="21"/>
          <w:szCs w:val="32"/>
          <w:lang w:val="en-US" w:eastAsia="zh-CN" w:bidi="ar-SA"/>
        </w:rPr>
        <w:t>: ≥600 帧/秒</w:t>
      </w:r>
    </w:p>
    <w:p w14:paraId="61FEE1E9">
      <w:pPr>
        <w:numPr>
          <w:ilvl w:val="0"/>
          <w:numId w:val="0"/>
        </w:numPr>
        <w:snapToGrid w:val="0"/>
        <w:ind w:left="420" w:leftChars="0" w:firstLine="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4.3.7</w:t>
      </w:r>
      <w:r>
        <w:rPr>
          <w:rFonts w:hint="eastAsia" w:ascii="微软雅黑" w:hAnsi="微软雅黑" w:eastAsia="微软雅黑" w:cs="Times New Roman"/>
          <w:bCs/>
          <w:kern w:val="2"/>
          <w:sz w:val="21"/>
          <w:szCs w:val="32"/>
          <w:lang w:val="en-US" w:eastAsia="zh-CN" w:bidi="ar-SA"/>
        </w:rPr>
        <w:t>动态范围</w:t>
      </w:r>
      <w:r>
        <w:rPr>
          <w:rFonts w:ascii="微软雅黑" w:hAnsi="微软雅黑" w:eastAsia="微软雅黑" w:cs="Times New Roman"/>
          <w:bCs/>
          <w:kern w:val="2"/>
          <w:sz w:val="21"/>
          <w:szCs w:val="32"/>
          <w:lang w:val="en-US" w:eastAsia="zh-CN" w:bidi="ar-SA"/>
        </w:rPr>
        <w:t>：≥240，可视可调</w:t>
      </w:r>
    </w:p>
    <w:p w14:paraId="3BF3A3C1">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4.4</w:t>
      </w:r>
      <w:r>
        <w:rPr>
          <w:rFonts w:ascii="微软雅黑" w:hAnsi="微软雅黑" w:eastAsia="微软雅黑" w:cs="Times New Roman"/>
          <w:b/>
          <w:bCs/>
          <w:kern w:val="2"/>
          <w:sz w:val="21"/>
          <w:szCs w:val="32"/>
          <w:lang w:val="en-US" w:eastAsia="zh-CN" w:bidi="ar-SA"/>
        </w:rPr>
        <w:t>频谱多普勒：</w:t>
      </w:r>
    </w:p>
    <w:p w14:paraId="4D7EE584">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4.4.1</w:t>
      </w:r>
      <w:r>
        <w:rPr>
          <w:rFonts w:ascii="微软雅黑" w:hAnsi="微软雅黑" w:eastAsia="微软雅黑" w:cs="Times New Roman"/>
          <w:bCs/>
          <w:kern w:val="2"/>
          <w:sz w:val="21"/>
          <w:szCs w:val="32"/>
          <w:lang w:val="en-US" w:eastAsia="zh-CN" w:bidi="ar-SA"/>
        </w:rPr>
        <w:t>显示模式：</w:t>
      </w:r>
      <w:r>
        <w:rPr>
          <w:rFonts w:hint="eastAsia" w:ascii="微软雅黑" w:hAnsi="微软雅黑" w:eastAsia="微软雅黑" w:cs="Times New Roman"/>
          <w:bCs/>
          <w:kern w:val="2"/>
          <w:sz w:val="21"/>
          <w:szCs w:val="32"/>
          <w:lang w:val="en-US" w:eastAsia="zh-CN" w:bidi="ar-SA"/>
        </w:rPr>
        <w:t>脉冲多普勒、高脉冲重复频率、连续多普勒</w:t>
      </w:r>
    </w:p>
    <w:p w14:paraId="4125DB12">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4.4.2</w:t>
      </w:r>
      <w:r>
        <w:rPr>
          <w:rFonts w:ascii="微软雅黑" w:hAnsi="微软雅黑" w:eastAsia="微软雅黑" w:cs="Times New Roman"/>
          <w:bCs/>
          <w:kern w:val="2"/>
          <w:sz w:val="21"/>
          <w:szCs w:val="32"/>
          <w:lang w:val="en-US" w:eastAsia="zh-CN" w:bidi="ar-SA"/>
        </w:rPr>
        <w:t>测量速度：</w:t>
      </w:r>
      <w:r>
        <w:rPr>
          <w:rFonts w:hint="eastAsia" w:ascii="微软雅黑" w:hAnsi="微软雅黑" w:eastAsia="微软雅黑" w:cs="Times New Roman"/>
          <w:bCs/>
          <w:color w:val="auto"/>
          <w:kern w:val="2"/>
          <w:sz w:val="21"/>
          <w:szCs w:val="32"/>
          <w:lang w:val="en-US" w:eastAsia="zh-CN" w:bidi="ar-SA"/>
        </w:rPr>
        <w:t>≥</w:t>
      </w:r>
      <w:r>
        <w:rPr>
          <w:rFonts w:ascii="微软雅黑" w:hAnsi="微软雅黑" w:eastAsia="微软雅黑" w:cs="Times New Roman"/>
          <w:bCs/>
          <w:color w:val="auto"/>
          <w:kern w:val="2"/>
          <w:sz w:val="21"/>
          <w:szCs w:val="32"/>
          <w:lang w:val="en-US" w:eastAsia="zh-CN" w:bidi="ar-SA"/>
        </w:rPr>
        <w:t>7.2m/s（连续多普勒速度: ≥35m/s）</w:t>
      </w:r>
    </w:p>
    <w:p w14:paraId="6AF96C8A">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4.4.3</w:t>
      </w:r>
      <w:r>
        <w:rPr>
          <w:rFonts w:ascii="微软雅黑" w:hAnsi="微软雅黑" w:eastAsia="微软雅黑" w:cs="Times New Roman"/>
          <w:bCs/>
          <w:kern w:val="2"/>
          <w:sz w:val="21"/>
          <w:szCs w:val="32"/>
          <w:lang w:val="en-US" w:eastAsia="zh-CN" w:bidi="ar-SA"/>
        </w:rPr>
        <w:t>测量速度：</w:t>
      </w:r>
      <w:r>
        <w:rPr>
          <w:rFonts w:ascii="微软雅黑" w:hAnsi="微软雅黑" w:eastAsia="微软雅黑" w:cs="Times New Roman"/>
          <w:bCs/>
          <w:color w:val="auto"/>
          <w:kern w:val="2"/>
          <w:sz w:val="21"/>
          <w:szCs w:val="32"/>
          <w:lang w:val="en-US" w:eastAsia="zh-CN" w:bidi="ar-SA"/>
        </w:rPr>
        <w:t>≤13.1cm/s</w:t>
      </w:r>
    </w:p>
    <w:p w14:paraId="21DB9FBD">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4.4.4</w:t>
      </w:r>
      <w:r>
        <w:rPr>
          <w:rFonts w:ascii="微软雅黑" w:hAnsi="微软雅黑" w:eastAsia="微软雅黑" w:cs="Times New Roman"/>
          <w:bCs/>
          <w:kern w:val="2"/>
          <w:sz w:val="21"/>
          <w:szCs w:val="32"/>
          <w:lang w:val="en-US" w:eastAsia="zh-CN" w:bidi="ar-SA"/>
        </w:rPr>
        <w:t>偏转角度: ≥±30° (线阵探头) ，并支持快速角度校正</w:t>
      </w:r>
    </w:p>
    <w:p w14:paraId="13402DCC">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4.4.5</w:t>
      </w:r>
      <w:r>
        <w:rPr>
          <w:rFonts w:ascii="微软雅黑" w:hAnsi="微软雅黑" w:eastAsia="微软雅黑" w:cs="Times New Roman"/>
          <w:bCs/>
          <w:kern w:val="2"/>
          <w:sz w:val="21"/>
          <w:szCs w:val="32"/>
          <w:lang w:val="en-US" w:eastAsia="zh-CN" w:bidi="ar-SA"/>
        </w:rPr>
        <w:t xml:space="preserve">取样宽度及位置范围： 0.5-30mm </w:t>
      </w:r>
    </w:p>
    <w:p w14:paraId="2503131E">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4.4.6</w:t>
      </w:r>
      <w:r>
        <w:rPr>
          <w:rFonts w:ascii="微软雅黑" w:hAnsi="微软雅黑" w:eastAsia="微软雅黑" w:cs="Times New Roman"/>
          <w:bCs/>
          <w:kern w:val="2"/>
          <w:sz w:val="21"/>
          <w:szCs w:val="32"/>
          <w:lang w:val="en-US" w:eastAsia="zh-CN" w:bidi="ar-SA"/>
        </w:rPr>
        <w:t>零位移动：</w:t>
      </w:r>
      <w:r>
        <w:rPr>
          <w:rFonts w:ascii="微软雅黑" w:hAnsi="微软雅黑" w:eastAsia="微软雅黑" w:cs="Times New Roman"/>
          <w:bCs/>
          <w:kern w:val="2"/>
          <w:sz w:val="21"/>
          <w:szCs w:val="32"/>
          <w:lang w:val="en-US" w:eastAsia="zh-CN" w:bidi="ar-SA"/>
        </w:rPr>
        <w:sym w:font="Symbol" w:char="F0B3"/>
      </w:r>
      <w:r>
        <w:rPr>
          <w:rFonts w:ascii="微软雅黑" w:hAnsi="微软雅黑" w:eastAsia="微软雅黑" w:cs="Times New Roman"/>
          <w:bCs/>
          <w:kern w:val="2"/>
          <w:sz w:val="21"/>
          <w:szCs w:val="32"/>
          <w:lang w:val="en-US" w:eastAsia="zh-CN" w:bidi="ar-SA"/>
        </w:rPr>
        <w:t>8级</w:t>
      </w:r>
    </w:p>
    <w:p w14:paraId="69F6EE2F">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4.4.7</w:t>
      </w:r>
      <w:r>
        <w:rPr>
          <w:rFonts w:hint="eastAsia" w:ascii="微软雅黑" w:hAnsi="微软雅黑" w:eastAsia="微软雅黑" w:cs="Times New Roman"/>
          <w:bCs/>
          <w:kern w:val="2"/>
          <w:sz w:val="21"/>
          <w:szCs w:val="32"/>
          <w:lang w:val="en-US" w:eastAsia="zh-CN" w:bidi="ar-SA"/>
        </w:rPr>
        <w:t>实时</w:t>
      </w:r>
      <w:r>
        <w:rPr>
          <w:rFonts w:ascii="微软雅黑" w:hAnsi="微软雅黑" w:eastAsia="微软雅黑" w:cs="Times New Roman"/>
          <w:bCs/>
          <w:kern w:val="2"/>
          <w:sz w:val="21"/>
          <w:szCs w:val="32"/>
          <w:lang w:val="en-US" w:eastAsia="zh-CN" w:bidi="ar-SA"/>
        </w:rPr>
        <w:t>自动包络频谱并完成频谱测量计算</w:t>
      </w:r>
    </w:p>
    <w:p w14:paraId="4F17A51B">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4.5</w:t>
      </w:r>
      <w:r>
        <w:rPr>
          <w:rFonts w:ascii="微软雅黑" w:hAnsi="微软雅黑" w:eastAsia="微软雅黑" w:cs="Times New Roman"/>
          <w:b/>
          <w:bCs/>
          <w:kern w:val="2"/>
          <w:sz w:val="21"/>
          <w:szCs w:val="32"/>
          <w:lang w:val="en-US" w:eastAsia="zh-CN" w:bidi="ar-SA"/>
        </w:rPr>
        <w:t>彩色多普勒：</w:t>
      </w:r>
    </w:p>
    <w:p w14:paraId="73AE56EF">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4.5.1</w:t>
      </w:r>
      <w:r>
        <w:rPr>
          <w:rFonts w:ascii="微软雅黑" w:hAnsi="微软雅黑" w:eastAsia="微软雅黑" w:cs="Times New Roman"/>
          <w:bCs/>
          <w:kern w:val="2"/>
          <w:sz w:val="21"/>
          <w:szCs w:val="32"/>
          <w:lang w:val="en-US" w:eastAsia="zh-CN" w:bidi="ar-SA"/>
        </w:rPr>
        <w:t>显示方式：包括速度、速度方差、能量、方向能量显示等</w:t>
      </w:r>
    </w:p>
    <w:p w14:paraId="5C924CC9">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4.5.2</w:t>
      </w:r>
      <w:r>
        <w:rPr>
          <w:rFonts w:ascii="微软雅黑" w:hAnsi="微软雅黑" w:eastAsia="微软雅黑" w:cs="Times New Roman"/>
          <w:bCs/>
          <w:color w:val="auto"/>
          <w:kern w:val="2"/>
          <w:sz w:val="21"/>
          <w:szCs w:val="32"/>
          <w:lang w:val="en-US" w:eastAsia="zh-CN" w:bidi="ar-SA"/>
        </w:rPr>
        <w:t>速度标识功能，标识不同血流速度边界，观察血流分布及速度梯度</w:t>
      </w:r>
    </w:p>
    <w:p w14:paraId="53DF9E97">
      <w:pPr>
        <w:numPr>
          <w:ilvl w:val="0"/>
          <w:numId w:val="0"/>
        </w:numPr>
        <w:snapToGrid w:val="0"/>
        <w:ind w:left="420" w:leftChars="0" w:firstLine="0" w:firstLineChars="0"/>
        <w:outlineLvl w:val="2"/>
        <w:rPr>
          <w:rFonts w:ascii="微软雅黑" w:hAnsi="微软雅黑" w:eastAsia="微软雅黑" w:cs="Times New Roman"/>
          <w:bCs/>
          <w:color w:val="auto"/>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4.5.3</w:t>
      </w:r>
      <w:r>
        <w:rPr>
          <w:rFonts w:hint="eastAsia" w:ascii="微软雅黑" w:hAnsi="微软雅黑" w:eastAsia="微软雅黑" w:cs="微软雅黑"/>
          <w:bCs/>
          <w:color w:val="auto"/>
          <w:kern w:val="2"/>
          <w:sz w:val="21"/>
          <w:szCs w:val="32"/>
          <w:lang w:val="en-US" w:eastAsia="zh-CN" w:bidi="ar-SA"/>
        </w:rPr>
        <w:t>★</w:t>
      </w:r>
      <w:r>
        <w:rPr>
          <w:rFonts w:ascii="微软雅黑" w:hAnsi="微软雅黑" w:eastAsia="微软雅黑" w:cs="Times New Roman"/>
          <w:bCs/>
          <w:color w:val="auto"/>
          <w:kern w:val="2"/>
          <w:sz w:val="21"/>
          <w:szCs w:val="32"/>
          <w:lang w:val="en-US" w:eastAsia="zh-CN" w:bidi="ar-SA"/>
        </w:rPr>
        <w:t>取样框偏转: ≥±30°，取样框可根据探头血流方向自动调节</w:t>
      </w:r>
    </w:p>
    <w:p w14:paraId="1D32360E">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4.5.4</w:t>
      </w:r>
      <w:r>
        <w:rPr>
          <w:rFonts w:ascii="微软雅黑" w:hAnsi="微软雅黑" w:eastAsia="微软雅黑" w:cs="Times New Roman"/>
          <w:bCs/>
          <w:kern w:val="2"/>
          <w:sz w:val="21"/>
          <w:szCs w:val="32"/>
          <w:lang w:val="en-US" w:eastAsia="zh-CN" w:bidi="ar-SA"/>
        </w:rPr>
        <w:t>最大帧率: ≥220 帧/秒</w:t>
      </w:r>
    </w:p>
    <w:p w14:paraId="13C1F8D1">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4.5.5</w:t>
      </w:r>
      <w:r>
        <w:rPr>
          <w:rFonts w:hint="eastAsia" w:ascii="微软雅黑" w:hAnsi="微软雅黑" w:eastAsia="微软雅黑" w:cs="Times New Roman"/>
          <w:bCs/>
          <w:kern w:val="2"/>
          <w:sz w:val="21"/>
          <w:szCs w:val="32"/>
          <w:lang w:val="en-US" w:eastAsia="zh-CN" w:bidi="ar-SA"/>
        </w:rPr>
        <w:t>彩色增强功能：彩色多普勒能量图(PDI);组织多普勒(TDI)</w:t>
      </w:r>
    </w:p>
    <w:p w14:paraId="795E4FD8">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4.5.6</w:t>
      </w:r>
      <w:r>
        <w:rPr>
          <w:rFonts w:hint="eastAsia" w:ascii="微软雅黑" w:hAnsi="微软雅黑" w:eastAsia="微软雅黑" w:cs="Times New Roman"/>
          <w:bCs/>
          <w:kern w:val="2"/>
          <w:sz w:val="21"/>
          <w:szCs w:val="32"/>
          <w:lang w:val="en-US" w:eastAsia="zh-CN" w:bidi="ar-SA"/>
        </w:rPr>
        <w:t>彩色频谱自动反转</w:t>
      </w:r>
      <w:r>
        <w:rPr>
          <w:rFonts w:ascii="微软雅黑" w:hAnsi="微软雅黑" w:eastAsia="微软雅黑" w:cs="Times New Roman"/>
          <w:bCs/>
          <w:kern w:val="2"/>
          <w:sz w:val="21"/>
          <w:szCs w:val="32"/>
          <w:lang w:val="en-US" w:eastAsia="zh-CN" w:bidi="ar-SA"/>
        </w:rPr>
        <w:t>：</w:t>
      </w:r>
      <w:r>
        <w:rPr>
          <w:rFonts w:hint="eastAsia" w:ascii="微软雅黑" w:hAnsi="微软雅黑" w:eastAsia="微软雅黑" w:cs="Times New Roman"/>
          <w:bCs/>
          <w:kern w:val="2"/>
          <w:sz w:val="21"/>
          <w:szCs w:val="32"/>
          <w:lang w:val="en-US" w:eastAsia="zh-CN" w:bidi="ar-SA"/>
        </w:rPr>
        <w:t>当调节彩色取样框从一侧偏转向另一侧时，系统可自动触发反转功能，保证偏转调节过程中，血管内血流颜色不变</w:t>
      </w:r>
    </w:p>
    <w:p w14:paraId="5DD54BCF">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4.6</w:t>
      </w:r>
      <w:r>
        <w:rPr>
          <w:rFonts w:ascii="微软雅黑" w:hAnsi="微软雅黑" w:eastAsia="微软雅黑" w:cs="Times New Roman"/>
          <w:b/>
          <w:bCs/>
          <w:kern w:val="2"/>
          <w:sz w:val="21"/>
          <w:szCs w:val="32"/>
          <w:lang w:val="en-US" w:eastAsia="zh-CN" w:bidi="ar-SA"/>
        </w:rPr>
        <w:t>记录装置：</w:t>
      </w:r>
    </w:p>
    <w:p w14:paraId="150C876D">
      <w:pPr>
        <w:numPr>
          <w:ilvl w:val="0"/>
          <w:numId w:val="0"/>
        </w:numPr>
        <w:snapToGrid w:val="0"/>
        <w:ind w:left="903" w:leftChars="0" w:hanging="42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4.6.1</w:t>
      </w:r>
      <w:r>
        <w:rPr>
          <w:rFonts w:ascii="微软雅黑" w:hAnsi="微软雅黑" w:eastAsia="微软雅黑" w:cs="Times New Roman"/>
          <w:bCs/>
          <w:kern w:val="2"/>
          <w:sz w:val="21"/>
          <w:szCs w:val="32"/>
          <w:lang w:val="en-US" w:eastAsia="zh-CN" w:bidi="ar-SA"/>
        </w:rPr>
        <w:t>内置一体化超声工作站：数字化储存静态及动态图像，</w:t>
      </w:r>
      <w:r>
        <w:rPr>
          <w:rFonts w:hint="eastAsia" w:ascii="微软雅黑" w:hAnsi="微软雅黑" w:eastAsia="微软雅黑" w:cs="Times New Roman"/>
          <w:bCs/>
          <w:kern w:val="2"/>
          <w:sz w:val="21"/>
          <w:szCs w:val="32"/>
          <w:lang w:val="en-US" w:eastAsia="zh-CN" w:bidi="ar-SA"/>
        </w:rPr>
        <w:t>图像支持</w:t>
      </w:r>
      <w:r>
        <w:rPr>
          <w:rFonts w:ascii="微软雅黑" w:hAnsi="微软雅黑" w:eastAsia="微软雅黑" w:cs="Times New Roman"/>
          <w:bCs/>
          <w:kern w:val="2"/>
          <w:sz w:val="21"/>
          <w:szCs w:val="32"/>
          <w:lang w:val="en-US" w:eastAsia="zh-CN" w:bidi="ar-SA"/>
        </w:rPr>
        <w:t>BMP</w:t>
      </w:r>
      <w:r>
        <w:rPr>
          <w:rFonts w:hint="eastAsia" w:ascii="微软雅黑" w:hAnsi="微软雅黑" w:eastAsia="微软雅黑" w:cs="Times New Roman"/>
          <w:bCs/>
          <w:kern w:val="2"/>
          <w:sz w:val="21"/>
          <w:szCs w:val="32"/>
          <w:lang w:val="en-US" w:eastAsia="zh-CN" w:bidi="ar-SA"/>
        </w:rPr>
        <w:t>、</w:t>
      </w:r>
      <w:r>
        <w:rPr>
          <w:rFonts w:ascii="微软雅黑" w:hAnsi="微软雅黑" w:eastAsia="微软雅黑" w:cs="Times New Roman"/>
          <w:bCs/>
          <w:kern w:val="2"/>
          <w:sz w:val="21"/>
          <w:szCs w:val="32"/>
          <w:lang w:val="en-US" w:eastAsia="zh-CN" w:bidi="ar-SA"/>
        </w:rPr>
        <w:t>JPG</w:t>
      </w:r>
      <w:r>
        <w:rPr>
          <w:rFonts w:hint="eastAsia" w:ascii="微软雅黑" w:hAnsi="微软雅黑" w:eastAsia="微软雅黑" w:cs="Times New Roman"/>
          <w:bCs/>
          <w:kern w:val="2"/>
          <w:sz w:val="21"/>
          <w:szCs w:val="32"/>
          <w:lang w:val="en-US" w:eastAsia="zh-CN" w:bidi="ar-SA"/>
        </w:rPr>
        <w:t>、TIF</w:t>
      </w:r>
      <w:r>
        <w:rPr>
          <w:rFonts w:ascii="微软雅黑" w:hAnsi="微软雅黑" w:eastAsia="微软雅黑" w:cs="Times New Roman"/>
          <w:bCs/>
          <w:kern w:val="2"/>
          <w:sz w:val="21"/>
          <w:szCs w:val="32"/>
          <w:lang w:val="en-US" w:eastAsia="zh-CN" w:bidi="ar-SA"/>
        </w:rPr>
        <w:t>F</w:t>
      </w:r>
      <w:r>
        <w:rPr>
          <w:rFonts w:hint="eastAsia" w:ascii="微软雅黑" w:hAnsi="微软雅黑" w:eastAsia="微软雅黑" w:cs="Times New Roman"/>
          <w:bCs/>
          <w:kern w:val="2"/>
          <w:sz w:val="21"/>
          <w:szCs w:val="32"/>
          <w:lang w:val="en-US" w:eastAsia="zh-CN" w:bidi="ar-SA"/>
        </w:rPr>
        <w:t>、D</w:t>
      </w:r>
      <w:r>
        <w:rPr>
          <w:rFonts w:ascii="微软雅黑" w:hAnsi="微软雅黑" w:eastAsia="微软雅黑" w:cs="Times New Roman"/>
          <w:bCs/>
          <w:kern w:val="2"/>
          <w:sz w:val="21"/>
          <w:szCs w:val="32"/>
          <w:lang w:val="en-US" w:eastAsia="zh-CN" w:bidi="ar-SA"/>
        </w:rPr>
        <w:t>CM</w:t>
      </w:r>
      <w:r>
        <w:rPr>
          <w:rFonts w:hint="eastAsia" w:ascii="微软雅黑" w:hAnsi="微软雅黑" w:eastAsia="微软雅黑" w:cs="Times New Roman"/>
          <w:bCs/>
          <w:kern w:val="2"/>
          <w:sz w:val="21"/>
          <w:szCs w:val="32"/>
          <w:lang w:val="en-US" w:eastAsia="zh-CN" w:bidi="ar-SA"/>
        </w:rPr>
        <w:t>、</w:t>
      </w:r>
      <w:r>
        <w:rPr>
          <w:rFonts w:ascii="微软雅黑" w:hAnsi="微软雅黑" w:eastAsia="微软雅黑" w:cs="Times New Roman"/>
          <w:bCs/>
          <w:kern w:val="2"/>
          <w:sz w:val="21"/>
          <w:szCs w:val="32"/>
          <w:lang w:val="en-US" w:eastAsia="zh-CN" w:bidi="ar-SA"/>
        </w:rPr>
        <w:t xml:space="preserve"> AVI、MP4格式直接</w:t>
      </w:r>
      <w:r>
        <w:rPr>
          <w:rFonts w:hint="eastAsia" w:ascii="微软雅黑" w:hAnsi="微软雅黑" w:eastAsia="微软雅黑" w:cs="Times New Roman"/>
          <w:bCs/>
          <w:kern w:val="2"/>
          <w:sz w:val="21"/>
          <w:szCs w:val="32"/>
          <w:lang w:val="en-US" w:eastAsia="zh-CN" w:bidi="ar-SA"/>
        </w:rPr>
        <w:t>导出。</w:t>
      </w:r>
    </w:p>
    <w:p w14:paraId="0446A4AC">
      <w:pPr>
        <w:numPr>
          <w:ilvl w:val="0"/>
          <w:numId w:val="0"/>
        </w:numPr>
        <w:snapToGrid w:val="0"/>
        <w:ind w:left="903" w:leftChars="0" w:hanging="42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4.6.2</w:t>
      </w:r>
      <w:r>
        <w:rPr>
          <w:rFonts w:ascii="微软雅黑" w:hAnsi="微软雅黑" w:eastAsia="微软雅黑" w:cs="Times New Roman"/>
          <w:bCs/>
          <w:kern w:val="2"/>
          <w:sz w:val="21"/>
          <w:szCs w:val="32"/>
          <w:lang w:val="en-US" w:eastAsia="zh-CN" w:bidi="ar-SA"/>
        </w:rPr>
        <w:t>内置数字录像机可用于教学，存储时间≥60分钟</w:t>
      </w:r>
    </w:p>
    <w:p w14:paraId="60DA455F">
      <w:pPr>
        <w:numPr>
          <w:ilvl w:val="0"/>
          <w:numId w:val="0"/>
        </w:numPr>
        <w:snapToGrid w:val="0"/>
        <w:ind w:left="903" w:leftChars="0" w:hanging="42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4.6.3</w:t>
      </w:r>
      <w:r>
        <w:rPr>
          <w:rFonts w:hint="eastAsia" w:ascii="微软雅黑" w:hAnsi="微软雅黑" w:eastAsia="微软雅黑" w:cs="Times New Roman"/>
          <w:bCs/>
          <w:kern w:val="2"/>
          <w:sz w:val="21"/>
          <w:szCs w:val="32"/>
          <w:lang w:val="en-US" w:eastAsia="zh-CN" w:bidi="ar-SA"/>
        </w:rPr>
        <w:t>内置</w:t>
      </w:r>
      <w:r>
        <w:rPr>
          <w:rFonts w:ascii="微软雅黑" w:hAnsi="微软雅黑" w:eastAsia="微软雅黑" w:cs="Times New Roman"/>
          <w:bCs/>
          <w:kern w:val="2"/>
          <w:sz w:val="21"/>
          <w:szCs w:val="32"/>
          <w:lang w:val="en-US" w:eastAsia="zh-CN" w:bidi="ar-SA"/>
        </w:rPr>
        <w:t>USB接口≥6</w:t>
      </w:r>
    </w:p>
    <w:p w14:paraId="3791228B">
      <w:pPr>
        <w:numPr>
          <w:ilvl w:val="0"/>
          <w:numId w:val="0"/>
        </w:numPr>
        <w:snapToGrid w:val="0"/>
        <w:ind w:left="284" w:leftChars="0" w:firstLine="0" w:firstLineChars="0"/>
        <w:outlineLvl w:val="1"/>
        <w:rPr>
          <w:rFonts w:ascii="微软雅黑" w:hAnsi="微软雅黑" w:eastAsia="微软雅黑" w:cs="Times New Roman"/>
          <w:b/>
          <w:bCs/>
          <w:kern w:val="2"/>
          <w:sz w:val="21"/>
          <w:szCs w:val="32"/>
          <w:lang w:val="en-US" w:eastAsia="zh-CN" w:bidi="ar-SA"/>
        </w:rPr>
      </w:pPr>
      <w:r>
        <w:rPr>
          <w:rFonts w:hint="eastAsia" w:ascii="微软雅黑" w:hAnsi="微软雅黑" w:eastAsia="微软雅黑" w:cs="Times New Roman"/>
          <w:b/>
          <w:bCs/>
          <w:spacing w:val="0"/>
          <w:w w:val="100"/>
          <w:kern w:val="21"/>
          <w:position w:val="0"/>
          <w:sz w:val="21"/>
          <w:szCs w:val="32"/>
          <w:lang w:val="en-US" w:eastAsia="zh-CN" w:bidi="ar-SA"/>
        </w:rPr>
        <w:t>4.7</w:t>
      </w:r>
      <w:r>
        <w:rPr>
          <w:rFonts w:hint="eastAsia" w:ascii="微软雅黑" w:hAnsi="微软雅黑" w:eastAsia="微软雅黑" w:cs="Times New Roman"/>
          <w:b/>
          <w:bCs/>
          <w:kern w:val="2"/>
          <w:sz w:val="21"/>
          <w:szCs w:val="32"/>
          <w:lang w:val="en-US" w:eastAsia="zh-CN" w:bidi="ar-SA"/>
        </w:rPr>
        <w:t>外设和附件</w:t>
      </w:r>
    </w:p>
    <w:p w14:paraId="22D00B6C">
      <w:pPr>
        <w:numPr>
          <w:ilvl w:val="0"/>
          <w:numId w:val="0"/>
        </w:numPr>
        <w:snapToGrid w:val="0"/>
        <w:ind w:left="903" w:leftChars="0" w:hanging="420" w:firstLineChars="0"/>
        <w:outlineLvl w:val="2"/>
        <w:rPr>
          <w:rFonts w:hint="eastAsia"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4.7.1</w:t>
      </w:r>
      <w:r>
        <w:rPr>
          <w:rFonts w:hint="eastAsia" w:ascii="微软雅黑" w:hAnsi="微软雅黑" w:eastAsia="微软雅黑" w:cs="Times New Roman"/>
          <w:bCs/>
          <w:kern w:val="2"/>
          <w:sz w:val="21"/>
          <w:szCs w:val="32"/>
          <w:lang w:val="en-US" w:eastAsia="zh-CN" w:bidi="ar-SA"/>
        </w:rPr>
        <w:t>具备主机一体化耦合剂加热器，</w:t>
      </w:r>
      <w:r>
        <w:rPr>
          <w:rFonts w:hint="eastAsia" w:ascii="微软雅黑" w:hAnsi="微软雅黑" w:eastAsia="微软雅黑" w:cs="Times New Roman"/>
          <w:bCs/>
          <w:kern w:val="2"/>
          <w:sz w:val="21"/>
          <w:szCs w:val="21"/>
          <w:lang w:val="en-US" w:eastAsia="zh-CN" w:bidi="ar-SA"/>
        </w:rPr>
        <w:t>耦合剂温度三挡可调</w:t>
      </w:r>
    </w:p>
    <w:p w14:paraId="059C8297">
      <w:pPr>
        <w:numPr>
          <w:ilvl w:val="0"/>
          <w:numId w:val="0"/>
        </w:numPr>
        <w:snapToGrid w:val="0"/>
        <w:ind w:left="420" w:leftChars="0" w:firstLine="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4.7.2</w:t>
      </w:r>
      <w:r>
        <w:rPr>
          <w:rFonts w:hint="eastAsia" w:ascii="微软雅黑" w:hAnsi="微软雅黑" w:eastAsia="微软雅黑" w:cs="Times New Roman"/>
          <w:bCs/>
          <w:kern w:val="2"/>
          <w:sz w:val="21"/>
          <w:szCs w:val="32"/>
          <w:lang w:val="en-US" w:eastAsia="zh-CN" w:bidi="ar-SA"/>
        </w:rPr>
        <w:t>腔内探头放置架</w:t>
      </w:r>
    </w:p>
    <w:p w14:paraId="1E39B4B9">
      <w:pPr>
        <w:numPr>
          <w:ilvl w:val="0"/>
          <w:numId w:val="0"/>
        </w:numPr>
        <w:snapToGrid w:val="0"/>
        <w:ind w:left="903" w:leftChars="0" w:hanging="420" w:firstLineChars="0"/>
        <w:outlineLvl w:val="2"/>
        <w:rPr>
          <w:rFonts w:ascii="微软雅黑" w:hAnsi="微软雅黑" w:eastAsia="微软雅黑" w:cs="Times New Roman"/>
          <w:bCs/>
          <w:kern w:val="2"/>
          <w:sz w:val="21"/>
          <w:szCs w:val="32"/>
          <w:lang w:val="en-US" w:eastAsia="zh-CN" w:bidi="ar-SA"/>
        </w:rPr>
      </w:pPr>
      <w:r>
        <w:rPr>
          <w:rFonts w:hint="eastAsia" w:ascii="微软雅黑" w:hAnsi="微软雅黑" w:eastAsia="微软雅黑" w:cs="Times New Roman"/>
          <w:bCs/>
          <w:color w:val="auto"/>
          <w:kern w:val="2"/>
          <w:sz w:val="21"/>
          <w:szCs w:val="32"/>
          <w:lang w:val="en-US" w:eastAsia="zh-CN" w:bidi="ar-SA"/>
        </w:rPr>
        <w:t>4.7.3</w:t>
      </w:r>
      <w:r>
        <w:rPr>
          <w:rFonts w:hint="eastAsia" w:ascii="微软雅黑" w:hAnsi="微软雅黑" w:eastAsia="微软雅黑" w:cs="Times New Roman"/>
          <w:bCs/>
          <w:kern w:val="2"/>
          <w:sz w:val="21"/>
          <w:szCs w:val="21"/>
          <w:lang w:val="en-US" w:eastAsia="zh-CN" w:bidi="ar-SA"/>
        </w:rPr>
        <w:t>QWERTY背光小键盘</w:t>
      </w:r>
    </w:p>
    <w:p w14:paraId="05251BD9">
      <w:pPr>
        <w:numPr>
          <w:ilvl w:val="0"/>
          <w:numId w:val="0"/>
        </w:numPr>
        <w:snapToGrid w:val="0"/>
        <w:ind w:left="567" w:firstLine="420" w:firstLineChars="200"/>
        <w:outlineLvl w:val="2"/>
        <w:rPr>
          <w:rFonts w:hint="eastAsia" w:ascii="微软雅黑" w:hAnsi="微软雅黑" w:eastAsia="微软雅黑" w:cs="Times New Roman"/>
          <w:b/>
          <w:bCs/>
          <w:kern w:val="2"/>
          <w:sz w:val="36"/>
          <w:szCs w:val="36"/>
          <w:lang w:val="en-US" w:eastAsia="zh-CN" w:bidi="ar-SA"/>
        </w:rPr>
      </w:pPr>
      <w:r>
        <w:rPr>
          <w:rFonts w:hint="eastAsia" w:ascii="微软雅黑" w:hAnsi="微软雅黑" w:eastAsia="微软雅黑" w:cs="Times New Roman"/>
          <w:bCs/>
          <w:kern w:val="2"/>
          <w:sz w:val="21"/>
          <w:szCs w:val="32"/>
          <w:lang w:val="en-US" w:eastAsia="zh-CN" w:bidi="ar-SA"/>
        </w:rPr>
        <w:t>4.7.4主机一体式</w:t>
      </w:r>
      <w:r>
        <w:rPr>
          <w:rFonts w:ascii="微软雅黑" w:hAnsi="微软雅黑" w:eastAsia="微软雅黑" w:cs="Times New Roman"/>
          <w:bCs/>
          <w:kern w:val="2"/>
          <w:sz w:val="21"/>
          <w:szCs w:val="32"/>
          <w:lang w:val="en-US" w:eastAsia="zh-CN" w:bidi="ar-SA"/>
        </w:rPr>
        <w:t xml:space="preserve">LED照明灯，辅助暗室临床操作 </w:t>
      </w:r>
    </w:p>
    <w:p w14:paraId="68A2B01D">
      <w:pPr>
        <w:rPr>
          <w:rFonts w:hint="eastAsia" w:ascii="微软雅黑" w:hAnsi="微软雅黑" w:eastAsia="微软雅黑" w:cs="Times New Roman"/>
          <w:b/>
          <w:bCs/>
          <w:kern w:val="2"/>
          <w:sz w:val="36"/>
          <w:szCs w:val="36"/>
        </w:rPr>
      </w:pPr>
      <w:r>
        <w:rPr>
          <w:rFonts w:hint="eastAsia" w:ascii="微软雅黑" w:hAnsi="微软雅黑" w:eastAsia="微软雅黑" w:cs="Times New Roman"/>
          <w:b/>
          <w:bCs/>
          <w:kern w:val="2"/>
          <w:sz w:val="36"/>
          <w:szCs w:val="36"/>
        </w:rPr>
        <w:br w:type="page"/>
      </w:r>
    </w:p>
    <w:p w14:paraId="1AB83A24">
      <w:pPr>
        <w:snapToGrid w:val="0"/>
        <w:jc w:val="center"/>
        <w:rPr>
          <w:rFonts w:hint="eastAsia" w:ascii="微软雅黑" w:hAnsi="微软雅黑" w:eastAsia="微软雅黑" w:cs="Times New Roman"/>
          <w:b/>
          <w:kern w:val="2"/>
          <w:sz w:val="24"/>
          <w:szCs w:val="24"/>
          <w:lang w:eastAsia="zh-CN"/>
        </w:rPr>
      </w:pPr>
      <w:r>
        <w:rPr>
          <w:rFonts w:hint="eastAsia" w:ascii="微软雅黑" w:hAnsi="微软雅黑" w:eastAsia="微软雅黑" w:cs="Times New Roman"/>
          <w:b/>
          <w:bCs/>
          <w:kern w:val="2"/>
          <w:sz w:val="36"/>
          <w:szCs w:val="36"/>
        </w:rPr>
        <w:t>配置清单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3318"/>
        <w:gridCol w:w="1762"/>
        <w:gridCol w:w="2029"/>
      </w:tblGrid>
      <w:tr w14:paraId="342F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27" w:type="pct"/>
            <w:noWrap w:val="0"/>
            <w:vAlign w:val="center"/>
          </w:tcPr>
          <w:p w14:paraId="5C227DEB">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序号</w:t>
            </w:r>
          </w:p>
        </w:tc>
        <w:tc>
          <w:tcPr>
            <w:tcW w:w="1947" w:type="pct"/>
            <w:noWrap w:val="0"/>
            <w:vAlign w:val="center"/>
          </w:tcPr>
          <w:p w14:paraId="7AE0DE2F">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名称</w:t>
            </w:r>
          </w:p>
        </w:tc>
        <w:tc>
          <w:tcPr>
            <w:tcW w:w="1034" w:type="pct"/>
            <w:noWrap w:val="0"/>
            <w:vAlign w:val="center"/>
          </w:tcPr>
          <w:p w14:paraId="66DC9C7E">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单位</w:t>
            </w:r>
          </w:p>
        </w:tc>
        <w:tc>
          <w:tcPr>
            <w:tcW w:w="1190" w:type="pct"/>
            <w:noWrap w:val="0"/>
            <w:vAlign w:val="center"/>
          </w:tcPr>
          <w:p w14:paraId="28220855">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数量</w:t>
            </w:r>
          </w:p>
        </w:tc>
      </w:tr>
      <w:tr w14:paraId="5B40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27" w:type="pct"/>
            <w:noWrap w:val="0"/>
            <w:vAlign w:val="center"/>
          </w:tcPr>
          <w:p w14:paraId="1A3C3AB1">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c>
          <w:tcPr>
            <w:tcW w:w="1947" w:type="pct"/>
            <w:noWrap w:val="0"/>
            <w:vAlign w:val="center"/>
          </w:tcPr>
          <w:p w14:paraId="6C3F9328">
            <w:pPr>
              <w:bidi w:val="0"/>
              <w:snapToGrid w:val="0"/>
              <w:ind w:left="0" w:leftChars="0" w:firstLine="0" w:firstLineChars="0"/>
              <w:jc w:val="left"/>
              <w:rPr>
                <w:rFonts w:hint="eastAsia" w:ascii="微软雅黑" w:hAnsi="微软雅黑" w:eastAsia="微软雅黑" w:cs="Times New Roman"/>
                <w:kern w:val="2"/>
                <w:sz w:val="21"/>
                <w:szCs w:val="24"/>
                <w:lang w:val="en-US"/>
              </w:rPr>
            </w:pPr>
            <w:r>
              <w:rPr>
                <w:rFonts w:hint="eastAsia" w:ascii="微软雅黑" w:hAnsi="微软雅黑" w:eastAsia="微软雅黑" w:cs="Times New Roman"/>
                <w:kern w:val="2"/>
                <w:sz w:val="21"/>
                <w:szCs w:val="24"/>
                <w:lang w:eastAsia="zh-CN"/>
              </w:rPr>
              <w:t>主</w:t>
            </w:r>
            <w:r>
              <w:rPr>
                <w:rFonts w:hint="eastAsia" w:ascii="微软雅黑" w:hAnsi="微软雅黑" w:eastAsia="微软雅黑" w:cs="Times New Roman"/>
                <w:kern w:val="2"/>
                <w:sz w:val="21"/>
                <w:szCs w:val="24"/>
              </w:rPr>
              <w:t>机</w:t>
            </w:r>
          </w:p>
        </w:tc>
        <w:tc>
          <w:tcPr>
            <w:tcW w:w="1034" w:type="pct"/>
            <w:noWrap w:val="0"/>
            <w:vAlign w:val="center"/>
          </w:tcPr>
          <w:p w14:paraId="3C5A8264">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rPr>
              <w:t>台</w:t>
            </w:r>
          </w:p>
        </w:tc>
        <w:tc>
          <w:tcPr>
            <w:tcW w:w="1190" w:type="pct"/>
            <w:noWrap w:val="0"/>
            <w:vAlign w:val="center"/>
          </w:tcPr>
          <w:p w14:paraId="42EC9318">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17DB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27" w:type="pct"/>
            <w:noWrap w:val="0"/>
            <w:vAlign w:val="center"/>
          </w:tcPr>
          <w:p w14:paraId="5D7E6849">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2</w:t>
            </w:r>
          </w:p>
        </w:tc>
        <w:tc>
          <w:tcPr>
            <w:tcW w:w="1947" w:type="pct"/>
            <w:noWrap w:val="0"/>
            <w:vAlign w:val="center"/>
          </w:tcPr>
          <w:p w14:paraId="5EBE8727">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台车</w:t>
            </w:r>
          </w:p>
        </w:tc>
        <w:tc>
          <w:tcPr>
            <w:tcW w:w="1034" w:type="pct"/>
            <w:noWrap w:val="0"/>
            <w:vAlign w:val="center"/>
          </w:tcPr>
          <w:p w14:paraId="2A14C89F">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台</w:t>
            </w:r>
          </w:p>
        </w:tc>
        <w:tc>
          <w:tcPr>
            <w:tcW w:w="1190" w:type="pct"/>
            <w:noWrap w:val="0"/>
            <w:vAlign w:val="center"/>
          </w:tcPr>
          <w:p w14:paraId="33031C22">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4CEA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27" w:type="pct"/>
            <w:vMerge w:val="restart"/>
            <w:noWrap w:val="0"/>
            <w:vAlign w:val="center"/>
          </w:tcPr>
          <w:p w14:paraId="421DB0D8">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3</w:t>
            </w:r>
          </w:p>
        </w:tc>
        <w:tc>
          <w:tcPr>
            <w:tcW w:w="1947" w:type="pct"/>
            <w:noWrap w:val="0"/>
            <w:vAlign w:val="top"/>
          </w:tcPr>
          <w:p w14:paraId="0D14B2FF">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腹部凸阵探头（满足成人腹部, 小儿腹部,, 血管, 神经检查）</w:t>
            </w:r>
          </w:p>
        </w:tc>
        <w:tc>
          <w:tcPr>
            <w:tcW w:w="1034" w:type="pct"/>
            <w:noWrap w:val="0"/>
            <w:vAlign w:val="center"/>
          </w:tcPr>
          <w:p w14:paraId="11C1F597">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48E4132B">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1279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27" w:type="pct"/>
            <w:vMerge w:val="continue"/>
            <w:noWrap w:val="0"/>
            <w:vAlign w:val="center"/>
          </w:tcPr>
          <w:p w14:paraId="64804991">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206DB681">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大角度腔内探头（泌尿检查）</w:t>
            </w:r>
          </w:p>
        </w:tc>
        <w:tc>
          <w:tcPr>
            <w:tcW w:w="1034" w:type="pct"/>
            <w:noWrap w:val="0"/>
            <w:vAlign w:val="center"/>
          </w:tcPr>
          <w:p w14:paraId="2FF87F39">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5E6A6877">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37FD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27" w:type="pct"/>
            <w:vMerge w:val="continue"/>
            <w:noWrap w:val="0"/>
            <w:vAlign w:val="center"/>
          </w:tcPr>
          <w:p w14:paraId="129B37A0">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34E7F6D3">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线阵探头（满足小器官, 血管, 肌骨, 神经, 儿科检查）</w:t>
            </w:r>
          </w:p>
        </w:tc>
        <w:tc>
          <w:tcPr>
            <w:tcW w:w="1034" w:type="pct"/>
            <w:noWrap w:val="0"/>
            <w:vAlign w:val="center"/>
          </w:tcPr>
          <w:p w14:paraId="10F391BC">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0086D4B6">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0295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27" w:type="pct"/>
            <w:noWrap w:val="0"/>
            <w:vAlign w:val="center"/>
          </w:tcPr>
          <w:p w14:paraId="62094696">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4</w:t>
            </w:r>
          </w:p>
        </w:tc>
        <w:tc>
          <w:tcPr>
            <w:tcW w:w="1947" w:type="pct"/>
            <w:noWrap w:val="0"/>
            <w:vAlign w:val="center"/>
          </w:tcPr>
          <w:p w14:paraId="34B0410A">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前列腺穿刺支架（经会阴/经直肠）</w:t>
            </w:r>
          </w:p>
        </w:tc>
        <w:tc>
          <w:tcPr>
            <w:tcW w:w="1034" w:type="pct"/>
            <w:noWrap w:val="0"/>
            <w:vAlign w:val="center"/>
          </w:tcPr>
          <w:p w14:paraId="18E603D5">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1B9E926B">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2</w:t>
            </w:r>
          </w:p>
        </w:tc>
      </w:tr>
      <w:tr w14:paraId="7164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27" w:type="pct"/>
            <w:vMerge w:val="restart"/>
            <w:noWrap w:val="0"/>
            <w:vAlign w:val="center"/>
          </w:tcPr>
          <w:p w14:paraId="51835B0B">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附件</w:t>
            </w:r>
          </w:p>
        </w:tc>
        <w:tc>
          <w:tcPr>
            <w:tcW w:w="1947" w:type="pct"/>
            <w:noWrap w:val="0"/>
            <w:vAlign w:val="center"/>
          </w:tcPr>
          <w:p w14:paraId="5FB06EB9">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耦合剂加热器（包含左托架）</w:t>
            </w:r>
          </w:p>
        </w:tc>
        <w:tc>
          <w:tcPr>
            <w:tcW w:w="1034" w:type="pct"/>
            <w:noWrap w:val="0"/>
            <w:vAlign w:val="center"/>
          </w:tcPr>
          <w:p w14:paraId="5E023997">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5A9FEC5E">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149A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27" w:type="pct"/>
            <w:vMerge w:val="continue"/>
            <w:noWrap w:val="0"/>
            <w:vAlign w:val="center"/>
          </w:tcPr>
          <w:p w14:paraId="5FFA2E5C">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73B6519F">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 xml:space="preserve">耦合剂 </w:t>
            </w:r>
          </w:p>
        </w:tc>
        <w:tc>
          <w:tcPr>
            <w:tcW w:w="1034" w:type="pct"/>
            <w:noWrap w:val="0"/>
            <w:vAlign w:val="center"/>
          </w:tcPr>
          <w:p w14:paraId="02662EBC">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瓶</w:t>
            </w:r>
          </w:p>
        </w:tc>
        <w:tc>
          <w:tcPr>
            <w:tcW w:w="1190" w:type="pct"/>
            <w:noWrap w:val="0"/>
            <w:vAlign w:val="center"/>
          </w:tcPr>
          <w:p w14:paraId="26550229">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0B13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27" w:type="pct"/>
            <w:vMerge w:val="continue"/>
            <w:noWrap w:val="0"/>
            <w:vAlign w:val="center"/>
          </w:tcPr>
          <w:p w14:paraId="667D304E">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3AA7D021">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收纳筐</w:t>
            </w:r>
          </w:p>
        </w:tc>
        <w:tc>
          <w:tcPr>
            <w:tcW w:w="1034" w:type="pct"/>
            <w:noWrap w:val="0"/>
            <w:vAlign w:val="center"/>
          </w:tcPr>
          <w:p w14:paraId="1669F185">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03341612">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4CD3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27" w:type="pct"/>
            <w:vMerge w:val="continue"/>
            <w:noWrap w:val="0"/>
            <w:vAlign w:val="center"/>
          </w:tcPr>
          <w:p w14:paraId="339BADCB">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591E2B6D">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储物篮</w:t>
            </w:r>
          </w:p>
        </w:tc>
        <w:tc>
          <w:tcPr>
            <w:tcW w:w="1034" w:type="pct"/>
            <w:noWrap w:val="0"/>
            <w:vAlign w:val="center"/>
          </w:tcPr>
          <w:p w14:paraId="6F49982B">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09807A40">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5636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27" w:type="pct"/>
            <w:vMerge w:val="continue"/>
            <w:noWrap w:val="0"/>
            <w:vAlign w:val="center"/>
          </w:tcPr>
          <w:p w14:paraId="4BAFC96D">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1F0E78AD">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右侧腔内探头托架</w:t>
            </w:r>
          </w:p>
        </w:tc>
        <w:tc>
          <w:tcPr>
            <w:tcW w:w="1034" w:type="pct"/>
            <w:noWrap w:val="0"/>
            <w:vAlign w:val="center"/>
          </w:tcPr>
          <w:p w14:paraId="3914055F">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个</w:t>
            </w:r>
          </w:p>
        </w:tc>
        <w:tc>
          <w:tcPr>
            <w:tcW w:w="1190" w:type="pct"/>
            <w:noWrap w:val="0"/>
            <w:vAlign w:val="center"/>
          </w:tcPr>
          <w:p w14:paraId="5D33B2A6">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0191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27" w:type="pct"/>
            <w:vMerge w:val="continue"/>
            <w:noWrap w:val="0"/>
            <w:vAlign w:val="center"/>
          </w:tcPr>
          <w:p w14:paraId="56D013EB">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319E2908">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使用说明书</w:t>
            </w:r>
          </w:p>
        </w:tc>
        <w:tc>
          <w:tcPr>
            <w:tcW w:w="1034" w:type="pct"/>
            <w:noWrap w:val="0"/>
            <w:vAlign w:val="center"/>
          </w:tcPr>
          <w:p w14:paraId="17E85B3F">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册</w:t>
            </w:r>
          </w:p>
        </w:tc>
        <w:tc>
          <w:tcPr>
            <w:tcW w:w="1190" w:type="pct"/>
            <w:noWrap w:val="0"/>
            <w:vAlign w:val="center"/>
          </w:tcPr>
          <w:p w14:paraId="55A22A30">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r w14:paraId="42D9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7" w:type="pct"/>
            <w:vMerge w:val="continue"/>
            <w:noWrap w:val="0"/>
            <w:vAlign w:val="center"/>
          </w:tcPr>
          <w:p w14:paraId="1E2E63E8">
            <w:pPr>
              <w:bidi w:val="0"/>
              <w:snapToGrid w:val="0"/>
              <w:ind w:left="960" w:leftChars="400"/>
              <w:jc w:val="left"/>
              <w:rPr>
                <w:rFonts w:hint="eastAsia" w:ascii="微软雅黑" w:hAnsi="微软雅黑" w:eastAsia="微软雅黑" w:cs="Times New Roman"/>
                <w:kern w:val="2"/>
                <w:sz w:val="21"/>
                <w:szCs w:val="24"/>
                <w:lang w:val="en-US" w:eastAsia="zh-CN"/>
              </w:rPr>
            </w:pPr>
          </w:p>
        </w:tc>
        <w:tc>
          <w:tcPr>
            <w:tcW w:w="1947" w:type="pct"/>
            <w:noWrap w:val="0"/>
            <w:vAlign w:val="center"/>
          </w:tcPr>
          <w:p w14:paraId="1E98C1C2">
            <w:pPr>
              <w:bidi w:val="0"/>
              <w:snapToGrid w:val="0"/>
              <w:ind w:left="0" w:leftChars="0" w:firstLine="0" w:firstLineChars="0"/>
              <w:jc w:val="left"/>
              <w:rPr>
                <w:rFonts w:hint="eastAsia"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220V 电源线</w:t>
            </w:r>
          </w:p>
        </w:tc>
        <w:tc>
          <w:tcPr>
            <w:tcW w:w="1034" w:type="pct"/>
            <w:noWrap w:val="0"/>
            <w:vAlign w:val="center"/>
          </w:tcPr>
          <w:p w14:paraId="4E5833D2">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根</w:t>
            </w:r>
          </w:p>
        </w:tc>
        <w:tc>
          <w:tcPr>
            <w:tcW w:w="1190" w:type="pct"/>
            <w:noWrap w:val="0"/>
            <w:vAlign w:val="center"/>
          </w:tcPr>
          <w:p w14:paraId="1930FB90">
            <w:pPr>
              <w:bidi w:val="0"/>
              <w:snapToGrid w:val="0"/>
              <w:ind w:left="0" w:leftChars="0" w:firstLine="0" w:firstLineChars="0"/>
              <w:jc w:val="left"/>
              <w:rPr>
                <w:rFonts w:hint="default" w:ascii="微软雅黑" w:hAnsi="微软雅黑" w:eastAsia="微软雅黑" w:cs="Times New Roman"/>
                <w:kern w:val="2"/>
                <w:sz w:val="21"/>
                <w:szCs w:val="24"/>
                <w:lang w:val="en-US" w:eastAsia="zh-CN"/>
              </w:rPr>
            </w:pPr>
            <w:r>
              <w:rPr>
                <w:rFonts w:hint="eastAsia" w:ascii="微软雅黑" w:hAnsi="微软雅黑" w:eastAsia="微软雅黑" w:cs="Times New Roman"/>
                <w:kern w:val="2"/>
                <w:sz w:val="21"/>
                <w:szCs w:val="24"/>
                <w:lang w:val="en-US" w:eastAsia="zh-CN"/>
              </w:rPr>
              <w:t>1</w:t>
            </w:r>
          </w:p>
        </w:tc>
      </w:tr>
    </w:tbl>
    <w:p w14:paraId="0F1E0CAD">
      <w:pPr>
        <w:spacing w:line="360" w:lineRule="auto"/>
        <w:ind w:firstLine="236" w:firstLineChars="98"/>
        <w:rPr>
          <w:rFonts w:hint="eastAsia" w:ascii="宋体" w:hAnsi="宋体" w:cs="Times New Roman"/>
          <w:b/>
          <w:kern w:val="2"/>
          <w:sz w:val="24"/>
          <w:szCs w:val="24"/>
        </w:rPr>
      </w:pPr>
    </w:p>
    <w:p w14:paraId="7AEC1898">
      <w:pPr>
        <w:rPr>
          <w:rFonts w:hint="eastAsia" w:ascii="仿宋" w:hAnsi="仿宋" w:eastAsia="仿宋" w:cs="仿宋"/>
          <w:color w:val="auto"/>
          <w:sz w:val="28"/>
          <w:szCs w:val="28"/>
        </w:rPr>
      </w:pPr>
    </w:p>
    <w:p w14:paraId="0CEB9BAA">
      <w:pPr>
        <w:rPr>
          <w:rFonts w:hint="eastAsia" w:ascii="宋体" w:hAnsi="宋体" w:eastAsia="宋体" w:cs="宋体"/>
          <w:bCs/>
          <w:color w:val="auto"/>
          <w:sz w:val="36"/>
          <w:szCs w:val="36"/>
          <w:highlight w:val="none"/>
        </w:rPr>
      </w:pPr>
      <w:bookmarkStart w:id="47" w:name="_Toc426457698"/>
      <w:bookmarkStart w:id="48" w:name="_Toc8830"/>
      <w:bookmarkStart w:id="49" w:name="_Toc363474025"/>
      <w:bookmarkStart w:id="50" w:name="_Toc22538"/>
      <w:bookmarkStart w:id="51" w:name="_Toc28411"/>
      <w:r>
        <w:rPr>
          <w:rFonts w:hint="eastAsia" w:ascii="宋体" w:hAnsi="宋体" w:eastAsia="宋体" w:cs="宋体"/>
          <w:bCs/>
          <w:color w:val="auto"/>
          <w:sz w:val="36"/>
          <w:szCs w:val="36"/>
          <w:highlight w:val="none"/>
        </w:rPr>
        <w:br w:type="page"/>
      </w:r>
    </w:p>
    <w:p w14:paraId="39198668">
      <w:pPr>
        <w:pStyle w:val="3"/>
        <w:jc w:val="center"/>
        <w:rPr>
          <w:rFonts w:hint="eastAsia" w:ascii="宋体" w:hAnsi="宋体" w:eastAsia="宋体" w:cs="宋体"/>
          <w:bCs/>
          <w:color w:val="auto"/>
          <w:sz w:val="36"/>
          <w:szCs w:val="36"/>
          <w:highlight w:val="none"/>
        </w:rPr>
      </w:pPr>
      <w:r>
        <w:rPr>
          <w:rFonts w:hint="eastAsia" w:ascii="宋体" w:hAnsi="宋体" w:eastAsia="宋体" w:cs="宋体"/>
          <w:bCs/>
          <w:color w:val="auto"/>
          <w:sz w:val="36"/>
          <w:szCs w:val="36"/>
          <w:highlight w:val="none"/>
        </w:rPr>
        <w:t>第</w:t>
      </w:r>
      <w:r>
        <w:rPr>
          <w:rFonts w:hint="eastAsia" w:ascii="宋体" w:hAnsi="宋体" w:eastAsia="宋体" w:cs="宋体"/>
          <w:bCs/>
          <w:color w:val="auto"/>
          <w:sz w:val="36"/>
          <w:szCs w:val="36"/>
          <w:highlight w:val="none"/>
          <w:lang w:eastAsia="zh-CN"/>
        </w:rPr>
        <w:t>五</w:t>
      </w:r>
      <w:r>
        <w:rPr>
          <w:rFonts w:hint="eastAsia" w:ascii="宋体" w:hAnsi="宋体" w:eastAsia="宋体" w:cs="宋体"/>
          <w:bCs/>
          <w:color w:val="auto"/>
          <w:sz w:val="36"/>
          <w:szCs w:val="36"/>
          <w:highlight w:val="none"/>
        </w:rPr>
        <w:t>章 投标文件构成及格式</w:t>
      </w:r>
      <w:bookmarkEnd w:id="47"/>
      <w:bookmarkEnd w:id="48"/>
      <w:bookmarkEnd w:id="49"/>
      <w:bookmarkEnd w:id="50"/>
      <w:bookmarkEnd w:id="51"/>
    </w:p>
    <w:p w14:paraId="3EB2AACF">
      <w:pPr>
        <w:rPr>
          <w:rFonts w:hint="eastAsia" w:ascii="宋体" w:hAnsi="宋体" w:eastAsia="宋体" w:cs="宋体"/>
          <w:color w:val="auto"/>
          <w:highlight w:val="none"/>
        </w:rPr>
      </w:pPr>
    </w:p>
    <w:p w14:paraId="40394DE6">
      <w:pP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项目编号：</w:t>
      </w:r>
      <w:r>
        <w:rPr>
          <w:rFonts w:hint="eastAsia" w:hAnsi="宋体" w:cs="宋体"/>
          <w:b/>
          <w:color w:val="auto"/>
          <w:sz w:val="32"/>
          <w:szCs w:val="32"/>
          <w:highlight w:val="none"/>
          <w:lang w:eastAsia="zh-CN"/>
        </w:rPr>
        <w:t xml:space="preserve">DCZB-2024-AK-2041 </w:t>
      </w:r>
    </w:p>
    <w:p w14:paraId="4E4CF61B">
      <w:pPr>
        <w:jc w:val="center"/>
        <w:rPr>
          <w:rFonts w:hint="eastAsia" w:ascii="宋体" w:hAnsi="宋体" w:eastAsia="宋体" w:cs="宋体"/>
          <w:b/>
          <w:color w:val="auto"/>
          <w:sz w:val="36"/>
          <w:szCs w:val="36"/>
          <w:highlight w:val="none"/>
        </w:rPr>
      </w:pPr>
    </w:p>
    <w:p w14:paraId="35F68477">
      <w:pPr>
        <w:pStyle w:val="6"/>
        <w:rPr>
          <w:rFonts w:hint="eastAsia" w:ascii="宋体" w:hAnsi="宋体" w:eastAsia="宋体" w:cs="宋体"/>
          <w:color w:val="auto"/>
          <w:highlight w:val="none"/>
        </w:rPr>
      </w:pPr>
    </w:p>
    <w:p w14:paraId="29CF4C45">
      <w:pPr>
        <w:jc w:val="center"/>
        <w:rPr>
          <w:rFonts w:hint="eastAsia" w:hAnsi="宋体" w:cs="宋体"/>
          <w:b/>
          <w:color w:val="auto"/>
          <w:sz w:val="48"/>
          <w:szCs w:val="48"/>
          <w:highlight w:val="none"/>
          <w:lang w:eastAsia="zh-CN"/>
        </w:rPr>
      </w:pPr>
      <w:r>
        <w:rPr>
          <w:rFonts w:hint="eastAsia" w:hAnsi="宋体" w:cs="宋体"/>
          <w:b/>
          <w:color w:val="auto"/>
          <w:sz w:val="48"/>
          <w:szCs w:val="48"/>
          <w:highlight w:val="none"/>
          <w:lang w:eastAsia="zh-CN"/>
        </w:rPr>
        <w:t>白河人民医院彩色多普勒超声系统采购项目</w:t>
      </w:r>
    </w:p>
    <w:p w14:paraId="699B3463">
      <w:pPr>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 xml:space="preserve">  </w:t>
      </w:r>
    </w:p>
    <w:p w14:paraId="33D4A34A">
      <w:pPr>
        <w:jc w:val="center"/>
        <w:rPr>
          <w:rFonts w:hint="eastAsia" w:ascii="宋体" w:hAnsi="宋体" w:eastAsia="宋体" w:cs="宋体"/>
          <w:b/>
          <w:color w:val="auto"/>
          <w:sz w:val="48"/>
          <w:szCs w:val="48"/>
          <w:highlight w:val="none"/>
        </w:rPr>
      </w:pPr>
    </w:p>
    <w:p w14:paraId="2FD44B3A">
      <w:pPr>
        <w:rPr>
          <w:rFonts w:hint="eastAsia" w:ascii="宋体" w:hAnsi="宋体" w:eastAsia="宋体" w:cs="宋体"/>
          <w:b/>
          <w:color w:val="auto"/>
          <w:sz w:val="48"/>
          <w:szCs w:val="48"/>
          <w:highlight w:val="none"/>
        </w:rPr>
      </w:pPr>
    </w:p>
    <w:p w14:paraId="6110F6DF">
      <w:pPr>
        <w:rPr>
          <w:rFonts w:hint="eastAsia" w:ascii="宋体" w:hAnsi="宋体" w:eastAsia="宋体" w:cs="宋体"/>
          <w:b/>
          <w:color w:val="auto"/>
          <w:sz w:val="48"/>
          <w:szCs w:val="48"/>
          <w:highlight w:val="none"/>
        </w:rPr>
      </w:pPr>
    </w:p>
    <w:p w14:paraId="5D46D5F2">
      <w:pPr>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投 标 文 件</w:t>
      </w:r>
    </w:p>
    <w:p w14:paraId="233DF64B">
      <w:pPr>
        <w:jc w:val="center"/>
        <w:rPr>
          <w:rFonts w:hint="eastAsia" w:ascii="宋体" w:hAnsi="宋体" w:eastAsia="宋体" w:cs="宋体"/>
          <w:b/>
          <w:color w:val="auto"/>
          <w:sz w:val="72"/>
          <w:szCs w:val="72"/>
          <w:highlight w:val="none"/>
        </w:rPr>
      </w:pPr>
    </w:p>
    <w:p w14:paraId="343B67BA">
      <w:pPr>
        <w:jc w:val="center"/>
        <w:rPr>
          <w:rFonts w:hint="eastAsia" w:ascii="宋体" w:hAnsi="宋体" w:eastAsia="宋体" w:cs="宋体"/>
          <w:b/>
          <w:color w:val="auto"/>
          <w:sz w:val="36"/>
          <w:szCs w:val="36"/>
          <w:highlight w:val="none"/>
        </w:rPr>
      </w:pPr>
    </w:p>
    <w:p w14:paraId="6BD0D3A5">
      <w:pPr>
        <w:rPr>
          <w:rFonts w:hint="eastAsia" w:ascii="宋体" w:hAnsi="宋体" w:eastAsia="宋体" w:cs="宋体"/>
          <w:b/>
          <w:color w:val="auto"/>
          <w:sz w:val="36"/>
          <w:szCs w:val="36"/>
          <w:highlight w:val="none"/>
        </w:rPr>
      </w:pPr>
    </w:p>
    <w:p w14:paraId="7D5AC00C">
      <w:pPr>
        <w:pStyle w:val="36"/>
        <w:rPr>
          <w:rFonts w:hint="eastAsia" w:ascii="宋体" w:hAnsi="宋体" w:eastAsia="宋体" w:cs="宋体"/>
          <w:b/>
          <w:color w:val="auto"/>
          <w:sz w:val="36"/>
          <w:szCs w:val="36"/>
          <w:highlight w:val="none"/>
        </w:rPr>
      </w:pPr>
    </w:p>
    <w:p w14:paraId="731EB70E">
      <w:pPr>
        <w:pStyle w:val="36"/>
        <w:rPr>
          <w:rFonts w:hint="eastAsia" w:ascii="宋体" w:hAnsi="宋体" w:eastAsia="宋体" w:cs="宋体"/>
          <w:b/>
          <w:color w:val="auto"/>
          <w:sz w:val="36"/>
          <w:szCs w:val="36"/>
          <w:highlight w:val="none"/>
        </w:rPr>
      </w:pPr>
    </w:p>
    <w:p w14:paraId="071EC19B">
      <w:pPr>
        <w:pStyle w:val="36"/>
        <w:rPr>
          <w:rFonts w:hint="eastAsia" w:ascii="宋体" w:hAnsi="宋体" w:eastAsia="宋体" w:cs="宋体"/>
          <w:b/>
          <w:color w:val="auto"/>
          <w:sz w:val="36"/>
          <w:szCs w:val="36"/>
          <w:highlight w:val="none"/>
        </w:rPr>
      </w:pPr>
    </w:p>
    <w:p w14:paraId="02DF72D8">
      <w:pPr>
        <w:tabs>
          <w:tab w:val="center" w:pos="5346"/>
        </w:tabs>
        <w:spacing w:line="72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投标人名称：</w:t>
      </w:r>
      <w:r>
        <w:rPr>
          <w:rFonts w:hint="eastAsia" w:ascii="宋体" w:hAnsi="宋体" w:eastAsia="宋体" w:cs="宋体"/>
          <w:b/>
          <w:color w:val="auto"/>
          <w:kern w:val="2"/>
          <w:sz w:val="32"/>
          <w:szCs w:val="32"/>
          <w:highlight w:val="none"/>
          <w:u w:val="single"/>
        </w:rPr>
        <w:t xml:space="preserve">                    </w:t>
      </w:r>
      <w:r>
        <w:rPr>
          <w:rFonts w:hint="eastAsia" w:ascii="宋体" w:hAnsi="宋体" w:eastAsia="宋体" w:cs="宋体"/>
          <w:b/>
          <w:color w:val="auto"/>
          <w:kern w:val="2"/>
          <w:sz w:val="32"/>
          <w:szCs w:val="32"/>
          <w:highlight w:val="none"/>
          <w:u w:val="single"/>
          <w:lang w:val="en-US" w:eastAsia="zh-CN"/>
        </w:rPr>
        <w:t xml:space="preserve"> </w:t>
      </w:r>
      <w:r>
        <w:rPr>
          <w:rFonts w:hint="eastAsia" w:ascii="宋体" w:hAnsi="宋体" w:eastAsia="宋体" w:cs="宋体"/>
          <w:b/>
          <w:color w:val="auto"/>
          <w:kern w:val="2"/>
          <w:sz w:val="32"/>
          <w:szCs w:val="32"/>
          <w:highlight w:val="none"/>
          <w:u w:val="single"/>
        </w:rPr>
        <w:t xml:space="preserve">   </w:t>
      </w:r>
      <w:r>
        <w:rPr>
          <w:rFonts w:hint="eastAsia" w:ascii="宋体" w:hAnsi="宋体" w:eastAsia="宋体" w:cs="宋体"/>
          <w:b/>
          <w:color w:val="auto"/>
          <w:sz w:val="32"/>
          <w:szCs w:val="32"/>
          <w:highlight w:val="none"/>
        </w:rPr>
        <w:t>（加盖公章）</w:t>
      </w:r>
    </w:p>
    <w:p w14:paraId="319C3F0D">
      <w:pPr>
        <w:pStyle w:val="13"/>
        <w:ind w:left="0" w:leftChars="0" w:firstLine="1285" w:firstLineChars="400"/>
        <w:rPr>
          <w:rFonts w:hint="eastAsia" w:ascii="宋体" w:hAnsi="宋体" w:eastAsia="宋体" w:cs="宋体"/>
          <w:color w:val="auto"/>
          <w:highlight w:val="none"/>
          <w:u w:val="single"/>
        </w:rPr>
      </w:pPr>
      <w:r>
        <w:rPr>
          <w:rFonts w:hint="eastAsia" w:ascii="宋体" w:hAnsi="宋体" w:eastAsia="宋体" w:cs="宋体"/>
          <w:b/>
          <w:color w:val="auto"/>
          <w:sz w:val="32"/>
          <w:szCs w:val="32"/>
          <w:highlight w:val="none"/>
        </w:rPr>
        <w:t>法定代表人或其委托代理人：</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（签字或盖章）</w:t>
      </w:r>
    </w:p>
    <w:p w14:paraId="72EE8CB5">
      <w:pPr>
        <w:spacing w:line="720" w:lineRule="auto"/>
        <w:ind w:firstLine="1285" w:firstLineChars="400"/>
        <w:rPr>
          <w:rFonts w:hint="eastAsia" w:ascii="宋体" w:hAnsi="宋体" w:eastAsia="宋体" w:cs="宋体"/>
          <w:b/>
          <w:bCs/>
          <w:color w:val="auto"/>
          <w:spacing w:val="4"/>
          <w:sz w:val="30"/>
          <w:szCs w:val="30"/>
          <w:highlight w:val="none"/>
        </w:rPr>
      </w:pPr>
      <w:r>
        <w:rPr>
          <w:rFonts w:hint="eastAsia" w:ascii="宋体" w:hAnsi="宋体" w:eastAsia="宋体" w:cs="宋体"/>
          <w:b/>
          <w:color w:val="auto"/>
          <w:sz w:val="32"/>
          <w:szCs w:val="32"/>
          <w:highlight w:val="none"/>
        </w:rPr>
        <w:t>日期：   年    月   日</w:t>
      </w:r>
    </w:p>
    <w:p w14:paraId="3E46382A">
      <w:pPr>
        <w:pStyle w:val="5"/>
        <w:spacing w:before="654" w:beforeLines="0" w:line="360" w:lineRule="auto"/>
        <w:rPr>
          <w:rFonts w:hint="eastAsia" w:ascii="宋体" w:hAnsi="宋体" w:eastAsia="宋体" w:cs="宋体"/>
          <w:color w:val="auto"/>
          <w:sz w:val="48"/>
          <w:szCs w:val="48"/>
          <w:highlight w:val="none"/>
        </w:rPr>
      </w:pPr>
      <w:bookmarkStart w:id="52" w:name="_Toc363474026"/>
      <w:bookmarkStart w:id="53" w:name="_Toc17702"/>
      <w:bookmarkStart w:id="54" w:name="_Toc23267"/>
      <w:bookmarkStart w:id="55" w:name="_Toc30983"/>
      <w:bookmarkStart w:id="56" w:name="_Toc403077647"/>
      <w:bookmarkStart w:id="57" w:name="_Toc426457699"/>
      <w:bookmarkStart w:id="58" w:name="_Toc22537"/>
      <w:bookmarkStart w:id="59" w:name="_Toc23850"/>
      <w:r>
        <w:rPr>
          <w:rFonts w:hint="eastAsia" w:ascii="宋体" w:hAnsi="宋体" w:eastAsia="宋体" w:cs="宋体"/>
          <w:color w:val="auto"/>
          <w:sz w:val="48"/>
          <w:szCs w:val="48"/>
          <w:highlight w:val="none"/>
        </w:rPr>
        <w:t>目    录</w:t>
      </w:r>
    </w:p>
    <w:bookmarkEnd w:id="52"/>
    <w:bookmarkEnd w:id="53"/>
    <w:bookmarkEnd w:id="54"/>
    <w:bookmarkEnd w:id="55"/>
    <w:bookmarkEnd w:id="56"/>
    <w:bookmarkEnd w:id="57"/>
    <w:bookmarkEnd w:id="58"/>
    <w:bookmarkEnd w:id="59"/>
    <w:p w14:paraId="58B40BF7">
      <w:pPr>
        <w:rPr>
          <w:rFonts w:hint="eastAsia" w:ascii="宋体" w:hAnsi="宋体" w:eastAsia="宋体" w:cs="宋体"/>
          <w:color w:val="auto"/>
          <w:highlight w:val="none"/>
        </w:rPr>
      </w:pPr>
    </w:p>
    <w:p w14:paraId="1A999600">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rPr>
      </w:pPr>
      <w:r>
        <w:rPr>
          <w:rFonts w:hint="eastAsia" w:ascii="宋体" w:hAnsi="宋体" w:eastAsia="宋体" w:cs="宋体"/>
          <w:color w:val="auto"/>
          <w:spacing w:val="4"/>
          <w:szCs w:val="24"/>
          <w:highlight w:val="none"/>
        </w:rPr>
        <w:t>投标函</w:t>
      </w:r>
    </w:p>
    <w:p w14:paraId="4C213774">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rPr>
      </w:pPr>
      <w:r>
        <w:rPr>
          <w:rFonts w:hint="eastAsia" w:ascii="宋体" w:hAnsi="宋体" w:eastAsia="宋体" w:cs="宋体"/>
          <w:color w:val="auto"/>
          <w:spacing w:val="4"/>
          <w:szCs w:val="24"/>
          <w:highlight w:val="none"/>
        </w:rPr>
        <w:t>投标报价表</w:t>
      </w:r>
    </w:p>
    <w:p w14:paraId="6313F03E">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rPr>
      </w:pPr>
      <w:r>
        <w:rPr>
          <w:rFonts w:hint="eastAsia" w:ascii="宋体" w:hAnsi="宋体" w:eastAsia="宋体" w:cs="宋体"/>
          <w:color w:val="auto"/>
          <w:szCs w:val="24"/>
          <w:highlight w:val="none"/>
        </w:rPr>
        <w:t>资格证明文件</w:t>
      </w:r>
    </w:p>
    <w:p w14:paraId="69EB691E">
      <w:pPr>
        <w:numPr>
          <w:ilvl w:val="0"/>
          <w:numId w:val="6"/>
        </w:numPr>
        <w:tabs>
          <w:tab w:val="left" w:pos="1701"/>
        </w:tabs>
        <w:spacing w:line="480" w:lineRule="auto"/>
        <w:ind w:left="1570" w:leftChars="0" w:hanging="870" w:firstLineChars="0"/>
        <w:rPr>
          <w:rFonts w:hint="eastAsia" w:ascii="宋体" w:hAnsi="宋体" w:eastAsia="宋体" w:cs="宋体"/>
          <w:color w:val="auto"/>
          <w:spacing w:val="4"/>
          <w:szCs w:val="24"/>
          <w:highlight w:val="none"/>
        </w:rPr>
      </w:pPr>
      <w:r>
        <w:rPr>
          <w:rFonts w:hint="eastAsia" w:ascii="宋体" w:hAnsi="宋体" w:eastAsia="宋体" w:cs="宋体"/>
          <w:color w:val="auto"/>
          <w:szCs w:val="24"/>
          <w:highlight w:val="none"/>
          <w:lang w:eastAsia="zh-CN"/>
        </w:rPr>
        <w:t>供应商概况</w:t>
      </w:r>
    </w:p>
    <w:p w14:paraId="74B4A0A4">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rPr>
      </w:pPr>
      <w:r>
        <w:rPr>
          <w:rFonts w:hint="eastAsia" w:ascii="宋体" w:hAnsi="宋体" w:eastAsia="宋体" w:cs="宋体"/>
          <w:color w:val="auto"/>
          <w:szCs w:val="24"/>
          <w:highlight w:val="none"/>
        </w:rPr>
        <w:t>陕西省政府采购供应商拒绝政府采购领域商业贿赂承诺书</w:t>
      </w:r>
    </w:p>
    <w:p w14:paraId="40C3C6D3">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rPr>
      </w:pPr>
      <w:r>
        <w:rPr>
          <w:rFonts w:hint="eastAsia" w:ascii="宋体" w:hAnsi="宋体" w:eastAsia="宋体" w:cs="宋体"/>
          <w:color w:val="auto"/>
          <w:szCs w:val="24"/>
          <w:highlight w:val="none"/>
        </w:rPr>
        <w:t>投标方案</w:t>
      </w:r>
    </w:p>
    <w:p w14:paraId="21811C7F">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rPr>
      </w:pPr>
      <w:r>
        <w:rPr>
          <w:rFonts w:hint="eastAsia" w:ascii="宋体" w:hAnsi="宋体" w:eastAsia="宋体" w:cs="宋体"/>
          <w:color w:val="auto"/>
          <w:szCs w:val="24"/>
          <w:highlight w:val="none"/>
        </w:rPr>
        <w:t>响应偏离表</w:t>
      </w:r>
    </w:p>
    <w:p w14:paraId="02FA9123">
      <w:pPr>
        <w:numPr>
          <w:ilvl w:val="0"/>
          <w:numId w:val="6"/>
        </w:numPr>
        <w:tabs>
          <w:tab w:val="left" w:pos="1418"/>
        </w:tabs>
        <w:spacing w:line="480" w:lineRule="auto"/>
        <w:ind w:left="1570" w:leftChars="0" w:hanging="870" w:firstLineChars="0"/>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售后</w:t>
      </w:r>
      <w:r>
        <w:rPr>
          <w:rFonts w:hint="eastAsia" w:ascii="宋体" w:hAnsi="宋体" w:eastAsia="宋体" w:cs="宋体"/>
          <w:color w:val="auto"/>
          <w:szCs w:val="24"/>
          <w:highlight w:val="none"/>
        </w:rPr>
        <w:t>服务</w:t>
      </w:r>
      <w:r>
        <w:rPr>
          <w:rFonts w:hint="eastAsia" w:ascii="宋体" w:hAnsi="宋体" w:eastAsia="宋体" w:cs="宋体"/>
          <w:color w:val="auto"/>
          <w:szCs w:val="24"/>
          <w:highlight w:val="none"/>
          <w:lang w:eastAsia="zh-CN"/>
        </w:rPr>
        <w:t>及</w:t>
      </w:r>
      <w:r>
        <w:rPr>
          <w:rFonts w:hint="eastAsia" w:ascii="宋体" w:hAnsi="宋体" w:eastAsia="宋体" w:cs="宋体"/>
          <w:color w:val="auto"/>
          <w:szCs w:val="24"/>
          <w:highlight w:val="none"/>
        </w:rPr>
        <w:t>承诺</w:t>
      </w:r>
    </w:p>
    <w:p w14:paraId="0D420E2E">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lang w:val="en-US" w:eastAsia="zh-CN"/>
        </w:rPr>
      </w:pPr>
      <w:r>
        <w:rPr>
          <w:rFonts w:hint="eastAsia" w:ascii="宋体" w:hAnsi="宋体" w:eastAsia="宋体" w:cs="宋体"/>
          <w:color w:val="auto"/>
          <w:spacing w:val="4"/>
          <w:szCs w:val="24"/>
          <w:highlight w:val="none"/>
          <w:lang w:val="en-US" w:eastAsia="zh-CN"/>
        </w:rPr>
        <w:t xml:space="preserve">业绩 </w:t>
      </w:r>
    </w:p>
    <w:p w14:paraId="72AFB465">
      <w:pPr>
        <w:numPr>
          <w:ilvl w:val="0"/>
          <w:numId w:val="6"/>
        </w:numPr>
        <w:tabs>
          <w:tab w:val="left" w:pos="1418"/>
        </w:tabs>
        <w:spacing w:line="480" w:lineRule="auto"/>
        <w:ind w:left="1570" w:leftChars="0" w:hanging="870" w:firstLineChars="0"/>
        <w:rPr>
          <w:rFonts w:hint="eastAsia" w:ascii="宋体" w:hAnsi="宋体" w:eastAsia="宋体" w:cs="宋体"/>
          <w:color w:val="auto"/>
          <w:spacing w:val="4"/>
          <w:szCs w:val="24"/>
          <w:highlight w:val="none"/>
          <w:lang w:eastAsia="zh-CN"/>
        </w:rPr>
      </w:pPr>
      <w:r>
        <w:rPr>
          <w:rFonts w:hint="eastAsia" w:ascii="宋体" w:hAnsi="宋体" w:eastAsia="宋体" w:cs="宋体"/>
          <w:color w:val="auto"/>
          <w:spacing w:val="4"/>
          <w:szCs w:val="24"/>
          <w:highlight w:val="none"/>
          <w:lang w:eastAsia="zh-CN"/>
        </w:rPr>
        <w:t>其他</w:t>
      </w:r>
    </w:p>
    <w:p w14:paraId="142AE83C">
      <w:pPr>
        <w:pStyle w:val="4"/>
        <w:rPr>
          <w:rFonts w:hint="eastAsia" w:ascii="宋体" w:hAnsi="宋体" w:eastAsia="宋体" w:cs="宋体"/>
          <w:color w:val="auto"/>
          <w:highlight w:val="none"/>
        </w:rPr>
      </w:pPr>
    </w:p>
    <w:p w14:paraId="5B89D8B6">
      <w:pPr>
        <w:pStyle w:val="4"/>
        <w:rPr>
          <w:rFonts w:hint="eastAsia" w:ascii="宋体" w:hAnsi="宋体" w:eastAsia="宋体" w:cs="宋体"/>
          <w:color w:val="auto"/>
          <w:highlight w:val="none"/>
        </w:rPr>
      </w:pPr>
    </w:p>
    <w:p w14:paraId="789C4DB8">
      <w:pPr>
        <w:spacing w:line="480" w:lineRule="auto"/>
        <w:ind w:firstLine="1574" w:firstLineChars="635"/>
        <w:rPr>
          <w:rFonts w:hint="eastAsia" w:ascii="宋体" w:hAnsi="宋体" w:eastAsia="宋体" w:cs="宋体"/>
          <w:color w:val="auto"/>
          <w:spacing w:val="4"/>
          <w:szCs w:val="24"/>
          <w:highlight w:val="none"/>
        </w:rPr>
      </w:pPr>
    </w:p>
    <w:p w14:paraId="1BA6144D">
      <w:pPr>
        <w:spacing w:line="480" w:lineRule="auto"/>
        <w:ind w:left="105"/>
        <w:rPr>
          <w:rFonts w:hint="eastAsia" w:ascii="宋体" w:hAnsi="宋体" w:eastAsia="宋体" w:cs="宋体"/>
          <w:color w:val="auto"/>
          <w:spacing w:val="4"/>
          <w:szCs w:val="24"/>
          <w:highlight w:val="none"/>
        </w:rPr>
      </w:pPr>
    </w:p>
    <w:p w14:paraId="31C1FFF4">
      <w:pPr>
        <w:pStyle w:val="5"/>
        <w:spacing w:before="312" w:beforeLines="100"/>
        <w:rPr>
          <w:rFonts w:hint="eastAsia" w:ascii="宋体" w:hAnsi="宋体" w:eastAsia="宋体" w:cs="宋体"/>
          <w:color w:val="auto"/>
          <w:sz w:val="32"/>
          <w:szCs w:val="32"/>
          <w:highlight w:val="none"/>
        </w:rPr>
      </w:pPr>
      <w:r>
        <w:rPr>
          <w:rFonts w:hint="eastAsia" w:ascii="宋体" w:hAnsi="宋体" w:eastAsia="宋体" w:cs="宋体"/>
          <w:color w:val="auto"/>
          <w:sz w:val="28"/>
          <w:highlight w:val="none"/>
        </w:rPr>
        <w:br w:type="page"/>
      </w:r>
      <w:bookmarkStart w:id="60" w:name="_Toc403077648"/>
      <w:bookmarkStart w:id="61" w:name="_Toc363474027"/>
      <w:bookmarkStart w:id="62" w:name="_Toc23702"/>
      <w:bookmarkStart w:id="63" w:name="_Toc28404"/>
      <w:bookmarkStart w:id="64" w:name="_Toc4930"/>
      <w:bookmarkStart w:id="65" w:name="_Toc24231"/>
      <w:bookmarkStart w:id="66" w:name="_Toc426457700"/>
      <w:bookmarkStart w:id="67" w:name="_Toc14057"/>
      <w:r>
        <w:rPr>
          <w:rFonts w:hint="eastAsia" w:ascii="宋体" w:hAnsi="宋体" w:eastAsia="宋体" w:cs="宋体"/>
          <w:color w:val="auto"/>
          <w:sz w:val="32"/>
          <w:szCs w:val="32"/>
          <w:highlight w:val="none"/>
        </w:rPr>
        <w:t>一、投标</w:t>
      </w:r>
      <w:bookmarkEnd w:id="60"/>
      <w:bookmarkEnd w:id="61"/>
      <w:r>
        <w:rPr>
          <w:rFonts w:hint="eastAsia" w:ascii="宋体" w:hAnsi="宋体" w:eastAsia="宋体" w:cs="宋体"/>
          <w:color w:val="auto"/>
          <w:sz w:val="32"/>
          <w:szCs w:val="32"/>
          <w:highlight w:val="none"/>
        </w:rPr>
        <w:t>函</w:t>
      </w:r>
      <w:bookmarkEnd w:id="62"/>
      <w:bookmarkEnd w:id="63"/>
      <w:bookmarkEnd w:id="64"/>
      <w:bookmarkEnd w:id="65"/>
      <w:bookmarkEnd w:id="66"/>
      <w:bookmarkEnd w:id="67"/>
    </w:p>
    <w:p w14:paraId="4E61142A">
      <w:pPr>
        <w:rPr>
          <w:rFonts w:hint="eastAsia" w:ascii="宋体" w:hAnsi="宋体" w:eastAsia="宋体" w:cs="宋体"/>
          <w:color w:val="auto"/>
          <w:highlight w:val="none"/>
        </w:rPr>
      </w:pPr>
    </w:p>
    <w:p w14:paraId="5991EDEE">
      <w:pPr>
        <w:spacing w:line="560" w:lineRule="exact"/>
        <w:jc w:val="left"/>
        <w:rPr>
          <w:rFonts w:hint="eastAsia" w:ascii="宋体" w:hAnsi="宋体" w:eastAsia="宋体" w:cs="宋体"/>
          <w:color w:val="auto"/>
          <w:spacing w:val="4"/>
          <w:szCs w:val="24"/>
          <w:highlight w:val="none"/>
          <w:u w:val="single"/>
        </w:rPr>
      </w:pPr>
      <w:r>
        <w:rPr>
          <w:rFonts w:hint="eastAsia" w:ascii="宋体" w:hAnsi="宋体" w:eastAsia="宋体" w:cs="宋体"/>
          <w:b/>
          <w:color w:val="auto"/>
          <w:spacing w:val="4"/>
          <w:szCs w:val="24"/>
          <w:highlight w:val="none"/>
        </w:rPr>
        <w:t>致</w:t>
      </w:r>
      <w:r>
        <w:rPr>
          <w:rFonts w:hint="eastAsia" w:ascii="宋体" w:hAnsi="宋体" w:eastAsia="宋体" w:cs="宋体"/>
          <w:b/>
          <w:color w:val="auto"/>
          <w:spacing w:val="4"/>
          <w:szCs w:val="24"/>
          <w:highlight w:val="none"/>
          <w:u w:val="single"/>
        </w:rPr>
        <w:t xml:space="preserve">：采购人名称     </w:t>
      </w:r>
    </w:p>
    <w:p w14:paraId="76062D75">
      <w:pPr>
        <w:spacing w:line="520" w:lineRule="exact"/>
        <w:ind w:firstLine="496" w:firstLineChars="200"/>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 xml:space="preserve">根据贵方“ </w:t>
      </w:r>
      <w:r>
        <w:rPr>
          <w:rFonts w:hint="eastAsia" w:hAnsi="宋体" w:cs="宋体"/>
          <w:color w:val="auto"/>
          <w:spacing w:val="4"/>
          <w:highlight w:val="none"/>
          <w:u w:val="single"/>
          <w:lang w:eastAsia="zh-CN"/>
        </w:rPr>
        <w:t>（</w:t>
      </w:r>
      <w:r>
        <w:rPr>
          <w:rFonts w:hint="eastAsia" w:hAnsi="宋体" w:cs="宋体"/>
          <w:color w:val="auto"/>
          <w:spacing w:val="4"/>
          <w:highlight w:val="none"/>
          <w:u w:val="single"/>
          <w:lang w:val="en-US" w:eastAsia="zh-CN"/>
        </w:rPr>
        <w:t>项目名称</w:t>
      </w:r>
      <w:r>
        <w:rPr>
          <w:rFonts w:hint="eastAsia" w:hAnsi="宋体" w:cs="宋体"/>
          <w:color w:val="auto"/>
          <w:spacing w:val="4"/>
          <w:highlight w:val="none"/>
          <w:u w:val="single"/>
          <w:lang w:eastAsia="zh-CN"/>
        </w:rPr>
        <w:t>）</w:t>
      </w:r>
      <w:r>
        <w:rPr>
          <w:rFonts w:hint="eastAsia" w:hAnsi="宋体" w:cs="宋体"/>
          <w:color w:val="auto"/>
          <w:spacing w:val="4"/>
          <w:highlight w:val="none"/>
          <w:u w:val="single"/>
          <w:lang w:val="en-US" w:eastAsia="zh-CN"/>
        </w:rPr>
        <w:t xml:space="preserve"> </w:t>
      </w:r>
      <w:r>
        <w:rPr>
          <w:rFonts w:hint="eastAsia" w:ascii="宋体" w:hAnsi="宋体" w:eastAsia="宋体" w:cs="宋体"/>
          <w:color w:val="auto"/>
          <w:spacing w:val="4"/>
          <w:highlight w:val="none"/>
        </w:rPr>
        <w:t>”项目的投标邀请</w:t>
      </w:r>
      <w:r>
        <w:rPr>
          <w:rFonts w:hint="eastAsia" w:ascii="宋体" w:hAnsi="宋体" w:eastAsia="宋体" w:cs="宋体"/>
          <w:color w:val="auto"/>
          <w:spacing w:val="4"/>
          <w:highlight w:val="none"/>
          <w:u w:val="single"/>
        </w:rPr>
        <w:t>(</w:t>
      </w:r>
      <w:r>
        <w:rPr>
          <w:rFonts w:hint="eastAsia" w:ascii="宋体" w:hAnsi="宋体" w:eastAsia="宋体" w:cs="宋体"/>
          <w:color w:val="auto"/>
          <w:spacing w:val="4"/>
          <w:highlight w:val="none"/>
          <w:u w:val="single"/>
          <w:lang w:eastAsia="zh-CN"/>
        </w:rPr>
        <w:t>项目</w:t>
      </w:r>
      <w:r>
        <w:rPr>
          <w:rFonts w:hint="eastAsia" w:ascii="宋体" w:hAnsi="宋体" w:eastAsia="宋体" w:cs="宋体"/>
          <w:color w:val="auto"/>
          <w:spacing w:val="4"/>
          <w:highlight w:val="none"/>
          <w:u w:val="single"/>
        </w:rPr>
        <w:t>编号：        )</w:t>
      </w:r>
      <w:r>
        <w:rPr>
          <w:rFonts w:hint="eastAsia" w:ascii="宋体" w:hAnsi="宋体" w:eastAsia="宋体" w:cs="宋体"/>
          <w:color w:val="auto"/>
          <w:spacing w:val="4"/>
          <w:highlight w:val="none"/>
        </w:rPr>
        <w:t>，签字代表</w:t>
      </w:r>
      <w:r>
        <w:rPr>
          <w:rFonts w:hint="eastAsia" w:ascii="宋体" w:hAnsi="宋体" w:eastAsia="宋体" w:cs="宋体"/>
          <w:color w:val="auto"/>
          <w:spacing w:val="4"/>
          <w:highlight w:val="none"/>
          <w:u w:val="single"/>
        </w:rPr>
        <w:t>（全名、职务）</w:t>
      </w:r>
      <w:r>
        <w:rPr>
          <w:rFonts w:hint="eastAsia" w:ascii="宋体" w:hAnsi="宋体" w:eastAsia="宋体" w:cs="宋体"/>
          <w:color w:val="auto"/>
          <w:spacing w:val="4"/>
          <w:highlight w:val="none"/>
        </w:rPr>
        <w:t>经正式授权并代表投标人</w:t>
      </w:r>
      <w:r>
        <w:rPr>
          <w:rFonts w:hint="eastAsia" w:ascii="宋体" w:hAnsi="宋体" w:eastAsia="宋体" w:cs="宋体"/>
          <w:color w:val="auto"/>
          <w:spacing w:val="4"/>
          <w:highlight w:val="none"/>
          <w:u w:val="single"/>
        </w:rPr>
        <w:t>(投标人名称、地址)</w:t>
      </w:r>
      <w:r>
        <w:rPr>
          <w:rFonts w:hint="eastAsia" w:ascii="宋体" w:hAnsi="宋体" w:eastAsia="宋体" w:cs="宋体"/>
          <w:color w:val="auto"/>
          <w:spacing w:val="4"/>
          <w:highlight w:val="none"/>
        </w:rPr>
        <w:t xml:space="preserve"> 提交投标电子文件。</w:t>
      </w:r>
    </w:p>
    <w:p w14:paraId="1A771429">
      <w:pPr>
        <w:spacing w:line="520" w:lineRule="exact"/>
        <w:ind w:left="624" w:leftChars="251" w:hanging="22" w:hangingChars="9"/>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我方承诺如下：</w:t>
      </w:r>
    </w:p>
    <w:p w14:paraId="461E3C1B">
      <w:pPr>
        <w:numPr>
          <w:ilvl w:val="0"/>
          <w:numId w:val="7"/>
        </w:numPr>
        <w:tabs>
          <w:tab w:val="left" w:pos="2160"/>
        </w:tabs>
        <w:spacing w:line="520" w:lineRule="exact"/>
        <w:ind w:left="0" w:firstLine="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 xml:space="preserve">投标总价为 </w:t>
      </w:r>
      <w:r>
        <w:rPr>
          <w:rFonts w:hint="eastAsia" w:ascii="宋体" w:hAnsi="宋体" w:eastAsia="宋体" w:cs="宋体"/>
          <w:color w:val="auto"/>
          <w:spacing w:val="4"/>
          <w:highlight w:val="none"/>
          <w:u w:val="single"/>
        </w:rPr>
        <w:t xml:space="preserve">        </w:t>
      </w:r>
      <w:r>
        <w:rPr>
          <w:rFonts w:hint="eastAsia" w:ascii="宋体" w:hAnsi="宋体" w:eastAsia="宋体" w:cs="宋体"/>
          <w:color w:val="auto"/>
          <w:spacing w:val="4"/>
          <w:highlight w:val="none"/>
        </w:rPr>
        <w:t>（人民币</w:t>
      </w:r>
      <w:r>
        <w:rPr>
          <w:rFonts w:hint="eastAsia" w:ascii="宋体" w:hAnsi="宋体" w:eastAsia="宋体" w:cs="宋体"/>
          <w:color w:val="auto"/>
          <w:spacing w:val="4"/>
          <w:highlight w:val="none"/>
          <w:u w:val="single"/>
        </w:rPr>
        <w:t xml:space="preserve">         </w:t>
      </w:r>
      <w:r>
        <w:rPr>
          <w:rFonts w:hint="eastAsia" w:ascii="宋体" w:hAnsi="宋体" w:eastAsia="宋体" w:cs="宋体"/>
          <w:color w:val="auto"/>
          <w:spacing w:val="4"/>
          <w:highlight w:val="none"/>
        </w:rPr>
        <w:t>）、（用文字和数字表示的投标总价）。</w:t>
      </w:r>
    </w:p>
    <w:p w14:paraId="3DD0EAD3">
      <w:pPr>
        <w:numPr>
          <w:ilvl w:val="0"/>
          <w:numId w:val="7"/>
        </w:numPr>
        <w:tabs>
          <w:tab w:val="left" w:pos="2160"/>
        </w:tabs>
        <w:spacing w:line="520" w:lineRule="exact"/>
        <w:ind w:left="0" w:firstLine="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如果中标，我们根据招标文件的规定，履行合同的责任和义务。</w:t>
      </w:r>
    </w:p>
    <w:p w14:paraId="5846E293">
      <w:pPr>
        <w:numPr>
          <w:ilvl w:val="0"/>
          <w:numId w:val="7"/>
        </w:numPr>
        <w:tabs>
          <w:tab w:val="left" w:pos="2160"/>
        </w:tabs>
        <w:spacing w:line="520" w:lineRule="exact"/>
        <w:ind w:left="0" w:firstLine="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我们已详细阅读和审核全部招标文件（含修改部分，如有的话）及有关附件，我们知道必须放弃提出含糊不清或误解的问题的权利。</w:t>
      </w:r>
    </w:p>
    <w:p w14:paraId="6007BC76">
      <w:pPr>
        <w:numPr>
          <w:ilvl w:val="0"/>
          <w:numId w:val="7"/>
        </w:numPr>
        <w:tabs>
          <w:tab w:val="left" w:pos="2160"/>
        </w:tabs>
        <w:spacing w:line="520" w:lineRule="exact"/>
        <w:ind w:left="0" w:firstLine="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我们同意在投标有效期</w:t>
      </w:r>
      <w:r>
        <w:rPr>
          <w:rFonts w:hint="eastAsia" w:ascii="宋体" w:hAnsi="宋体" w:eastAsia="宋体" w:cs="宋体"/>
          <w:color w:val="auto"/>
          <w:spacing w:val="4"/>
          <w:highlight w:val="none"/>
          <w:u w:val="none"/>
        </w:rPr>
        <w:t>内</w:t>
      </w:r>
      <w:r>
        <w:rPr>
          <w:rFonts w:hint="eastAsia" w:ascii="宋体" w:hAnsi="宋体" w:eastAsia="宋体" w:cs="宋体"/>
          <w:color w:val="auto"/>
          <w:spacing w:val="4"/>
          <w:highlight w:val="none"/>
          <w:u w:val="single"/>
          <w:lang w:val="en-US" w:eastAsia="zh-CN"/>
        </w:rPr>
        <w:t>(</w:t>
      </w:r>
      <w:r>
        <w:rPr>
          <w:rFonts w:hint="eastAsia" w:ascii="宋体" w:hAnsi="宋体" w:eastAsia="宋体" w:cs="宋体"/>
          <w:color w:val="auto"/>
          <w:spacing w:val="4"/>
          <w:highlight w:val="none"/>
          <w:u w:val="single"/>
        </w:rPr>
        <w:t>自开标之日起</w:t>
      </w:r>
      <w:r>
        <w:rPr>
          <w:rFonts w:hint="eastAsia" w:ascii="宋体" w:hAnsi="宋体" w:eastAsia="宋体" w:cs="宋体"/>
          <w:color w:val="auto"/>
          <w:spacing w:val="4"/>
          <w:highlight w:val="none"/>
          <w:u w:val="single"/>
          <w:lang w:val="en-US" w:eastAsia="zh-CN"/>
        </w:rPr>
        <w:t xml:space="preserve">    </w:t>
      </w:r>
      <w:r>
        <w:rPr>
          <w:rFonts w:hint="eastAsia" w:ascii="宋体" w:hAnsi="宋体" w:eastAsia="宋体" w:cs="宋体"/>
          <w:color w:val="auto"/>
          <w:spacing w:val="4"/>
          <w:highlight w:val="none"/>
          <w:u w:val="single"/>
        </w:rPr>
        <w:t>天）</w:t>
      </w:r>
      <w:r>
        <w:rPr>
          <w:rFonts w:hint="eastAsia" w:ascii="宋体" w:hAnsi="宋体" w:eastAsia="宋体" w:cs="宋体"/>
          <w:color w:val="auto"/>
          <w:spacing w:val="4"/>
          <w:highlight w:val="none"/>
        </w:rPr>
        <w:t>，本投标函对我方具有约束力。</w:t>
      </w:r>
    </w:p>
    <w:p w14:paraId="50F12217">
      <w:pPr>
        <w:numPr>
          <w:ilvl w:val="0"/>
          <w:numId w:val="7"/>
        </w:numPr>
        <w:tabs>
          <w:tab w:val="left" w:pos="2160"/>
        </w:tabs>
        <w:spacing w:line="520" w:lineRule="exact"/>
        <w:ind w:left="0" w:firstLine="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lang w:val="en-US" w:eastAsia="zh-CN"/>
        </w:rPr>
        <w:t>投标人同意提供按照贵方可能要求的与其投标有关的一切数据或资料，完全理解贵方不一定接受最低投标报价的投标或收到的任何投标</w:t>
      </w:r>
      <w:r>
        <w:rPr>
          <w:rFonts w:hint="eastAsia" w:ascii="宋体" w:hAnsi="宋体" w:eastAsia="宋体" w:cs="宋体"/>
          <w:color w:val="auto"/>
          <w:spacing w:val="4"/>
          <w:highlight w:val="none"/>
        </w:rPr>
        <w:t xml:space="preserve">。 </w:t>
      </w:r>
    </w:p>
    <w:p w14:paraId="3B42B5DB">
      <w:pPr>
        <w:numPr>
          <w:ilvl w:val="0"/>
          <w:numId w:val="7"/>
        </w:numPr>
        <w:tabs>
          <w:tab w:val="left" w:pos="2160"/>
        </w:tabs>
        <w:spacing w:line="520" w:lineRule="exact"/>
        <w:ind w:left="0" w:firstLine="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lang w:val="en-US" w:eastAsia="zh-CN"/>
        </w:rPr>
        <w:t>若我方获得中标，我方保证按有关规定向贵方支付中标服务费</w:t>
      </w:r>
      <w:r>
        <w:rPr>
          <w:rFonts w:hint="eastAsia" w:ascii="宋体" w:hAnsi="宋体" w:eastAsia="宋体" w:cs="宋体"/>
          <w:color w:val="auto"/>
          <w:spacing w:val="4"/>
          <w:highlight w:val="none"/>
        </w:rPr>
        <w:t>。</w:t>
      </w:r>
    </w:p>
    <w:p w14:paraId="4F3325D0">
      <w:pPr>
        <w:numPr>
          <w:ilvl w:val="0"/>
          <w:numId w:val="7"/>
        </w:numPr>
        <w:tabs>
          <w:tab w:val="left" w:pos="2160"/>
        </w:tabs>
        <w:spacing w:line="520" w:lineRule="exact"/>
        <w:ind w:left="0" w:firstLine="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与本投标有关的一切正式往来通讯为：</w:t>
      </w:r>
    </w:p>
    <w:p w14:paraId="231217D6">
      <w:pPr>
        <w:spacing w:line="520" w:lineRule="exact"/>
        <w:ind w:firstLine="1240" w:firstLineChars="50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联系地址：</w:t>
      </w:r>
    </w:p>
    <w:p w14:paraId="0EB794A2">
      <w:pPr>
        <w:spacing w:line="520" w:lineRule="exact"/>
        <w:ind w:firstLine="1240" w:firstLineChars="50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邮政编码：</w:t>
      </w:r>
    </w:p>
    <w:p w14:paraId="5012BD74">
      <w:pPr>
        <w:spacing w:line="520" w:lineRule="exact"/>
        <w:ind w:firstLine="1240" w:firstLineChars="50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电    话：</w:t>
      </w:r>
    </w:p>
    <w:p w14:paraId="5199A41A">
      <w:pPr>
        <w:spacing w:line="520" w:lineRule="exact"/>
        <w:ind w:firstLine="1240" w:firstLineChars="50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传    真：</w:t>
      </w:r>
    </w:p>
    <w:p w14:paraId="13C161BD">
      <w:pPr>
        <w:spacing w:line="520" w:lineRule="exact"/>
        <w:ind w:firstLine="1240" w:firstLineChars="50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投标人名称（盖章）：</w:t>
      </w:r>
    </w:p>
    <w:p w14:paraId="5CAB8E34">
      <w:pPr>
        <w:spacing w:line="520" w:lineRule="exact"/>
        <w:ind w:firstLine="1240" w:firstLineChars="50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法定代表人</w:t>
      </w:r>
      <w:r>
        <w:rPr>
          <w:rFonts w:hint="eastAsia" w:hAnsi="宋体" w:cs="宋体"/>
          <w:color w:val="auto"/>
          <w:spacing w:val="4"/>
          <w:highlight w:val="none"/>
          <w:lang w:val="en-US" w:eastAsia="zh-CN"/>
        </w:rPr>
        <w:t>和</w:t>
      </w:r>
      <w:r>
        <w:rPr>
          <w:rFonts w:hint="eastAsia" w:ascii="宋体" w:hAnsi="宋体" w:eastAsia="宋体" w:cs="宋体"/>
          <w:color w:val="auto"/>
          <w:spacing w:val="4"/>
          <w:highlight w:val="none"/>
          <w:lang w:eastAsia="zh-CN"/>
        </w:rPr>
        <w:t>被授权人（签字或盖章）</w:t>
      </w:r>
      <w:r>
        <w:rPr>
          <w:rFonts w:hint="eastAsia" w:ascii="宋体" w:hAnsi="宋体" w:eastAsia="宋体" w:cs="宋体"/>
          <w:color w:val="auto"/>
          <w:spacing w:val="4"/>
          <w:highlight w:val="none"/>
        </w:rPr>
        <w:t>：</w:t>
      </w:r>
    </w:p>
    <w:p w14:paraId="060A20D3">
      <w:pPr>
        <w:spacing w:line="520" w:lineRule="exact"/>
        <w:ind w:firstLine="1240" w:firstLineChars="500"/>
        <w:jc w:val="left"/>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日    期：</w:t>
      </w:r>
    </w:p>
    <w:p w14:paraId="120E67A6">
      <w:pPr>
        <w:spacing w:line="440" w:lineRule="exact"/>
        <w:ind w:left="485" w:leftChars="202"/>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8"/>
          <w:highlight w:val="none"/>
        </w:rPr>
        <w:br w:type="page"/>
      </w:r>
      <w:bookmarkStart w:id="68" w:name="_Toc27599"/>
      <w:bookmarkStart w:id="69" w:name="_Toc17802"/>
      <w:bookmarkStart w:id="70" w:name="_Toc4332"/>
      <w:bookmarkStart w:id="71" w:name="_Toc426457703"/>
      <w:bookmarkStart w:id="72" w:name="_Toc21319"/>
      <w:bookmarkStart w:id="73" w:name="_Toc363474030"/>
      <w:bookmarkStart w:id="74" w:name="_Toc403077651"/>
      <w:bookmarkStart w:id="75" w:name="_Toc29025"/>
      <w:r>
        <w:rPr>
          <w:rFonts w:hint="eastAsia" w:ascii="宋体" w:hAnsi="宋体" w:eastAsia="宋体" w:cs="宋体"/>
          <w:b/>
          <w:bCs/>
          <w:color w:val="auto"/>
          <w:sz w:val="32"/>
          <w:szCs w:val="32"/>
          <w:highlight w:val="none"/>
          <w:lang w:eastAsia="zh-CN"/>
        </w:rPr>
        <w:t>二</w:t>
      </w:r>
      <w:r>
        <w:rPr>
          <w:rFonts w:hint="eastAsia" w:ascii="宋体" w:hAnsi="宋体" w:eastAsia="宋体" w:cs="宋体"/>
          <w:b/>
          <w:bCs/>
          <w:color w:val="auto"/>
          <w:sz w:val="32"/>
          <w:szCs w:val="32"/>
          <w:highlight w:val="none"/>
        </w:rPr>
        <w:t>、投标报价表</w:t>
      </w:r>
      <w:bookmarkEnd w:id="68"/>
      <w:bookmarkEnd w:id="69"/>
      <w:bookmarkEnd w:id="70"/>
      <w:bookmarkEnd w:id="71"/>
      <w:bookmarkEnd w:id="72"/>
      <w:bookmarkEnd w:id="73"/>
      <w:bookmarkEnd w:id="74"/>
      <w:bookmarkEnd w:id="75"/>
    </w:p>
    <w:p w14:paraId="0E4B633A">
      <w:pPr>
        <w:jc w:val="center"/>
        <w:rPr>
          <w:rFonts w:hint="eastAsia" w:ascii="宋体" w:hAnsi="宋体" w:eastAsia="宋体" w:cs="宋体"/>
          <w:b/>
          <w:color w:val="auto"/>
          <w:sz w:val="30"/>
          <w:szCs w:val="30"/>
          <w:highlight w:val="none"/>
        </w:rPr>
      </w:pPr>
      <w:r>
        <w:rPr>
          <w:rFonts w:hint="eastAsia" w:hAnsi="宋体" w:cs="宋体"/>
          <w:b/>
          <w:color w:val="auto"/>
          <w:sz w:val="30"/>
          <w:szCs w:val="30"/>
          <w:highlight w:val="none"/>
          <w:lang w:val="en-US" w:eastAsia="zh-CN"/>
        </w:rPr>
        <w:t>2</w:t>
      </w:r>
      <w:r>
        <w:rPr>
          <w:rFonts w:hint="eastAsia" w:ascii="宋体" w:hAnsi="宋体" w:eastAsia="宋体" w:cs="宋体"/>
          <w:b/>
          <w:color w:val="auto"/>
          <w:sz w:val="30"/>
          <w:szCs w:val="30"/>
          <w:highlight w:val="none"/>
        </w:rPr>
        <w:t>.1开标一览表</w:t>
      </w:r>
    </w:p>
    <w:p w14:paraId="4AB73887">
      <w:pPr>
        <w:ind w:firstLine="496" w:firstLineChars="200"/>
        <w:jc w:val="left"/>
        <w:rPr>
          <w:rFonts w:hint="eastAsia" w:ascii="宋体" w:hAnsi="宋体" w:eastAsia="宋体" w:cs="宋体"/>
          <w:bCs/>
          <w:color w:val="auto"/>
          <w:szCs w:val="24"/>
          <w:highlight w:val="none"/>
          <w:u w:val="none"/>
        </w:rPr>
      </w:pPr>
      <w:r>
        <w:rPr>
          <w:rFonts w:hint="eastAsia" w:hAnsi="宋体" w:cs="宋体"/>
          <w:color w:val="auto"/>
          <w:spacing w:val="4"/>
          <w:highlight w:val="none"/>
          <w:u w:val="none"/>
          <w:lang w:val="en-US" w:eastAsia="zh-CN"/>
        </w:rPr>
        <w:t>项目名称：</w:t>
      </w:r>
    </w:p>
    <w:p w14:paraId="647EB3BE">
      <w:pPr>
        <w:ind w:firstLine="480" w:firstLineChars="200"/>
        <w:jc w:val="left"/>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 xml:space="preserve">项目编号：                         </w:t>
      </w:r>
    </w:p>
    <w:tbl>
      <w:tblPr>
        <w:tblStyle w:val="20"/>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8"/>
        <w:gridCol w:w="1877"/>
        <w:gridCol w:w="1878"/>
        <w:gridCol w:w="1872"/>
      </w:tblGrid>
      <w:tr w14:paraId="6831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3458" w:type="dxa"/>
            <w:noWrap w:val="0"/>
            <w:vAlign w:val="center"/>
          </w:tcPr>
          <w:p w14:paraId="77262F24">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投标总报价</w:t>
            </w:r>
          </w:p>
          <w:p w14:paraId="08A3986A">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（元）</w:t>
            </w:r>
          </w:p>
        </w:tc>
        <w:tc>
          <w:tcPr>
            <w:tcW w:w="1877" w:type="dxa"/>
            <w:noWrap w:val="0"/>
            <w:vAlign w:val="center"/>
          </w:tcPr>
          <w:p w14:paraId="7617B126">
            <w:pPr>
              <w:jc w:val="center"/>
              <w:rPr>
                <w:rFonts w:hint="default" w:ascii="宋体" w:hAnsi="宋体" w:eastAsia="宋体" w:cs="宋体"/>
                <w:color w:val="auto"/>
                <w:szCs w:val="24"/>
                <w:highlight w:val="none"/>
                <w:lang w:val="en-US" w:eastAsia="zh-CN"/>
              </w:rPr>
            </w:pPr>
            <w:r>
              <w:rPr>
                <w:rFonts w:hint="eastAsia" w:hAnsi="宋体" w:cs="宋体"/>
                <w:color w:val="auto"/>
                <w:szCs w:val="24"/>
                <w:highlight w:val="none"/>
                <w:lang w:val="en-US" w:eastAsia="zh-CN"/>
              </w:rPr>
              <w:t>供货期限</w:t>
            </w:r>
          </w:p>
          <w:p w14:paraId="7778F632">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hAnsi="宋体" w:cs="宋体"/>
                <w:color w:val="auto"/>
                <w:szCs w:val="24"/>
                <w:highlight w:val="none"/>
                <w:lang w:val="en-US" w:eastAsia="zh-CN"/>
              </w:rPr>
              <w:t>日历日</w:t>
            </w:r>
            <w:r>
              <w:rPr>
                <w:rFonts w:hint="eastAsia" w:ascii="宋体" w:hAnsi="宋体" w:eastAsia="宋体" w:cs="宋体"/>
                <w:color w:val="auto"/>
                <w:szCs w:val="24"/>
                <w:highlight w:val="none"/>
              </w:rPr>
              <w:t>）</w:t>
            </w:r>
          </w:p>
        </w:tc>
        <w:tc>
          <w:tcPr>
            <w:tcW w:w="1878" w:type="dxa"/>
            <w:noWrap w:val="0"/>
            <w:vAlign w:val="center"/>
          </w:tcPr>
          <w:p w14:paraId="1D9A5CEF">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质保期</w:t>
            </w:r>
          </w:p>
          <w:p w14:paraId="38919F9D">
            <w:pPr>
              <w:tabs>
                <w:tab w:val="left" w:pos="467"/>
              </w:tabs>
              <w:jc w:val="center"/>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（年）</w:t>
            </w:r>
          </w:p>
        </w:tc>
        <w:tc>
          <w:tcPr>
            <w:tcW w:w="1872" w:type="dxa"/>
            <w:noWrap w:val="0"/>
            <w:vAlign w:val="center"/>
          </w:tcPr>
          <w:p w14:paraId="53AF424A">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备注</w:t>
            </w:r>
          </w:p>
        </w:tc>
      </w:tr>
      <w:tr w14:paraId="3906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3458" w:type="dxa"/>
            <w:noWrap w:val="0"/>
            <w:vAlign w:val="center"/>
          </w:tcPr>
          <w:p w14:paraId="5A7D03DA">
            <w:pPr>
              <w:jc w:val="center"/>
              <w:rPr>
                <w:rFonts w:hint="eastAsia" w:ascii="宋体" w:hAnsi="宋体" w:eastAsia="宋体" w:cs="宋体"/>
                <w:color w:val="auto"/>
                <w:szCs w:val="24"/>
                <w:highlight w:val="none"/>
              </w:rPr>
            </w:pPr>
          </w:p>
        </w:tc>
        <w:tc>
          <w:tcPr>
            <w:tcW w:w="1877" w:type="dxa"/>
            <w:noWrap w:val="0"/>
            <w:vAlign w:val="center"/>
          </w:tcPr>
          <w:p w14:paraId="67D79D6A">
            <w:pPr>
              <w:jc w:val="center"/>
              <w:rPr>
                <w:rFonts w:hint="eastAsia" w:ascii="宋体" w:hAnsi="宋体" w:eastAsia="宋体" w:cs="宋体"/>
                <w:color w:val="auto"/>
                <w:szCs w:val="24"/>
                <w:highlight w:val="none"/>
              </w:rPr>
            </w:pPr>
          </w:p>
        </w:tc>
        <w:tc>
          <w:tcPr>
            <w:tcW w:w="1878" w:type="dxa"/>
            <w:noWrap w:val="0"/>
            <w:vAlign w:val="center"/>
          </w:tcPr>
          <w:p w14:paraId="07D47197">
            <w:pPr>
              <w:jc w:val="center"/>
              <w:rPr>
                <w:rFonts w:hint="eastAsia" w:ascii="宋体" w:hAnsi="宋体" w:eastAsia="宋体" w:cs="宋体"/>
                <w:color w:val="auto"/>
                <w:szCs w:val="24"/>
                <w:highlight w:val="none"/>
              </w:rPr>
            </w:pPr>
          </w:p>
        </w:tc>
        <w:tc>
          <w:tcPr>
            <w:tcW w:w="1872" w:type="dxa"/>
            <w:noWrap w:val="0"/>
            <w:vAlign w:val="top"/>
          </w:tcPr>
          <w:p w14:paraId="5D70C999">
            <w:pPr>
              <w:jc w:val="center"/>
              <w:rPr>
                <w:rFonts w:hint="eastAsia" w:ascii="宋体" w:hAnsi="宋体" w:eastAsia="宋体" w:cs="宋体"/>
                <w:color w:val="auto"/>
                <w:szCs w:val="24"/>
                <w:highlight w:val="none"/>
              </w:rPr>
            </w:pPr>
          </w:p>
        </w:tc>
      </w:tr>
      <w:tr w14:paraId="7CB6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085" w:type="dxa"/>
            <w:gridSpan w:val="4"/>
            <w:noWrap w:val="0"/>
            <w:vAlign w:val="center"/>
          </w:tcPr>
          <w:p w14:paraId="7427E0B6">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投标总报价（大写）：                                  （小写：￥       ）</w:t>
            </w:r>
          </w:p>
        </w:tc>
      </w:tr>
      <w:tr w14:paraId="3BCB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085" w:type="dxa"/>
            <w:gridSpan w:val="4"/>
            <w:noWrap w:val="0"/>
            <w:vAlign w:val="center"/>
          </w:tcPr>
          <w:p w14:paraId="35888DDD">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备注：表内报价内容以元为单位，保留小数点后两位。</w:t>
            </w:r>
          </w:p>
        </w:tc>
      </w:tr>
    </w:tbl>
    <w:p w14:paraId="4177F4BD">
      <w:pPr>
        <w:tabs>
          <w:tab w:val="left" w:pos="7200"/>
          <w:tab w:val="left" w:pos="8504"/>
        </w:tabs>
        <w:spacing w:line="360" w:lineRule="auto"/>
        <w:ind w:right="-1"/>
        <w:rPr>
          <w:rFonts w:hint="eastAsia" w:ascii="宋体" w:hAnsi="宋体" w:eastAsia="宋体" w:cs="宋体"/>
          <w:color w:val="auto"/>
          <w:highlight w:val="none"/>
        </w:rPr>
      </w:pPr>
    </w:p>
    <w:p w14:paraId="6ACCAC34">
      <w:pPr>
        <w:spacing w:line="120" w:lineRule="exact"/>
        <w:rPr>
          <w:rFonts w:hint="eastAsia" w:ascii="宋体" w:hAnsi="宋体" w:eastAsia="宋体" w:cs="宋体"/>
          <w:color w:val="auto"/>
          <w:highlight w:val="none"/>
        </w:rPr>
      </w:pPr>
    </w:p>
    <w:p w14:paraId="49945462">
      <w:pPr>
        <w:spacing w:line="480" w:lineRule="auto"/>
        <w:ind w:right="617" w:rightChars="257"/>
        <w:jc w:val="left"/>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highlight w:val="none"/>
          <w:u w:val="single"/>
        </w:rPr>
        <w:t xml:space="preserve">      （加盖单位公章）      </w:t>
      </w:r>
    </w:p>
    <w:p w14:paraId="7D1BC70C">
      <w:pPr>
        <w:spacing w:line="480" w:lineRule="auto"/>
        <w:ind w:right="617" w:rightChars="257"/>
        <w:jc w:val="left"/>
        <w:rPr>
          <w:rFonts w:hint="eastAsia" w:ascii="宋体" w:hAnsi="宋体" w:eastAsia="宋体" w:cs="宋体"/>
          <w:color w:val="auto"/>
          <w:highlight w:val="none"/>
        </w:rPr>
      </w:pPr>
    </w:p>
    <w:p w14:paraId="5E66D67F">
      <w:pPr>
        <w:spacing w:line="480" w:lineRule="auto"/>
        <w:ind w:right="617" w:rightChars="257"/>
        <w:jc w:val="left"/>
        <w:rPr>
          <w:rFonts w:hint="eastAsia" w:ascii="宋体" w:hAnsi="宋体" w:eastAsia="宋体" w:cs="宋体"/>
          <w:color w:val="auto"/>
          <w:highlight w:val="none"/>
        </w:rPr>
      </w:pPr>
      <w:r>
        <w:rPr>
          <w:rFonts w:hint="eastAsia" w:ascii="宋体" w:hAnsi="宋体" w:eastAsia="宋体" w:cs="宋体"/>
          <w:color w:val="auto"/>
          <w:highlight w:val="none"/>
        </w:rPr>
        <w:t>法定代表人被授权人</w:t>
      </w:r>
      <w:r>
        <w:rPr>
          <w:rFonts w:hint="eastAsia" w:ascii="宋体" w:hAnsi="宋体" w:eastAsia="宋体" w:cs="宋体"/>
          <w:color w:val="auto"/>
          <w:spacing w:val="4"/>
          <w:szCs w:val="24"/>
          <w:highlight w:val="none"/>
        </w:rPr>
        <w:t>签字</w:t>
      </w:r>
      <w:r>
        <w:rPr>
          <w:rFonts w:hint="eastAsia" w:ascii="宋体" w:hAnsi="宋体" w:eastAsia="宋体" w:cs="宋体"/>
          <w:color w:val="auto"/>
          <w:highlight w:val="none"/>
        </w:rPr>
        <w:t>：</w:t>
      </w:r>
    </w:p>
    <w:p w14:paraId="4F8E544E">
      <w:pPr>
        <w:spacing w:line="480" w:lineRule="auto"/>
        <w:ind w:right="617" w:rightChars="257"/>
        <w:jc w:val="left"/>
        <w:rPr>
          <w:rFonts w:hint="eastAsia" w:ascii="宋体" w:hAnsi="宋体" w:eastAsia="宋体" w:cs="宋体"/>
          <w:color w:val="auto"/>
          <w:highlight w:val="none"/>
        </w:rPr>
      </w:pPr>
    </w:p>
    <w:p w14:paraId="4A51FBC1">
      <w:pPr>
        <w:spacing w:line="480" w:lineRule="auto"/>
        <w:ind w:right="617" w:rightChars="257"/>
        <w:rPr>
          <w:rFonts w:hint="eastAsia" w:ascii="宋体" w:hAnsi="宋体" w:eastAsia="宋体" w:cs="宋体"/>
          <w:color w:val="auto"/>
          <w:highlight w:val="none"/>
        </w:rPr>
      </w:pPr>
      <w:r>
        <w:rPr>
          <w:rFonts w:hint="eastAsia" w:ascii="宋体" w:hAnsi="宋体" w:eastAsia="宋体" w:cs="宋体"/>
          <w:color w:val="auto"/>
          <w:highlight w:val="none"/>
        </w:rPr>
        <w:t>日    期：</w:t>
      </w:r>
    </w:p>
    <w:p w14:paraId="010127B9">
      <w:pPr>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hAnsi="宋体" w:cs="宋体"/>
          <w:b/>
          <w:color w:val="auto"/>
          <w:sz w:val="30"/>
          <w:szCs w:val="30"/>
          <w:highlight w:val="none"/>
          <w:lang w:val="en-US" w:eastAsia="zh-CN"/>
        </w:rPr>
        <w:t>2</w:t>
      </w:r>
      <w:r>
        <w:rPr>
          <w:rFonts w:hint="eastAsia" w:ascii="宋体" w:hAnsi="宋体" w:eastAsia="宋体" w:cs="宋体"/>
          <w:b/>
          <w:color w:val="auto"/>
          <w:sz w:val="30"/>
          <w:szCs w:val="30"/>
          <w:highlight w:val="none"/>
        </w:rPr>
        <w:t>.2投标报价明细表</w:t>
      </w:r>
      <w:r>
        <w:rPr>
          <w:rFonts w:hint="eastAsia" w:ascii="宋体" w:hAnsi="宋体" w:eastAsia="宋体" w:cs="宋体"/>
          <w:color w:val="auto"/>
          <w:highlight w:val="none"/>
        </w:rPr>
        <w:t xml:space="preserve">      </w:t>
      </w:r>
    </w:p>
    <w:p w14:paraId="587597A7">
      <w:pPr>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 xml:space="preserve">    </w:t>
      </w:r>
    </w:p>
    <w:tbl>
      <w:tblPr>
        <w:tblStyle w:val="20"/>
        <w:tblW w:w="0" w:type="auto"/>
        <w:jc w:val="center"/>
        <w:tblLayout w:type="fixed"/>
        <w:tblCellMar>
          <w:top w:w="0" w:type="dxa"/>
          <w:left w:w="28" w:type="dxa"/>
          <w:bottom w:w="0" w:type="dxa"/>
          <w:right w:w="28" w:type="dxa"/>
        </w:tblCellMar>
      </w:tblPr>
      <w:tblGrid>
        <w:gridCol w:w="875"/>
        <w:gridCol w:w="536"/>
        <w:gridCol w:w="797"/>
        <w:gridCol w:w="723"/>
        <w:gridCol w:w="849"/>
        <w:gridCol w:w="1806"/>
        <w:gridCol w:w="960"/>
        <w:gridCol w:w="1175"/>
        <w:gridCol w:w="1178"/>
      </w:tblGrid>
      <w:tr w14:paraId="7C96076B">
        <w:tblPrEx>
          <w:tblCellMar>
            <w:top w:w="0" w:type="dxa"/>
            <w:left w:w="28" w:type="dxa"/>
            <w:bottom w:w="0" w:type="dxa"/>
            <w:right w:w="28" w:type="dxa"/>
          </w:tblCellMar>
        </w:tblPrEx>
        <w:trPr>
          <w:trHeight w:val="598" w:hRule="atLeast"/>
          <w:jc w:val="center"/>
        </w:trPr>
        <w:tc>
          <w:tcPr>
            <w:tcW w:w="875" w:type="dxa"/>
            <w:vMerge w:val="restart"/>
            <w:tcBorders>
              <w:top w:val="single" w:color="auto" w:sz="6" w:space="0"/>
              <w:left w:val="single" w:color="auto" w:sz="6" w:space="0"/>
              <w:right w:val="single" w:color="auto" w:sz="4" w:space="0"/>
            </w:tcBorders>
            <w:noWrap w:val="0"/>
            <w:vAlign w:val="center"/>
          </w:tcPr>
          <w:p w14:paraId="0D80FB40">
            <w:pPr>
              <w:spacing w:after="120" w:afterLines="0"/>
              <w:jc w:val="center"/>
              <w:rPr>
                <w:rFonts w:hint="eastAsia" w:ascii="宋体" w:hAnsi="Calibri" w:eastAsia="宋体" w:cs="Times New Roman"/>
                <w:color w:val="auto"/>
                <w:szCs w:val="24"/>
                <w:highlight w:val="none"/>
              </w:rPr>
            </w:pPr>
            <w:r>
              <w:rPr>
                <w:rFonts w:hint="eastAsia" w:ascii="宋体" w:hAnsi="Calibri" w:eastAsia="宋体" w:cs="Times New Roman"/>
                <w:color w:val="auto"/>
                <w:highlight w:val="none"/>
              </w:rPr>
              <w:t xml:space="preserve">                           </w:t>
            </w:r>
            <w:r>
              <w:rPr>
                <w:rFonts w:hint="eastAsia" w:ascii="宋体" w:hAnsi="Calibri" w:eastAsia="宋体" w:cs="Times New Roman"/>
                <w:color w:val="auto"/>
                <w:szCs w:val="24"/>
                <w:highlight w:val="none"/>
              </w:rPr>
              <w:t>产品</w:t>
            </w:r>
          </w:p>
          <w:p w14:paraId="69E587F9">
            <w:pPr>
              <w:spacing w:after="120" w:afterLines="0"/>
              <w:jc w:val="center"/>
              <w:rPr>
                <w:rFonts w:ascii="宋体" w:hAnsi="Calibri" w:eastAsia="宋体" w:cs="Times New Roman"/>
                <w:color w:val="auto"/>
                <w:highlight w:val="none"/>
              </w:rPr>
            </w:pPr>
            <w:r>
              <w:rPr>
                <w:rFonts w:hint="eastAsia" w:ascii="宋体" w:hAnsi="Calibri" w:eastAsia="宋体" w:cs="Times New Roman"/>
                <w:color w:val="auto"/>
                <w:szCs w:val="24"/>
                <w:highlight w:val="none"/>
              </w:rPr>
              <w:t>费用</w:t>
            </w:r>
          </w:p>
        </w:tc>
        <w:tc>
          <w:tcPr>
            <w:tcW w:w="536" w:type="dxa"/>
            <w:tcBorders>
              <w:top w:val="single" w:color="auto" w:sz="6" w:space="0"/>
              <w:left w:val="single" w:color="auto" w:sz="4" w:space="0"/>
              <w:bottom w:val="single" w:color="auto" w:sz="6" w:space="0"/>
            </w:tcBorders>
            <w:noWrap w:val="0"/>
            <w:vAlign w:val="center"/>
          </w:tcPr>
          <w:p w14:paraId="3E331742">
            <w:pPr>
              <w:spacing w:after="120" w:afterLines="0"/>
              <w:jc w:val="center"/>
              <w:rPr>
                <w:rFonts w:ascii="宋体" w:hAnsi="Calibri" w:eastAsia="宋体" w:cs="Times New Roman"/>
                <w:color w:val="auto"/>
                <w:highlight w:val="none"/>
              </w:rPr>
            </w:pPr>
            <w:r>
              <w:rPr>
                <w:rFonts w:hint="eastAsia" w:ascii="宋体" w:hAnsi="Calibri" w:eastAsia="宋体" w:cs="Times New Roman"/>
                <w:color w:val="auto"/>
                <w:highlight w:val="none"/>
              </w:rPr>
              <w:t>序号</w:t>
            </w:r>
          </w:p>
        </w:tc>
        <w:tc>
          <w:tcPr>
            <w:tcW w:w="797" w:type="dxa"/>
            <w:tcBorders>
              <w:top w:val="single" w:color="auto" w:sz="6" w:space="0"/>
              <w:left w:val="single" w:color="auto" w:sz="6" w:space="0"/>
              <w:bottom w:val="single" w:color="auto" w:sz="6" w:space="0"/>
              <w:right w:val="single" w:color="auto" w:sz="6" w:space="0"/>
            </w:tcBorders>
            <w:noWrap w:val="0"/>
            <w:vAlign w:val="center"/>
          </w:tcPr>
          <w:p w14:paraId="74828BAC">
            <w:pPr>
              <w:spacing w:after="120" w:afterLines="0"/>
              <w:jc w:val="center"/>
              <w:rPr>
                <w:rFonts w:ascii="宋体" w:hAnsi="Calibri" w:eastAsia="宋体" w:cs="Times New Roman"/>
                <w:color w:val="auto"/>
                <w:highlight w:val="none"/>
              </w:rPr>
            </w:pPr>
            <w:r>
              <w:rPr>
                <w:rFonts w:ascii="宋体" w:hAnsi="Calibri" w:eastAsia="宋体" w:cs="Times New Roman"/>
                <w:color w:val="auto"/>
                <w:highlight w:val="none"/>
              </w:rPr>
              <w:t>名称</w:t>
            </w:r>
          </w:p>
        </w:tc>
        <w:tc>
          <w:tcPr>
            <w:tcW w:w="723" w:type="dxa"/>
            <w:tcBorders>
              <w:top w:val="single" w:color="auto" w:sz="6" w:space="0"/>
              <w:left w:val="single" w:color="auto" w:sz="6" w:space="0"/>
              <w:bottom w:val="single" w:color="auto" w:sz="6" w:space="0"/>
              <w:right w:val="single" w:color="auto" w:sz="4" w:space="0"/>
            </w:tcBorders>
            <w:noWrap w:val="0"/>
            <w:vAlign w:val="center"/>
          </w:tcPr>
          <w:p w14:paraId="71FDEDE0">
            <w:pPr>
              <w:spacing w:after="120" w:afterLines="0"/>
              <w:jc w:val="center"/>
              <w:rPr>
                <w:rFonts w:hint="eastAsia" w:ascii="宋体" w:hAnsi="Calibri" w:eastAsia="宋体" w:cs="Times New Roman"/>
                <w:color w:val="auto"/>
                <w:highlight w:val="none"/>
              </w:rPr>
            </w:pPr>
            <w:r>
              <w:rPr>
                <w:rFonts w:hint="eastAsia" w:ascii="宋体" w:hAnsi="Calibri" w:eastAsia="宋体" w:cs="Times New Roman"/>
                <w:color w:val="auto"/>
                <w:highlight w:val="none"/>
              </w:rPr>
              <w:t>品牌</w:t>
            </w:r>
          </w:p>
        </w:tc>
        <w:tc>
          <w:tcPr>
            <w:tcW w:w="849" w:type="dxa"/>
            <w:tcBorders>
              <w:top w:val="single" w:color="auto" w:sz="6" w:space="0"/>
              <w:left w:val="single" w:color="auto" w:sz="4" w:space="0"/>
              <w:bottom w:val="single" w:color="auto" w:sz="6" w:space="0"/>
              <w:right w:val="single" w:color="auto" w:sz="6" w:space="0"/>
            </w:tcBorders>
            <w:noWrap w:val="0"/>
            <w:vAlign w:val="center"/>
          </w:tcPr>
          <w:p w14:paraId="3061475F">
            <w:pPr>
              <w:spacing w:after="120" w:afterLines="0"/>
              <w:jc w:val="center"/>
              <w:rPr>
                <w:rFonts w:ascii="宋体" w:hAnsi="Calibri" w:eastAsia="宋体" w:cs="Times New Roman"/>
                <w:color w:val="auto"/>
                <w:highlight w:val="none"/>
              </w:rPr>
            </w:pPr>
            <w:r>
              <w:rPr>
                <w:rFonts w:ascii="宋体" w:hAnsi="Calibri" w:eastAsia="宋体" w:cs="Times New Roman"/>
                <w:color w:val="auto"/>
                <w:highlight w:val="none"/>
              </w:rPr>
              <w:t>型号和规格</w:t>
            </w:r>
          </w:p>
        </w:tc>
        <w:tc>
          <w:tcPr>
            <w:tcW w:w="1806" w:type="dxa"/>
            <w:tcBorders>
              <w:top w:val="single" w:color="auto" w:sz="6" w:space="0"/>
              <w:left w:val="single" w:color="auto" w:sz="6" w:space="0"/>
              <w:bottom w:val="single" w:color="auto" w:sz="6" w:space="0"/>
              <w:right w:val="single" w:color="auto" w:sz="6" w:space="0"/>
            </w:tcBorders>
            <w:noWrap w:val="0"/>
            <w:vAlign w:val="center"/>
          </w:tcPr>
          <w:p w14:paraId="56199FE7">
            <w:pPr>
              <w:spacing w:before="156" w:beforeLines="50" w:after="120" w:afterLines="0"/>
              <w:jc w:val="center"/>
              <w:rPr>
                <w:rFonts w:ascii="宋体" w:hAnsi="Calibri" w:eastAsia="宋体" w:cs="Times New Roman"/>
                <w:color w:val="auto"/>
                <w:highlight w:val="none"/>
              </w:rPr>
            </w:pPr>
            <w:r>
              <w:rPr>
                <w:rFonts w:ascii="宋体" w:hAnsi="Calibri" w:eastAsia="宋体" w:cs="Times New Roman"/>
                <w:color w:val="auto"/>
                <w:highlight w:val="none"/>
              </w:rPr>
              <w:t>原产地及制造厂名</w:t>
            </w:r>
          </w:p>
        </w:tc>
        <w:tc>
          <w:tcPr>
            <w:tcW w:w="960" w:type="dxa"/>
            <w:tcBorders>
              <w:top w:val="single" w:color="auto" w:sz="6" w:space="0"/>
              <w:left w:val="single" w:color="auto" w:sz="6" w:space="0"/>
              <w:bottom w:val="single" w:color="auto" w:sz="6" w:space="0"/>
              <w:right w:val="single" w:color="auto" w:sz="6" w:space="0"/>
            </w:tcBorders>
            <w:noWrap w:val="0"/>
            <w:vAlign w:val="center"/>
          </w:tcPr>
          <w:p w14:paraId="7121FF2B">
            <w:pPr>
              <w:spacing w:after="120" w:afterLines="0"/>
              <w:jc w:val="center"/>
              <w:rPr>
                <w:rFonts w:ascii="宋体" w:hAnsi="Calibri" w:eastAsia="宋体" w:cs="Times New Roman"/>
                <w:color w:val="auto"/>
                <w:highlight w:val="none"/>
              </w:rPr>
            </w:pPr>
            <w:r>
              <w:rPr>
                <w:rFonts w:ascii="宋体" w:hAnsi="Calibri" w:eastAsia="宋体" w:cs="Times New Roman"/>
                <w:color w:val="auto"/>
                <w:highlight w:val="none"/>
              </w:rPr>
              <w:t>数量</w:t>
            </w:r>
          </w:p>
        </w:tc>
        <w:tc>
          <w:tcPr>
            <w:tcW w:w="1175" w:type="dxa"/>
            <w:tcBorders>
              <w:top w:val="single" w:color="auto" w:sz="6" w:space="0"/>
              <w:left w:val="single" w:color="auto" w:sz="6" w:space="0"/>
              <w:bottom w:val="single" w:color="auto" w:sz="6" w:space="0"/>
              <w:right w:val="single" w:color="auto" w:sz="6" w:space="0"/>
            </w:tcBorders>
            <w:noWrap w:val="0"/>
            <w:vAlign w:val="center"/>
          </w:tcPr>
          <w:p w14:paraId="684A4237">
            <w:pPr>
              <w:spacing w:after="120" w:afterLines="0"/>
              <w:jc w:val="center"/>
              <w:rPr>
                <w:rFonts w:hint="eastAsia" w:ascii="宋体" w:hAnsi="Calibri" w:eastAsia="宋体" w:cs="Times New Roman"/>
                <w:color w:val="auto"/>
                <w:highlight w:val="none"/>
              </w:rPr>
            </w:pPr>
            <w:r>
              <w:rPr>
                <w:rFonts w:ascii="宋体" w:hAnsi="Calibri" w:eastAsia="宋体" w:cs="Times New Roman"/>
                <w:color w:val="auto"/>
                <w:highlight w:val="none"/>
              </w:rPr>
              <w:t>单价</w:t>
            </w:r>
          </w:p>
          <w:p w14:paraId="315A63AC">
            <w:pPr>
              <w:spacing w:after="120" w:afterLines="0"/>
              <w:jc w:val="center"/>
              <w:rPr>
                <w:rFonts w:ascii="宋体" w:hAnsi="Calibri" w:eastAsia="宋体" w:cs="Times New Roman"/>
                <w:bCs/>
                <w:color w:val="auto"/>
                <w:highlight w:val="none"/>
              </w:rPr>
            </w:pPr>
            <w:r>
              <w:rPr>
                <w:rFonts w:hint="eastAsia" w:ascii="宋体" w:hAnsi="Calibri" w:eastAsia="宋体" w:cs="Times New Roman"/>
                <w:color w:val="auto"/>
                <w:highlight w:val="none"/>
              </w:rPr>
              <w:t>（元）</w:t>
            </w:r>
          </w:p>
        </w:tc>
        <w:tc>
          <w:tcPr>
            <w:tcW w:w="1178" w:type="dxa"/>
            <w:tcBorders>
              <w:top w:val="single" w:color="auto" w:sz="6" w:space="0"/>
              <w:left w:val="single" w:color="auto" w:sz="6" w:space="0"/>
              <w:bottom w:val="single" w:color="auto" w:sz="6" w:space="0"/>
              <w:right w:val="single" w:color="auto" w:sz="6" w:space="0"/>
            </w:tcBorders>
            <w:noWrap w:val="0"/>
            <w:vAlign w:val="center"/>
          </w:tcPr>
          <w:p w14:paraId="7290E9CF">
            <w:pPr>
              <w:spacing w:after="120" w:afterLines="0"/>
              <w:jc w:val="center"/>
              <w:rPr>
                <w:rFonts w:hint="eastAsia" w:ascii="宋体" w:hAnsi="Calibri" w:eastAsia="宋体" w:cs="Times New Roman"/>
                <w:bCs/>
                <w:color w:val="auto"/>
                <w:highlight w:val="none"/>
              </w:rPr>
            </w:pPr>
            <w:r>
              <w:rPr>
                <w:rFonts w:ascii="宋体" w:hAnsi="Calibri" w:eastAsia="宋体" w:cs="Times New Roman"/>
                <w:bCs/>
                <w:color w:val="auto"/>
                <w:highlight w:val="none"/>
              </w:rPr>
              <w:t>总价</w:t>
            </w:r>
          </w:p>
          <w:p w14:paraId="4D928818">
            <w:pPr>
              <w:spacing w:after="120" w:afterLines="0"/>
              <w:jc w:val="center"/>
              <w:rPr>
                <w:rFonts w:ascii="宋体" w:hAnsi="Calibri" w:eastAsia="宋体" w:cs="Times New Roman"/>
                <w:bCs/>
                <w:color w:val="auto"/>
                <w:highlight w:val="none"/>
              </w:rPr>
            </w:pPr>
            <w:r>
              <w:rPr>
                <w:rFonts w:hint="eastAsia" w:ascii="宋体" w:hAnsi="Calibri" w:eastAsia="宋体" w:cs="Times New Roman"/>
                <w:bCs/>
                <w:color w:val="auto"/>
                <w:highlight w:val="none"/>
              </w:rPr>
              <w:t>（元）</w:t>
            </w:r>
          </w:p>
        </w:tc>
      </w:tr>
      <w:tr w14:paraId="5447F54F">
        <w:tblPrEx>
          <w:tblCellMar>
            <w:top w:w="0" w:type="dxa"/>
            <w:left w:w="28" w:type="dxa"/>
            <w:bottom w:w="0" w:type="dxa"/>
            <w:right w:w="28" w:type="dxa"/>
          </w:tblCellMar>
        </w:tblPrEx>
        <w:trPr>
          <w:trHeight w:val="531" w:hRule="atLeast"/>
          <w:jc w:val="center"/>
        </w:trPr>
        <w:tc>
          <w:tcPr>
            <w:tcW w:w="875" w:type="dxa"/>
            <w:vMerge w:val="continue"/>
            <w:tcBorders>
              <w:left w:val="single" w:color="auto" w:sz="6" w:space="0"/>
              <w:right w:val="single" w:color="auto" w:sz="4" w:space="0"/>
            </w:tcBorders>
            <w:noWrap w:val="0"/>
            <w:vAlign w:val="center"/>
          </w:tcPr>
          <w:p w14:paraId="4645C6A8">
            <w:pPr>
              <w:spacing w:before="312" w:beforeLines="100"/>
              <w:jc w:val="center"/>
              <w:rPr>
                <w:rFonts w:ascii="宋体" w:hAnsi="Calibri" w:eastAsia="宋体" w:cs="Times New Roman"/>
                <w:color w:val="auto"/>
                <w:highlight w:val="none"/>
              </w:rPr>
            </w:pPr>
          </w:p>
        </w:tc>
        <w:tc>
          <w:tcPr>
            <w:tcW w:w="536" w:type="dxa"/>
            <w:tcBorders>
              <w:top w:val="single" w:color="auto" w:sz="6" w:space="0"/>
              <w:left w:val="single" w:color="auto" w:sz="4" w:space="0"/>
              <w:bottom w:val="single" w:color="auto" w:sz="4" w:space="0"/>
            </w:tcBorders>
            <w:noWrap w:val="0"/>
            <w:vAlign w:val="center"/>
          </w:tcPr>
          <w:p w14:paraId="224A7C25">
            <w:pPr>
              <w:spacing w:before="312" w:beforeLines="100"/>
              <w:jc w:val="center"/>
              <w:rPr>
                <w:rFonts w:ascii="宋体" w:hAnsi="Calibri" w:eastAsia="宋体" w:cs="Times New Roman"/>
                <w:color w:val="auto"/>
                <w:highlight w:val="none"/>
              </w:rPr>
            </w:pPr>
            <w:r>
              <w:rPr>
                <w:rFonts w:hint="eastAsia" w:ascii="宋体" w:hAnsi="Calibri" w:eastAsia="宋体" w:cs="Times New Roman"/>
                <w:color w:val="auto"/>
                <w:highlight w:val="none"/>
              </w:rPr>
              <w:t>1</w:t>
            </w:r>
          </w:p>
        </w:tc>
        <w:tc>
          <w:tcPr>
            <w:tcW w:w="797" w:type="dxa"/>
            <w:tcBorders>
              <w:top w:val="single" w:color="auto" w:sz="6" w:space="0"/>
              <w:left w:val="single" w:color="auto" w:sz="6" w:space="0"/>
              <w:bottom w:val="single" w:color="auto" w:sz="4" w:space="0"/>
              <w:right w:val="single" w:color="auto" w:sz="6" w:space="0"/>
            </w:tcBorders>
            <w:noWrap w:val="0"/>
            <w:vAlign w:val="center"/>
          </w:tcPr>
          <w:p w14:paraId="5F98DAEE">
            <w:pPr>
              <w:spacing w:before="156" w:beforeLines="50"/>
              <w:jc w:val="center"/>
              <w:rPr>
                <w:rFonts w:ascii="宋体" w:hAnsi="Calibri" w:eastAsia="宋体" w:cs="Times New Roman"/>
                <w:color w:val="auto"/>
                <w:highlight w:val="none"/>
              </w:rPr>
            </w:pPr>
          </w:p>
        </w:tc>
        <w:tc>
          <w:tcPr>
            <w:tcW w:w="723" w:type="dxa"/>
            <w:tcBorders>
              <w:top w:val="single" w:color="auto" w:sz="6" w:space="0"/>
              <w:left w:val="single" w:color="auto" w:sz="6" w:space="0"/>
              <w:bottom w:val="single" w:color="auto" w:sz="4" w:space="0"/>
              <w:right w:val="single" w:color="auto" w:sz="4" w:space="0"/>
            </w:tcBorders>
            <w:noWrap w:val="0"/>
            <w:vAlign w:val="center"/>
          </w:tcPr>
          <w:p w14:paraId="7912BB0A">
            <w:pPr>
              <w:spacing w:before="156" w:beforeLines="50"/>
              <w:jc w:val="center"/>
              <w:rPr>
                <w:rFonts w:ascii="宋体" w:hAnsi="Calibri" w:eastAsia="宋体" w:cs="Times New Roman"/>
                <w:color w:val="auto"/>
                <w:highlight w:val="none"/>
              </w:rPr>
            </w:pPr>
          </w:p>
        </w:tc>
        <w:tc>
          <w:tcPr>
            <w:tcW w:w="849" w:type="dxa"/>
            <w:tcBorders>
              <w:top w:val="single" w:color="auto" w:sz="6" w:space="0"/>
              <w:left w:val="single" w:color="auto" w:sz="4" w:space="0"/>
              <w:bottom w:val="single" w:color="auto" w:sz="4" w:space="0"/>
              <w:right w:val="single" w:color="auto" w:sz="6" w:space="0"/>
            </w:tcBorders>
            <w:noWrap w:val="0"/>
            <w:vAlign w:val="center"/>
          </w:tcPr>
          <w:p w14:paraId="1442C8EA">
            <w:pPr>
              <w:spacing w:before="156" w:beforeLines="50"/>
              <w:jc w:val="center"/>
              <w:rPr>
                <w:rFonts w:ascii="宋体" w:hAnsi="Calibri" w:eastAsia="宋体" w:cs="Times New Roman"/>
                <w:color w:val="auto"/>
                <w:highlight w:val="none"/>
              </w:rPr>
            </w:pPr>
          </w:p>
        </w:tc>
        <w:tc>
          <w:tcPr>
            <w:tcW w:w="1806" w:type="dxa"/>
            <w:tcBorders>
              <w:top w:val="single" w:color="auto" w:sz="6" w:space="0"/>
              <w:left w:val="single" w:color="auto" w:sz="6" w:space="0"/>
              <w:bottom w:val="single" w:color="auto" w:sz="4" w:space="0"/>
              <w:right w:val="single" w:color="auto" w:sz="6" w:space="0"/>
            </w:tcBorders>
            <w:noWrap w:val="0"/>
            <w:vAlign w:val="center"/>
          </w:tcPr>
          <w:p w14:paraId="496EA7A6">
            <w:pPr>
              <w:spacing w:before="156" w:beforeLines="50"/>
              <w:jc w:val="center"/>
              <w:rPr>
                <w:rFonts w:ascii="宋体" w:hAnsi="Calibri" w:eastAsia="宋体" w:cs="Times New Roman"/>
                <w:color w:val="auto"/>
                <w:highlight w:val="none"/>
              </w:rPr>
            </w:pPr>
          </w:p>
        </w:tc>
        <w:tc>
          <w:tcPr>
            <w:tcW w:w="960" w:type="dxa"/>
            <w:tcBorders>
              <w:top w:val="single" w:color="auto" w:sz="6" w:space="0"/>
              <w:left w:val="single" w:color="auto" w:sz="6" w:space="0"/>
              <w:bottom w:val="single" w:color="auto" w:sz="4" w:space="0"/>
              <w:right w:val="single" w:color="auto" w:sz="6" w:space="0"/>
            </w:tcBorders>
            <w:noWrap w:val="0"/>
            <w:vAlign w:val="center"/>
          </w:tcPr>
          <w:p w14:paraId="1E4AD8F0">
            <w:pPr>
              <w:spacing w:before="156" w:beforeLines="50"/>
              <w:jc w:val="center"/>
              <w:rPr>
                <w:rFonts w:ascii="宋体" w:hAnsi="Calibri" w:eastAsia="宋体" w:cs="Times New Roman"/>
                <w:color w:val="auto"/>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29CFDB94">
            <w:pPr>
              <w:spacing w:before="156" w:beforeLines="50"/>
              <w:jc w:val="center"/>
              <w:rPr>
                <w:rFonts w:ascii="宋体" w:hAnsi="Calibri" w:eastAsia="宋体" w:cs="Times New Roman"/>
                <w:color w:val="auto"/>
                <w:highlight w:val="none"/>
              </w:rPr>
            </w:pPr>
          </w:p>
        </w:tc>
        <w:tc>
          <w:tcPr>
            <w:tcW w:w="1178" w:type="dxa"/>
            <w:tcBorders>
              <w:top w:val="single" w:color="auto" w:sz="6" w:space="0"/>
              <w:left w:val="single" w:color="auto" w:sz="6" w:space="0"/>
              <w:bottom w:val="single" w:color="auto" w:sz="4" w:space="0"/>
              <w:right w:val="single" w:color="auto" w:sz="6" w:space="0"/>
            </w:tcBorders>
            <w:noWrap w:val="0"/>
            <w:vAlign w:val="center"/>
          </w:tcPr>
          <w:p w14:paraId="21A841A8">
            <w:pPr>
              <w:spacing w:before="156" w:beforeLines="50"/>
              <w:jc w:val="center"/>
              <w:rPr>
                <w:rFonts w:ascii="宋体" w:hAnsi="Calibri" w:eastAsia="宋体" w:cs="Times New Roman"/>
                <w:color w:val="auto"/>
                <w:highlight w:val="none"/>
              </w:rPr>
            </w:pPr>
          </w:p>
        </w:tc>
      </w:tr>
      <w:tr w14:paraId="75FBEA93">
        <w:tblPrEx>
          <w:tblCellMar>
            <w:top w:w="0" w:type="dxa"/>
            <w:left w:w="28" w:type="dxa"/>
            <w:bottom w:w="0" w:type="dxa"/>
            <w:right w:w="28" w:type="dxa"/>
          </w:tblCellMar>
        </w:tblPrEx>
        <w:trPr>
          <w:trHeight w:val="531" w:hRule="atLeast"/>
          <w:jc w:val="center"/>
        </w:trPr>
        <w:tc>
          <w:tcPr>
            <w:tcW w:w="875" w:type="dxa"/>
            <w:vMerge w:val="continue"/>
            <w:tcBorders>
              <w:left w:val="single" w:color="auto" w:sz="6" w:space="0"/>
              <w:right w:val="single" w:color="auto" w:sz="4" w:space="0"/>
            </w:tcBorders>
            <w:noWrap w:val="0"/>
            <w:vAlign w:val="center"/>
          </w:tcPr>
          <w:p w14:paraId="46A7BFA4">
            <w:pPr>
              <w:spacing w:before="312" w:beforeLines="100"/>
              <w:jc w:val="center"/>
              <w:rPr>
                <w:rFonts w:ascii="宋体" w:hAnsi="Calibri" w:eastAsia="宋体" w:cs="Times New Roman"/>
                <w:color w:val="auto"/>
                <w:highlight w:val="none"/>
              </w:rPr>
            </w:pPr>
          </w:p>
        </w:tc>
        <w:tc>
          <w:tcPr>
            <w:tcW w:w="536" w:type="dxa"/>
            <w:tcBorders>
              <w:top w:val="single" w:color="auto" w:sz="4" w:space="0"/>
              <w:left w:val="single" w:color="auto" w:sz="4" w:space="0"/>
              <w:bottom w:val="single" w:color="auto" w:sz="6" w:space="0"/>
            </w:tcBorders>
            <w:noWrap w:val="0"/>
            <w:vAlign w:val="center"/>
          </w:tcPr>
          <w:p w14:paraId="50833354">
            <w:pPr>
              <w:spacing w:before="312" w:beforeLines="100"/>
              <w:jc w:val="center"/>
              <w:rPr>
                <w:rFonts w:ascii="宋体" w:hAnsi="Calibri" w:eastAsia="宋体" w:cs="Times New Roman"/>
                <w:color w:val="auto"/>
                <w:highlight w:val="none"/>
              </w:rPr>
            </w:pPr>
            <w:r>
              <w:rPr>
                <w:rFonts w:hint="eastAsia" w:ascii="宋体" w:hAnsi="Calibri" w:eastAsia="宋体" w:cs="Times New Roman"/>
                <w:color w:val="auto"/>
                <w:highlight w:val="none"/>
              </w:rPr>
              <w:t>2</w:t>
            </w:r>
          </w:p>
        </w:tc>
        <w:tc>
          <w:tcPr>
            <w:tcW w:w="797" w:type="dxa"/>
            <w:tcBorders>
              <w:top w:val="single" w:color="auto" w:sz="4" w:space="0"/>
              <w:left w:val="single" w:color="auto" w:sz="6" w:space="0"/>
              <w:bottom w:val="single" w:color="auto" w:sz="6" w:space="0"/>
              <w:right w:val="single" w:color="auto" w:sz="6" w:space="0"/>
            </w:tcBorders>
            <w:noWrap w:val="0"/>
            <w:vAlign w:val="center"/>
          </w:tcPr>
          <w:p w14:paraId="4266578D">
            <w:pPr>
              <w:spacing w:before="312" w:beforeLines="100"/>
              <w:jc w:val="center"/>
              <w:rPr>
                <w:rFonts w:ascii="宋体" w:hAnsi="Calibri" w:eastAsia="宋体" w:cs="Times New Roman"/>
                <w:color w:val="auto"/>
                <w:highlight w:val="none"/>
              </w:rPr>
            </w:pPr>
          </w:p>
        </w:tc>
        <w:tc>
          <w:tcPr>
            <w:tcW w:w="723" w:type="dxa"/>
            <w:tcBorders>
              <w:top w:val="single" w:color="auto" w:sz="4" w:space="0"/>
              <w:left w:val="single" w:color="auto" w:sz="6" w:space="0"/>
              <w:bottom w:val="single" w:color="auto" w:sz="6" w:space="0"/>
              <w:right w:val="single" w:color="auto" w:sz="4" w:space="0"/>
            </w:tcBorders>
            <w:noWrap w:val="0"/>
            <w:vAlign w:val="center"/>
          </w:tcPr>
          <w:p w14:paraId="465BFC10">
            <w:pPr>
              <w:spacing w:before="156" w:beforeLines="50"/>
              <w:jc w:val="center"/>
              <w:rPr>
                <w:rFonts w:ascii="宋体" w:hAnsi="Calibri" w:eastAsia="宋体" w:cs="Times New Roman"/>
                <w:color w:val="auto"/>
                <w:highlight w:val="none"/>
              </w:rPr>
            </w:pPr>
          </w:p>
        </w:tc>
        <w:tc>
          <w:tcPr>
            <w:tcW w:w="849" w:type="dxa"/>
            <w:tcBorders>
              <w:top w:val="single" w:color="auto" w:sz="4" w:space="0"/>
              <w:left w:val="single" w:color="auto" w:sz="4" w:space="0"/>
              <w:bottom w:val="single" w:color="auto" w:sz="6" w:space="0"/>
              <w:right w:val="single" w:color="auto" w:sz="6" w:space="0"/>
            </w:tcBorders>
            <w:noWrap w:val="0"/>
            <w:vAlign w:val="center"/>
          </w:tcPr>
          <w:p w14:paraId="388B8207">
            <w:pPr>
              <w:spacing w:before="156" w:beforeLines="50"/>
              <w:jc w:val="center"/>
              <w:rPr>
                <w:rFonts w:ascii="宋体" w:hAnsi="Calibri" w:eastAsia="宋体" w:cs="Times New Roman"/>
                <w:color w:val="auto"/>
                <w:highlight w:val="none"/>
              </w:rPr>
            </w:pPr>
          </w:p>
        </w:tc>
        <w:tc>
          <w:tcPr>
            <w:tcW w:w="1806" w:type="dxa"/>
            <w:tcBorders>
              <w:top w:val="single" w:color="auto" w:sz="4" w:space="0"/>
              <w:left w:val="single" w:color="auto" w:sz="6" w:space="0"/>
              <w:bottom w:val="single" w:color="auto" w:sz="6" w:space="0"/>
              <w:right w:val="single" w:color="auto" w:sz="6" w:space="0"/>
            </w:tcBorders>
            <w:noWrap w:val="0"/>
            <w:vAlign w:val="center"/>
          </w:tcPr>
          <w:p w14:paraId="7CC96CBC">
            <w:pPr>
              <w:spacing w:before="156" w:beforeLines="50"/>
              <w:jc w:val="center"/>
              <w:rPr>
                <w:rFonts w:ascii="宋体" w:hAnsi="Calibri" w:eastAsia="宋体" w:cs="Times New Roman"/>
                <w:color w:val="auto"/>
                <w:highlight w:val="none"/>
              </w:rPr>
            </w:pPr>
          </w:p>
        </w:tc>
        <w:tc>
          <w:tcPr>
            <w:tcW w:w="960" w:type="dxa"/>
            <w:tcBorders>
              <w:top w:val="single" w:color="auto" w:sz="4" w:space="0"/>
              <w:left w:val="single" w:color="auto" w:sz="6" w:space="0"/>
              <w:bottom w:val="single" w:color="auto" w:sz="6" w:space="0"/>
              <w:right w:val="single" w:color="auto" w:sz="6" w:space="0"/>
            </w:tcBorders>
            <w:noWrap w:val="0"/>
            <w:vAlign w:val="center"/>
          </w:tcPr>
          <w:p w14:paraId="65DB6500">
            <w:pPr>
              <w:spacing w:before="156" w:beforeLines="50"/>
              <w:jc w:val="center"/>
              <w:rPr>
                <w:rFonts w:ascii="宋体" w:hAnsi="Calibri" w:eastAsia="宋体" w:cs="Times New Roman"/>
                <w:color w:val="auto"/>
                <w:highlight w:val="none"/>
              </w:rPr>
            </w:pPr>
          </w:p>
        </w:tc>
        <w:tc>
          <w:tcPr>
            <w:tcW w:w="1175" w:type="dxa"/>
            <w:tcBorders>
              <w:top w:val="single" w:color="auto" w:sz="4" w:space="0"/>
              <w:left w:val="single" w:color="auto" w:sz="6" w:space="0"/>
              <w:bottom w:val="single" w:color="auto" w:sz="6" w:space="0"/>
              <w:right w:val="single" w:color="auto" w:sz="6" w:space="0"/>
            </w:tcBorders>
            <w:noWrap w:val="0"/>
            <w:vAlign w:val="center"/>
          </w:tcPr>
          <w:p w14:paraId="060A699F">
            <w:pPr>
              <w:spacing w:before="156" w:beforeLines="50"/>
              <w:jc w:val="center"/>
              <w:rPr>
                <w:rFonts w:ascii="宋体" w:hAnsi="Calibri" w:eastAsia="宋体" w:cs="Times New Roman"/>
                <w:color w:val="auto"/>
                <w:highlight w:val="none"/>
              </w:rPr>
            </w:pPr>
          </w:p>
        </w:tc>
        <w:tc>
          <w:tcPr>
            <w:tcW w:w="1178" w:type="dxa"/>
            <w:tcBorders>
              <w:top w:val="single" w:color="auto" w:sz="4" w:space="0"/>
              <w:left w:val="single" w:color="auto" w:sz="6" w:space="0"/>
              <w:bottom w:val="single" w:color="auto" w:sz="6" w:space="0"/>
              <w:right w:val="single" w:color="auto" w:sz="6" w:space="0"/>
            </w:tcBorders>
            <w:noWrap w:val="0"/>
            <w:vAlign w:val="center"/>
          </w:tcPr>
          <w:p w14:paraId="65909475">
            <w:pPr>
              <w:spacing w:before="156" w:beforeLines="50"/>
              <w:jc w:val="center"/>
              <w:rPr>
                <w:rFonts w:ascii="宋体" w:hAnsi="Calibri" w:eastAsia="宋体" w:cs="Times New Roman"/>
                <w:color w:val="auto"/>
                <w:highlight w:val="none"/>
              </w:rPr>
            </w:pPr>
          </w:p>
        </w:tc>
      </w:tr>
      <w:tr w14:paraId="07321B23">
        <w:tblPrEx>
          <w:tblCellMar>
            <w:top w:w="0" w:type="dxa"/>
            <w:left w:w="28" w:type="dxa"/>
            <w:bottom w:w="0" w:type="dxa"/>
            <w:right w:w="28" w:type="dxa"/>
          </w:tblCellMar>
        </w:tblPrEx>
        <w:trPr>
          <w:trHeight w:val="531" w:hRule="atLeast"/>
          <w:jc w:val="center"/>
        </w:trPr>
        <w:tc>
          <w:tcPr>
            <w:tcW w:w="875" w:type="dxa"/>
            <w:vMerge w:val="continue"/>
            <w:tcBorders>
              <w:left w:val="single" w:color="auto" w:sz="6" w:space="0"/>
              <w:right w:val="single" w:color="auto" w:sz="4" w:space="0"/>
            </w:tcBorders>
            <w:noWrap w:val="0"/>
            <w:vAlign w:val="center"/>
          </w:tcPr>
          <w:p w14:paraId="0C40548A">
            <w:pPr>
              <w:spacing w:before="312" w:beforeLines="100"/>
              <w:jc w:val="center"/>
              <w:rPr>
                <w:rFonts w:ascii="宋体" w:hAnsi="Calibri" w:eastAsia="宋体" w:cs="Times New Roman"/>
                <w:color w:val="auto"/>
                <w:highlight w:val="none"/>
              </w:rPr>
            </w:pPr>
          </w:p>
        </w:tc>
        <w:tc>
          <w:tcPr>
            <w:tcW w:w="536" w:type="dxa"/>
            <w:tcBorders>
              <w:top w:val="single" w:color="auto" w:sz="4" w:space="0"/>
              <w:left w:val="single" w:color="auto" w:sz="4" w:space="0"/>
              <w:bottom w:val="single" w:color="auto" w:sz="6" w:space="0"/>
            </w:tcBorders>
            <w:noWrap w:val="0"/>
            <w:vAlign w:val="center"/>
          </w:tcPr>
          <w:p w14:paraId="20690D21">
            <w:pPr>
              <w:spacing w:before="312" w:beforeLines="100"/>
              <w:jc w:val="center"/>
              <w:rPr>
                <w:rFonts w:ascii="宋体" w:hAnsi="Calibri" w:eastAsia="宋体" w:cs="Times New Roman"/>
                <w:color w:val="auto"/>
                <w:highlight w:val="none"/>
              </w:rPr>
            </w:pPr>
            <w:r>
              <w:rPr>
                <w:rFonts w:hint="eastAsia" w:ascii="宋体" w:hAnsi="Calibri" w:eastAsia="宋体" w:cs="Times New Roman"/>
                <w:color w:val="auto"/>
                <w:highlight w:val="none"/>
              </w:rPr>
              <w:t>3</w:t>
            </w:r>
          </w:p>
        </w:tc>
        <w:tc>
          <w:tcPr>
            <w:tcW w:w="797" w:type="dxa"/>
            <w:tcBorders>
              <w:top w:val="single" w:color="auto" w:sz="4" w:space="0"/>
              <w:left w:val="single" w:color="auto" w:sz="6" w:space="0"/>
              <w:bottom w:val="single" w:color="auto" w:sz="6" w:space="0"/>
              <w:right w:val="single" w:color="auto" w:sz="6" w:space="0"/>
            </w:tcBorders>
            <w:noWrap w:val="0"/>
            <w:vAlign w:val="center"/>
          </w:tcPr>
          <w:p w14:paraId="0F2F57F0">
            <w:pPr>
              <w:spacing w:before="312" w:beforeLines="100"/>
              <w:jc w:val="center"/>
              <w:rPr>
                <w:rFonts w:ascii="宋体" w:hAnsi="Calibri" w:eastAsia="宋体" w:cs="Times New Roman"/>
                <w:color w:val="auto"/>
                <w:highlight w:val="none"/>
              </w:rPr>
            </w:pPr>
          </w:p>
        </w:tc>
        <w:tc>
          <w:tcPr>
            <w:tcW w:w="723" w:type="dxa"/>
            <w:tcBorders>
              <w:top w:val="single" w:color="auto" w:sz="4" w:space="0"/>
              <w:left w:val="single" w:color="auto" w:sz="6" w:space="0"/>
              <w:bottom w:val="single" w:color="auto" w:sz="6" w:space="0"/>
              <w:right w:val="single" w:color="auto" w:sz="4" w:space="0"/>
            </w:tcBorders>
            <w:noWrap w:val="0"/>
            <w:vAlign w:val="center"/>
          </w:tcPr>
          <w:p w14:paraId="2454DF5F">
            <w:pPr>
              <w:spacing w:before="156" w:beforeLines="50"/>
              <w:jc w:val="center"/>
              <w:rPr>
                <w:rFonts w:ascii="宋体" w:hAnsi="Calibri" w:eastAsia="宋体" w:cs="Times New Roman"/>
                <w:color w:val="auto"/>
                <w:highlight w:val="none"/>
              </w:rPr>
            </w:pPr>
          </w:p>
        </w:tc>
        <w:tc>
          <w:tcPr>
            <w:tcW w:w="849" w:type="dxa"/>
            <w:tcBorders>
              <w:top w:val="single" w:color="auto" w:sz="4" w:space="0"/>
              <w:left w:val="single" w:color="auto" w:sz="4" w:space="0"/>
              <w:bottom w:val="single" w:color="auto" w:sz="6" w:space="0"/>
              <w:right w:val="single" w:color="auto" w:sz="6" w:space="0"/>
            </w:tcBorders>
            <w:noWrap w:val="0"/>
            <w:vAlign w:val="center"/>
          </w:tcPr>
          <w:p w14:paraId="3DF6AFA2">
            <w:pPr>
              <w:spacing w:before="156" w:beforeLines="50"/>
              <w:jc w:val="center"/>
              <w:rPr>
                <w:rFonts w:ascii="宋体" w:hAnsi="Calibri" w:eastAsia="宋体" w:cs="Times New Roman"/>
                <w:color w:val="auto"/>
                <w:highlight w:val="none"/>
              </w:rPr>
            </w:pPr>
          </w:p>
        </w:tc>
        <w:tc>
          <w:tcPr>
            <w:tcW w:w="1806" w:type="dxa"/>
            <w:tcBorders>
              <w:top w:val="single" w:color="auto" w:sz="4" w:space="0"/>
              <w:left w:val="single" w:color="auto" w:sz="6" w:space="0"/>
              <w:bottom w:val="single" w:color="auto" w:sz="6" w:space="0"/>
              <w:right w:val="single" w:color="auto" w:sz="6" w:space="0"/>
            </w:tcBorders>
            <w:noWrap w:val="0"/>
            <w:vAlign w:val="center"/>
          </w:tcPr>
          <w:p w14:paraId="30A47A65">
            <w:pPr>
              <w:spacing w:before="156" w:beforeLines="50"/>
              <w:jc w:val="center"/>
              <w:rPr>
                <w:rFonts w:ascii="宋体" w:hAnsi="Calibri" w:eastAsia="宋体" w:cs="Times New Roman"/>
                <w:color w:val="auto"/>
                <w:highlight w:val="none"/>
              </w:rPr>
            </w:pPr>
          </w:p>
        </w:tc>
        <w:tc>
          <w:tcPr>
            <w:tcW w:w="960" w:type="dxa"/>
            <w:tcBorders>
              <w:top w:val="single" w:color="auto" w:sz="4" w:space="0"/>
              <w:left w:val="single" w:color="auto" w:sz="6" w:space="0"/>
              <w:bottom w:val="single" w:color="auto" w:sz="6" w:space="0"/>
              <w:right w:val="single" w:color="auto" w:sz="6" w:space="0"/>
            </w:tcBorders>
            <w:noWrap w:val="0"/>
            <w:vAlign w:val="center"/>
          </w:tcPr>
          <w:p w14:paraId="4FEEDBA6">
            <w:pPr>
              <w:spacing w:before="156" w:beforeLines="50"/>
              <w:jc w:val="center"/>
              <w:rPr>
                <w:rFonts w:ascii="宋体" w:hAnsi="Calibri" w:eastAsia="宋体" w:cs="Times New Roman"/>
                <w:color w:val="auto"/>
                <w:highlight w:val="none"/>
              </w:rPr>
            </w:pPr>
          </w:p>
        </w:tc>
        <w:tc>
          <w:tcPr>
            <w:tcW w:w="1175" w:type="dxa"/>
            <w:tcBorders>
              <w:top w:val="single" w:color="auto" w:sz="4" w:space="0"/>
              <w:left w:val="single" w:color="auto" w:sz="6" w:space="0"/>
              <w:bottom w:val="single" w:color="auto" w:sz="6" w:space="0"/>
              <w:right w:val="single" w:color="auto" w:sz="6" w:space="0"/>
            </w:tcBorders>
            <w:noWrap w:val="0"/>
            <w:vAlign w:val="center"/>
          </w:tcPr>
          <w:p w14:paraId="604723C8">
            <w:pPr>
              <w:spacing w:before="156" w:beforeLines="50"/>
              <w:jc w:val="center"/>
              <w:rPr>
                <w:rFonts w:ascii="宋体" w:hAnsi="Calibri" w:eastAsia="宋体" w:cs="Times New Roman"/>
                <w:color w:val="auto"/>
                <w:highlight w:val="none"/>
              </w:rPr>
            </w:pPr>
          </w:p>
        </w:tc>
        <w:tc>
          <w:tcPr>
            <w:tcW w:w="1178" w:type="dxa"/>
            <w:tcBorders>
              <w:top w:val="single" w:color="auto" w:sz="4" w:space="0"/>
              <w:left w:val="single" w:color="auto" w:sz="6" w:space="0"/>
              <w:bottom w:val="single" w:color="auto" w:sz="6" w:space="0"/>
              <w:right w:val="single" w:color="auto" w:sz="6" w:space="0"/>
            </w:tcBorders>
            <w:noWrap w:val="0"/>
            <w:vAlign w:val="center"/>
          </w:tcPr>
          <w:p w14:paraId="3E4B1B38">
            <w:pPr>
              <w:spacing w:before="156" w:beforeLines="50"/>
              <w:jc w:val="center"/>
              <w:rPr>
                <w:rFonts w:ascii="宋体" w:hAnsi="Calibri" w:eastAsia="宋体" w:cs="Times New Roman"/>
                <w:color w:val="auto"/>
                <w:highlight w:val="none"/>
              </w:rPr>
            </w:pPr>
          </w:p>
        </w:tc>
      </w:tr>
      <w:tr w14:paraId="27B26CF9">
        <w:tblPrEx>
          <w:tblCellMar>
            <w:top w:w="0" w:type="dxa"/>
            <w:left w:w="28" w:type="dxa"/>
            <w:bottom w:w="0" w:type="dxa"/>
            <w:right w:w="28" w:type="dxa"/>
          </w:tblCellMar>
        </w:tblPrEx>
        <w:trPr>
          <w:trHeight w:val="531" w:hRule="atLeast"/>
          <w:jc w:val="center"/>
        </w:trPr>
        <w:tc>
          <w:tcPr>
            <w:tcW w:w="875" w:type="dxa"/>
            <w:vMerge w:val="continue"/>
            <w:tcBorders>
              <w:left w:val="single" w:color="auto" w:sz="6" w:space="0"/>
              <w:right w:val="single" w:color="auto" w:sz="4" w:space="0"/>
            </w:tcBorders>
            <w:noWrap w:val="0"/>
            <w:vAlign w:val="center"/>
          </w:tcPr>
          <w:p w14:paraId="6BBA7B46">
            <w:pPr>
              <w:spacing w:before="312" w:beforeLines="100"/>
              <w:jc w:val="center"/>
              <w:rPr>
                <w:rFonts w:ascii="宋体" w:hAnsi="Calibri" w:eastAsia="宋体" w:cs="Times New Roman"/>
                <w:color w:val="auto"/>
                <w:highlight w:val="none"/>
              </w:rPr>
            </w:pPr>
          </w:p>
        </w:tc>
        <w:tc>
          <w:tcPr>
            <w:tcW w:w="536" w:type="dxa"/>
            <w:tcBorders>
              <w:top w:val="single" w:color="auto" w:sz="4" w:space="0"/>
              <w:left w:val="single" w:color="auto" w:sz="4" w:space="0"/>
              <w:bottom w:val="single" w:color="auto" w:sz="6" w:space="0"/>
            </w:tcBorders>
            <w:noWrap w:val="0"/>
            <w:vAlign w:val="center"/>
          </w:tcPr>
          <w:p w14:paraId="5C2805FF">
            <w:pPr>
              <w:spacing w:before="312" w:beforeLines="100"/>
              <w:jc w:val="center"/>
              <w:rPr>
                <w:rFonts w:ascii="宋体" w:hAnsi="Calibri" w:eastAsia="宋体" w:cs="Times New Roman"/>
                <w:color w:val="auto"/>
                <w:highlight w:val="none"/>
              </w:rPr>
            </w:pPr>
            <w:r>
              <w:rPr>
                <w:rFonts w:hint="eastAsia" w:ascii="宋体" w:hAnsi="Calibri" w:eastAsia="宋体" w:cs="Times New Roman"/>
                <w:color w:val="auto"/>
                <w:szCs w:val="24"/>
                <w:highlight w:val="none"/>
              </w:rPr>
              <w:t>……</w:t>
            </w:r>
          </w:p>
        </w:tc>
        <w:tc>
          <w:tcPr>
            <w:tcW w:w="797" w:type="dxa"/>
            <w:tcBorders>
              <w:top w:val="single" w:color="auto" w:sz="4" w:space="0"/>
              <w:left w:val="single" w:color="auto" w:sz="6" w:space="0"/>
              <w:bottom w:val="single" w:color="auto" w:sz="6" w:space="0"/>
              <w:right w:val="single" w:color="auto" w:sz="6" w:space="0"/>
            </w:tcBorders>
            <w:noWrap w:val="0"/>
            <w:vAlign w:val="center"/>
          </w:tcPr>
          <w:p w14:paraId="03B06690">
            <w:pPr>
              <w:spacing w:before="156" w:beforeLines="50"/>
              <w:jc w:val="center"/>
              <w:rPr>
                <w:rFonts w:ascii="宋体" w:hAnsi="Calibri" w:eastAsia="宋体" w:cs="Times New Roman"/>
                <w:color w:val="auto"/>
                <w:highlight w:val="none"/>
              </w:rPr>
            </w:pPr>
          </w:p>
        </w:tc>
        <w:tc>
          <w:tcPr>
            <w:tcW w:w="723" w:type="dxa"/>
            <w:tcBorders>
              <w:top w:val="single" w:color="auto" w:sz="4" w:space="0"/>
              <w:left w:val="single" w:color="auto" w:sz="6" w:space="0"/>
              <w:bottom w:val="single" w:color="auto" w:sz="6" w:space="0"/>
              <w:right w:val="single" w:color="auto" w:sz="4" w:space="0"/>
            </w:tcBorders>
            <w:noWrap w:val="0"/>
            <w:vAlign w:val="center"/>
          </w:tcPr>
          <w:p w14:paraId="3EA8E99C">
            <w:pPr>
              <w:spacing w:before="156" w:beforeLines="50"/>
              <w:jc w:val="center"/>
              <w:rPr>
                <w:rFonts w:ascii="宋体" w:hAnsi="Calibri" w:eastAsia="宋体" w:cs="Times New Roman"/>
                <w:color w:val="auto"/>
                <w:highlight w:val="none"/>
              </w:rPr>
            </w:pPr>
          </w:p>
        </w:tc>
        <w:tc>
          <w:tcPr>
            <w:tcW w:w="849" w:type="dxa"/>
            <w:tcBorders>
              <w:top w:val="single" w:color="auto" w:sz="4" w:space="0"/>
              <w:left w:val="single" w:color="auto" w:sz="4" w:space="0"/>
              <w:bottom w:val="single" w:color="auto" w:sz="6" w:space="0"/>
              <w:right w:val="single" w:color="auto" w:sz="6" w:space="0"/>
            </w:tcBorders>
            <w:noWrap w:val="0"/>
            <w:vAlign w:val="center"/>
          </w:tcPr>
          <w:p w14:paraId="7B69FCBF">
            <w:pPr>
              <w:spacing w:before="156" w:beforeLines="50"/>
              <w:jc w:val="center"/>
              <w:rPr>
                <w:rFonts w:ascii="宋体" w:hAnsi="Calibri" w:eastAsia="宋体" w:cs="Times New Roman"/>
                <w:color w:val="auto"/>
                <w:highlight w:val="none"/>
              </w:rPr>
            </w:pPr>
          </w:p>
        </w:tc>
        <w:tc>
          <w:tcPr>
            <w:tcW w:w="1806" w:type="dxa"/>
            <w:tcBorders>
              <w:top w:val="single" w:color="auto" w:sz="4" w:space="0"/>
              <w:left w:val="single" w:color="auto" w:sz="6" w:space="0"/>
              <w:bottom w:val="single" w:color="auto" w:sz="6" w:space="0"/>
              <w:right w:val="single" w:color="auto" w:sz="6" w:space="0"/>
            </w:tcBorders>
            <w:noWrap w:val="0"/>
            <w:vAlign w:val="center"/>
          </w:tcPr>
          <w:p w14:paraId="706FCAB5">
            <w:pPr>
              <w:spacing w:before="156" w:beforeLines="50"/>
              <w:jc w:val="center"/>
              <w:rPr>
                <w:rFonts w:ascii="宋体" w:hAnsi="Calibri" w:eastAsia="宋体" w:cs="Times New Roman"/>
                <w:color w:val="auto"/>
                <w:highlight w:val="none"/>
              </w:rPr>
            </w:pPr>
          </w:p>
        </w:tc>
        <w:tc>
          <w:tcPr>
            <w:tcW w:w="960" w:type="dxa"/>
            <w:tcBorders>
              <w:top w:val="single" w:color="auto" w:sz="4" w:space="0"/>
              <w:left w:val="single" w:color="auto" w:sz="6" w:space="0"/>
              <w:bottom w:val="single" w:color="auto" w:sz="6" w:space="0"/>
              <w:right w:val="single" w:color="auto" w:sz="6" w:space="0"/>
            </w:tcBorders>
            <w:noWrap w:val="0"/>
            <w:vAlign w:val="center"/>
          </w:tcPr>
          <w:p w14:paraId="083687B6">
            <w:pPr>
              <w:spacing w:before="156" w:beforeLines="50"/>
              <w:jc w:val="center"/>
              <w:rPr>
                <w:rFonts w:ascii="宋体" w:hAnsi="Calibri" w:eastAsia="宋体" w:cs="Times New Roman"/>
                <w:color w:val="auto"/>
                <w:highlight w:val="none"/>
              </w:rPr>
            </w:pPr>
          </w:p>
        </w:tc>
        <w:tc>
          <w:tcPr>
            <w:tcW w:w="1175" w:type="dxa"/>
            <w:tcBorders>
              <w:top w:val="single" w:color="auto" w:sz="4" w:space="0"/>
              <w:left w:val="single" w:color="auto" w:sz="6" w:space="0"/>
              <w:bottom w:val="single" w:color="auto" w:sz="6" w:space="0"/>
              <w:right w:val="single" w:color="auto" w:sz="6" w:space="0"/>
            </w:tcBorders>
            <w:noWrap w:val="0"/>
            <w:vAlign w:val="center"/>
          </w:tcPr>
          <w:p w14:paraId="42EBF12A">
            <w:pPr>
              <w:spacing w:before="156" w:beforeLines="50"/>
              <w:jc w:val="center"/>
              <w:rPr>
                <w:rFonts w:ascii="宋体" w:hAnsi="Calibri" w:eastAsia="宋体" w:cs="Times New Roman"/>
                <w:color w:val="auto"/>
                <w:highlight w:val="none"/>
              </w:rPr>
            </w:pPr>
          </w:p>
        </w:tc>
        <w:tc>
          <w:tcPr>
            <w:tcW w:w="1178" w:type="dxa"/>
            <w:tcBorders>
              <w:top w:val="single" w:color="auto" w:sz="4" w:space="0"/>
              <w:left w:val="single" w:color="auto" w:sz="6" w:space="0"/>
              <w:bottom w:val="single" w:color="auto" w:sz="6" w:space="0"/>
              <w:right w:val="single" w:color="auto" w:sz="6" w:space="0"/>
            </w:tcBorders>
            <w:noWrap w:val="0"/>
            <w:vAlign w:val="center"/>
          </w:tcPr>
          <w:p w14:paraId="49C2994B">
            <w:pPr>
              <w:spacing w:before="156" w:beforeLines="50"/>
              <w:jc w:val="center"/>
              <w:rPr>
                <w:rFonts w:ascii="宋体" w:hAnsi="Calibri" w:eastAsia="宋体" w:cs="Times New Roman"/>
                <w:color w:val="auto"/>
                <w:highlight w:val="none"/>
              </w:rPr>
            </w:pPr>
          </w:p>
        </w:tc>
      </w:tr>
      <w:tr w14:paraId="5E45E9AD">
        <w:tblPrEx>
          <w:tblCellMar>
            <w:top w:w="0" w:type="dxa"/>
            <w:left w:w="28" w:type="dxa"/>
            <w:bottom w:w="0" w:type="dxa"/>
            <w:right w:w="28" w:type="dxa"/>
          </w:tblCellMar>
        </w:tblPrEx>
        <w:trPr>
          <w:trHeight w:val="531" w:hRule="atLeast"/>
          <w:jc w:val="center"/>
        </w:trPr>
        <w:tc>
          <w:tcPr>
            <w:tcW w:w="875" w:type="dxa"/>
            <w:vMerge w:val="continue"/>
            <w:tcBorders>
              <w:left w:val="single" w:color="auto" w:sz="6" w:space="0"/>
              <w:bottom w:val="single" w:color="auto" w:sz="6" w:space="0"/>
              <w:right w:val="single" w:color="auto" w:sz="4" w:space="0"/>
            </w:tcBorders>
            <w:noWrap w:val="0"/>
            <w:vAlign w:val="center"/>
          </w:tcPr>
          <w:p w14:paraId="5BACCC18">
            <w:pPr>
              <w:spacing w:before="312" w:beforeLines="100"/>
              <w:jc w:val="center"/>
              <w:rPr>
                <w:rFonts w:ascii="宋体" w:hAnsi="Calibri" w:eastAsia="宋体" w:cs="Times New Roman"/>
                <w:color w:val="auto"/>
                <w:highlight w:val="none"/>
              </w:rPr>
            </w:pPr>
          </w:p>
        </w:tc>
        <w:tc>
          <w:tcPr>
            <w:tcW w:w="536" w:type="dxa"/>
            <w:tcBorders>
              <w:top w:val="single" w:color="auto" w:sz="4" w:space="0"/>
              <w:left w:val="single" w:color="auto" w:sz="4" w:space="0"/>
              <w:bottom w:val="single" w:color="auto" w:sz="6" w:space="0"/>
            </w:tcBorders>
            <w:noWrap w:val="0"/>
            <w:vAlign w:val="center"/>
          </w:tcPr>
          <w:p w14:paraId="02C4F08F">
            <w:pPr>
              <w:spacing w:before="312" w:beforeLines="100"/>
              <w:jc w:val="center"/>
              <w:rPr>
                <w:rFonts w:ascii="宋体" w:hAnsi="Calibri" w:eastAsia="宋体" w:cs="Times New Roman"/>
                <w:b/>
                <w:color w:val="auto"/>
                <w:highlight w:val="none"/>
              </w:rPr>
            </w:pPr>
            <w:r>
              <w:rPr>
                <w:rFonts w:hint="eastAsia" w:ascii="宋体" w:hAnsi="Calibri" w:eastAsia="宋体" w:cs="Times New Roman"/>
                <w:color w:val="auto"/>
                <w:szCs w:val="24"/>
                <w:highlight w:val="none"/>
              </w:rPr>
              <w:t>……</w:t>
            </w:r>
          </w:p>
        </w:tc>
        <w:tc>
          <w:tcPr>
            <w:tcW w:w="797" w:type="dxa"/>
            <w:tcBorders>
              <w:top w:val="single" w:color="auto" w:sz="4" w:space="0"/>
              <w:left w:val="single" w:color="auto" w:sz="6" w:space="0"/>
              <w:bottom w:val="single" w:color="auto" w:sz="6" w:space="0"/>
              <w:right w:val="single" w:color="auto" w:sz="6" w:space="0"/>
            </w:tcBorders>
            <w:noWrap w:val="0"/>
            <w:vAlign w:val="center"/>
          </w:tcPr>
          <w:p w14:paraId="02793764">
            <w:pPr>
              <w:spacing w:before="156" w:beforeLines="50"/>
              <w:jc w:val="center"/>
              <w:rPr>
                <w:rFonts w:ascii="宋体" w:hAnsi="Calibri" w:eastAsia="宋体" w:cs="Times New Roman"/>
                <w:color w:val="auto"/>
                <w:highlight w:val="none"/>
              </w:rPr>
            </w:pPr>
          </w:p>
        </w:tc>
        <w:tc>
          <w:tcPr>
            <w:tcW w:w="723" w:type="dxa"/>
            <w:tcBorders>
              <w:top w:val="single" w:color="auto" w:sz="4" w:space="0"/>
              <w:left w:val="single" w:color="auto" w:sz="6" w:space="0"/>
              <w:bottom w:val="single" w:color="auto" w:sz="6" w:space="0"/>
              <w:right w:val="single" w:color="auto" w:sz="4" w:space="0"/>
            </w:tcBorders>
            <w:noWrap w:val="0"/>
            <w:vAlign w:val="center"/>
          </w:tcPr>
          <w:p w14:paraId="5F5C8BA7">
            <w:pPr>
              <w:spacing w:before="156" w:beforeLines="50"/>
              <w:jc w:val="center"/>
              <w:rPr>
                <w:rFonts w:ascii="宋体" w:hAnsi="Calibri" w:eastAsia="宋体" w:cs="Times New Roman"/>
                <w:color w:val="auto"/>
                <w:highlight w:val="none"/>
              </w:rPr>
            </w:pPr>
          </w:p>
        </w:tc>
        <w:tc>
          <w:tcPr>
            <w:tcW w:w="849" w:type="dxa"/>
            <w:tcBorders>
              <w:top w:val="single" w:color="auto" w:sz="4" w:space="0"/>
              <w:left w:val="single" w:color="auto" w:sz="4" w:space="0"/>
              <w:bottom w:val="single" w:color="auto" w:sz="6" w:space="0"/>
              <w:right w:val="single" w:color="auto" w:sz="6" w:space="0"/>
            </w:tcBorders>
            <w:noWrap w:val="0"/>
            <w:vAlign w:val="center"/>
          </w:tcPr>
          <w:p w14:paraId="3DEF907F">
            <w:pPr>
              <w:spacing w:before="156" w:beforeLines="50"/>
              <w:jc w:val="center"/>
              <w:rPr>
                <w:rFonts w:ascii="宋体" w:hAnsi="Calibri" w:eastAsia="宋体" w:cs="Times New Roman"/>
                <w:color w:val="auto"/>
                <w:highlight w:val="none"/>
              </w:rPr>
            </w:pPr>
          </w:p>
        </w:tc>
        <w:tc>
          <w:tcPr>
            <w:tcW w:w="1806" w:type="dxa"/>
            <w:tcBorders>
              <w:top w:val="single" w:color="auto" w:sz="4" w:space="0"/>
              <w:left w:val="single" w:color="auto" w:sz="6" w:space="0"/>
              <w:bottom w:val="single" w:color="auto" w:sz="6" w:space="0"/>
              <w:right w:val="single" w:color="auto" w:sz="6" w:space="0"/>
            </w:tcBorders>
            <w:noWrap w:val="0"/>
            <w:vAlign w:val="center"/>
          </w:tcPr>
          <w:p w14:paraId="1AC439AC">
            <w:pPr>
              <w:spacing w:before="156" w:beforeLines="50"/>
              <w:jc w:val="center"/>
              <w:rPr>
                <w:rFonts w:ascii="宋体" w:hAnsi="Calibri" w:eastAsia="宋体" w:cs="Times New Roman"/>
                <w:color w:val="auto"/>
                <w:highlight w:val="none"/>
              </w:rPr>
            </w:pPr>
          </w:p>
        </w:tc>
        <w:tc>
          <w:tcPr>
            <w:tcW w:w="960" w:type="dxa"/>
            <w:tcBorders>
              <w:top w:val="single" w:color="auto" w:sz="4" w:space="0"/>
              <w:left w:val="single" w:color="auto" w:sz="6" w:space="0"/>
              <w:bottom w:val="single" w:color="auto" w:sz="6" w:space="0"/>
              <w:right w:val="single" w:color="auto" w:sz="6" w:space="0"/>
            </w:tcBorders>
            <w:noWrap w:val="0"/>
            <w:vAlign w:val="center"/>
          </w:tcPr>
          <w:p w14:paraId="63779884">
            <w:pPr>
              <w:spacing w:before="156" w:beforeLines="50"/>
              <w:jc w:val="center"/>
              <w:rPr>
                <w:rFonts w:ascii="宋体" w:hAnsi="Calibri" w:eastAsia="宋体" w:cs="Times New Roman"/>
                <w:color w:val="auto"/>
                <w:highlight w:val="none"/>
              </w:rPr>
            </w:pPr>
          </w:p>
        </w:tc>
        <w:tc>
          <w:tcPr>
            <w:tcW w:w="1175" w:type="dxa"/>
            <w:tcBorders>
              <w:top w:val="single" w:color="auto" w:sz="4" w:space="0"/>
              <w:left w:val="single" w:color="auto" w:sz="6" w:space="0"/>
              <w:bottom w:val="single" w:color="auto" w:sz="6" w:space="0"/>
              <w:right w:val="single" w:color="auto" w:sz="6" w:space="0"/>
            </w:tcBorders>
            <w:noWrap w:val="0"/>
            <w:vAlign w:val="center"/>
          </w:tcPr>
          <w:p w14:paraId="7FD920D2">
            <w:pPr>
              <w:spacing w:before="156" w:beforeLines="50"/>
              <w:jc w:val="center"/>
              <w:rPr>
                <w:rFonts w:ascii="宋体" w:hAnsi="Calibri" w:eastAsia="宋体" w:cs="Times New Roman"/>
                <w:color w:val="auto"/>
                <w:highlight w:val="none"/>
              </w:rPr>
            </w:pPr>
          </w:p>
        </w:tc>
        <w:tc>
          <w:tcPr>
            <w:tcW w:w="1178" w:type="dxa"/>
            <w:tcBorders>
              <w:top w:val="single" w:color="auto" w:sz="4" w:space="0"/>
              <w:left w:val="single" w:color="auto" w:sz="6" w:space="0"/>
              <w:bottom w:val="single" w:color="auto" w:sz="6" w:space="0"/>
              <w:right w:val="single" w:color="auto" w:sz="6" w:space="0"/>
            </w:tcBorders>
            <w:noWrap w:val="0"/>
            <w:vAlign w:val="center"/>
          </w:tcPr>
          <w:p w14:paraId="350D0A9B">
            <w:pPr>
              <w:spacing w:before="156" w:beforeLines="50"/>
              <w:jc w:val="center"/>
              <w:rPr>
                <w:rFonts w:ascii="宋体" w:hAnsi="Calibri" w:eastAsia="宋体" w:cs="Times New Roman"/>
                <w:color w:val="auto"/>
                <w:highlight w:val="none"/>
              </w:rPr>
            </w:pPr>
          </w:p>
        </w:tc>
      </w:tr>
      <w:tr w14:paraId="61A38006">
        <w:tblPrEx>
          <w:tblCellMar>
            <w:top w:w="0" w:type="dxa"/>
            <w:left w:w="28" w:type="dxa"/>
            <w:bottom w:w="0" w:type="dxa"/>
            <w:right w:w="28" w:type="dxa"/>
          </w:tblCellMar>
        </w:tblPrEx>
        <w:trPr>
          <w:trHeight w:val="531" w:hRule="atLeast"/>
          <w:jc w:val="center"/>
        </w:trPr>
        <w:tc>
          <w:tcPr>
            <w:tcW w:w="2208" w:type="dxa"/>
            <w:gridSpan w:val="3"/>
            <w:tcBorders>
              <w:top w:val="single" w:color="auto" w:sz="4" w:space="0"/>
              <w:left w:val="single" w:color="auto" w:sz="6" w:space="0"/>
              <w:bottom w:val="single" w:color="auto" w:sz="6" w:space="0"/>
              <w:right w:val="single" w:color="auto" w:sz="6" w:space="0"/>
            </w:tcBorders>
            <w:noWrap w:val="0"/>
            <w:vAlign w:val="center"/>
          </w:tcPr>
          <w:p w14:paraId="72B4EBF6">
            <w:pPr>
              <w:jc w:val="center"/>
              <w:rPr>
                <w:rFonts w:ascii="宋体" w:hAnsi="Calibri" w:eastAsia="宋体" w:cs="Times New Roman"/>
                <w:color w:val="auto"/>
                <w:szCs w:val="24"/>
                <w:highlight w:val="none"/>
              </w:rPr>
            </w:pPr>
            <w:r>
              <w:rPr>
                <w:rFonts w:hint="eastAsia" w:ascii="宋体" w:hAnsi="Calibri" w:eastAsia="宋体" w:cs="Times New Roman"/>
                <w:color w:val="auto"/>
                <w:szCs w:val="24"/>
                <w:highlight w:val="none"/>
              </w:rPr>
              <w:t>运杂费</w:t>
            </w:r>
          </w:p>
        </w:tc>
        <w:tc>
          <w:tcPr>
            <w:tcW w:w="6691" w:type="dxa"/>
            <w:gridSpan w:val="6"/>
            <w:tcBorders>
              <w:top w:val="single" w:color="auto" w:sz="4" w:space="0"/>
              <w:left w:val="single" w:color="auto" w:sz="6" w:space="0"/>
              <w:bottom w:val="single" w:color="auto" w:sz="6" w:space="0"/>
              <w:right w:val="single" w:color="auto" w:sz="6" w:space="0"/>
            </w:tcBorders>
            <w:noWrap w:val="0"/>
            <w:vAlign w:val="center"/>
          </w:tcPr>
          <w:p w14:paraId="78D8874B">
            <w:pPr>
              <w:spacing w:before="156" w:beforeLines="50"/>
              <w:jc w:val="center"/>
              <w:rPr>
                <w:rFonts w:ascii="宋体" w:hAnsi="Calibri" w:eastAsia="宋体" w:cs="Times New Roman"/>
                <w:color w:val="auto"/>
                <w:highlight w:val="none"/>
              </w:rPr>
            </w:pPr>
          </w:p>
        </w:tc>
      </w:tr>
      <w:tr w14:paraId="388F3420">
        <w:tblPrEx>
          <w:tblCellMar>
            <w:top w:w="0" w:type="dxa"/>
            <w:left w:w="28" w:type="dxa"/>
            <w:bottom w:w="0" w:type="dxa"/>
            <w:right w:w="28" w:type="dxa"/>
          </w:tblCellMar>
        </w:tblPrEx>
        <w:trPr>
          <w:trHeight w:val="531" w:hRule="atLeast"/>
          <w:jc w:val="center"/>
        </w:trPr>
        <w:tc>
          <w:tcPr>
            <w:tcW w:w="2208" w:type="dxa"/>
            <w:gridSpan w:val="3"/>
            <w:tcBorders>
              <w:top w:val="single" w:color="auto" w:sz="4" w:space="0"/>
              <w:left w:val="single" w:color="auto" w:sz="6" w:space="0"/>
              <w:bottom w:val="single" w:color="auto" w:sz="6" w:space="0"/>
              <w:right w:val="single" w:color="auto" w:sz="6" w:space="0"/>
            </w:tcBorders>
            <w:noWrap w:val="0"/>
            <w:vAlign w:val="center"/>
          </w:tcPr>
          <w:p w14:paraId="05F4A4C0">
            <w:pPr>
              <w:jc w:val="center"/>
              <w:rPr>
                <w:rFonts w:hint="eastAsia" w:ascii="宋体" w:hAnsi="Calibri" w:eastAsia="宋体" w:cs="Times New Roman"/>
                <w:color w:val="auto"/>
                <w:szCs w:val="24"/>
                <w:highlight w:val="none"/>
              </w:rPr>
            </w:pPr>
            <w:r>
              <w:rPr>
                <w:rFonts w:hint="eastAsia" w:ascii="宋体" w:hAnsi="Calibri" w:eastAsia="宋体" w:cs="Times New Roman"/>
                <w:color w:val="auto"/>
                <w:szCs w:val="24"/>
                <w:highlight w:val="none"/>
              </w:rPr>
              <w:t>安装调试费</w:t>
            </w:r>
          </w:p>
        </w:tc>
        <w:tc>
          <w:tcPr>
            <w:tcW w:w="6691" w:type="dxa"/>
            <w:gridSpan w:val="6"/>
            <w:tcBorders>
              <w:top w:val="single" w:color="auto" w:sz="4" w:space="0"/>
              <w:left w:val="single" w:color="auto" w:sz="6" w:space="0"/>
              <w:bottom w:val="single" w:color="auto" w:sz="6" w:space="0"/>
              <w:right w:val="single" w:color="auto" w:sz="6" w:space="0"/>
            </w:tcBorders>
            <w:noWrap w:val="0"/>
            <w:vAlign w:val="center"/>
          </w:tcPr>
          <w:p w14:paraId="5708CD87">
            <w:pPr>
              <w:spacing w:before="156" w:beforeLines="50"/>
              <w:jc w:val="center"/>
              <w:rPr>
                <w:rFonts w:ascii="宋体" w:hAnsi="Calibri" w:eastAsia="宋体" w:cs="Times New Roman"/>
                <w:color w:val="auto"/>
                <w:highlight w:val="none"/>
              </w:rPr>
            </w:pPr>
          </w:p>
        </w:tc>
      </w:tr>
      <w:tr w14:paraId="296DCFE4">
        <w:tblPrEx>
          <w:tblCellMar>
            <w:top w:w="0" w:type="dxa"/>
            <w:left w:w="28" w:type="dxa"/>
            <w:bottom w:w="0" w:type="dxa"/>
            <w:right w:w="28" w:type="dxa"/>
          </w:tblCellMar>
        </w:tblPrEx>
        <w:trPr>
          <w:trHeight w:val="531" w:hRule="atLeast"/>
          <w:jc w:val="center"/>
        </w:trPr>
        <w:tc>
          <w:tcPr>
            <w:tcW w:w="2208" w:type="dxa"/>
            <w:gridSpan w:val="3"/>
            <w:tcBorders>
              <w:top w:val="single" w:color="auto" w:sz="4" w:space="0"/>
              <w:left w:val="single" w:color="auto" w:sz="6" w:space="0"/>
              <w:bottom w:val="single" w:color="auto" w:sz="6" w:space="0"/>
              <w:right w:val="single" w:color="auto" w:sz="6" w:space="0"/>
            </w:tcBorders>
            <w:noWrap w:val="0"/>
            <w:vAlign w:val="center"/>
          </w:tcPr>
          <w:p w14:paraId="605806F7">
            <w:pPr>
              <w:jc w:val="center"/>
              <w:rPr>
                <w:rFonts w:hint="eastAsia" w:ascii="宋体" w:hAnsi="Calibri" w:eastAsia="宋体" w:cs="Times New Roman"/>
                <w:color w:val="auto"/>
                <w:szCs w:val="24"/>
                <w:highlight w:val="none"/>
              </w:rPr>
            </w:pPr>
            <w:r>
              <w:rPr>
                <w:rFonts w:hint="eastAsia" w:ascii="宋体" w:hAnsi="Calibri" w:eastAsia="宋体" w:cs="Times New Roman"/>
                <w:color w:val="auto"/>
                <w:highlight w:val="none"/>
              </w:rPr>
              <w:t>其他费用</w:t>
            </w:r>
          </w:p>
        </w:tc>
        <w:tc>
          <w:tcPr>
            <w:tcW w:w="6691" w:type="dxa"/>
            <w:gridSpan w:val="6"/>
            <w:tcBorders>
              <w:top w:val="single" w:color="auto" w:sz="4" w:space="0"/>
              <w:left w:val="single" w:color="auto" w:sz="6" w:space="0"/>
              <w:bottom w:val="single" w:color="auto" w:sz="6" w:space="0"/>
              <w:right w:val="single" w:color="auto" w:sz="6" w:space="0"/>
            </w:tcBorders>
            <w:noWrap w:val="0"/>
            <w:vAlign w:val="center"/>
          </w:tcPr>
          <w:p w14:paraId="5E888111">
            <w:pPr>
              <w:spacing w:before="156" w:beforeLines="50"/>
              <w:jc w:val="center"/>
              <w:rPr>
                <w:rFonts w:ascii="宋体" w:hAnsi="Calibri" w:eastAsia="宋体" w:cs="Times New Roman"/>
                <w:color w:val="auto"/>
                <w:highlight w:val="none"/>
              </w:rPr>
            </w:pPr>
            <w:r>
              <w:rPr>
                <w:rFonts w:hint="eastAsia" w:ascii="宋体" w:hAnsi="Calibri" w:eastAsia="宋体" w:cs="Times New Roman"/>
                <w:color w:val="auto"/>
                <w:szCs w:val="24"/>
                <w:highlight w:val="none"/>
              </w:rPr>
              <w:t>……</w:t>
            </w:r>
          </w:p>
        </w:tc>
      </w:tr>
      <w:tr w14:paraId="38C3DE10">
        <w:tblPrEx>
          <w:tblCellMar>
            <w:top w:w="0" w:type="dxa"/>
            <w:left w:w="28" w:type="dxa"/>
            <w:bottom w:w="0" w:type="dxa"/>
            <w:right w:w="28" w:type="dxa"/>
          </w:tblCellMar>
        </w:tblPrEx>
        <w:trPr>
          <w:trHeight w:val="531" w:hRule="atLeast"/>
          <w:jc w:val="center"/>
        </w:trPr>
        <w:tc>
          <w:tcPr>
            <w:tcW w:w="2208" w:type="dxa"/>
            <w:gridSpan w:val="3"/>
            <w:tcBorders>
              <w:top w:val="single" w:color="auto" w:sz="4" w:space="0"/>
              <w:left w:val="single" w:color="auto" w:sz="6" w:space="0"/>
              <w:bottom w:val="single" w:color="auto" w:sz="6" w:space="0"/>
              <w:right w:val="single" w:color="auto" w:sz="6" w:space="0"/>
            </w:tcBorders>
            <w:noWrap w:val="0"/>
            <w:vAlign w:val="center"/>
          </w:tcPr>
          <w:p w14:paraId="6E216741">
            <w:pPr>
              <w:spacing w:before="312" w:beforeLines="100"/>
              <w:jc w:val="center"/>
              <w:rPr>
                <w:rFonts w:ascii="宋体" w:hAnsi="Calibri" w:eastAsia="宋体" w:cs="Times New Roman"/>
                <w:color w:val="auto"/>
                <w:highlight w:val="none"/>
              </w:rPr>
            </w:pPr>
            <w:r>
              <w:rPr>
                <w:rFonts w:hint="eastAsia" w:ascii="宋体" w:hAnsi="Calibri" w:eastAsia="宋体" w:cs="Times New Roman"/>
                <w:color w:val="auto"/>
                <w:szCs w:val="24"/>
                <w:highlight w:val="none"/>
              </w:rPr>
              <w:t>……</w:t>
            </w:r>
          </w:p>
        </w:tc>
        <w:tc>
          <w:tcPr>
            <w:tcW w:w="6691" w:type="dxa"/>
            <w:gridSpan w:val="6"/>
            <w:tcBorders>
              <w:top w:val="single" w:color="auto" w:sz="4" w:space="0"/>
              <w:left w:val="single" w:color="auto" w:sz="6" w:space="0"/>
              <w:bottom w:val="single" w:color="auto" w:sz="6" w:space="0"/>
              <w:right w:val="single" w:color="auto" w:sz="6" w:space="0"/>
            </w:tcBorders>
            <w:noWrap w:val="0"/>
            <w:vAlign w:val="center"/>
          </w:tcPr>
          <w:p w14:paraId="6983AF55">
            <w:pPr>
              <w:spacing w:before="156" w:beforeLines="50"/>
              <w:jc w:val="center"/>
              <w:rPr>
                <w:rFonts w:ascii="宋体" w:hAnsi="Calibri" w:eastAsia="宋体" w:cs="Times New Roman"/>
                <w:color w:val="auto"/>
                <w:highlight w:val="none"/>
              </w:rPr>
            </w:pPr>
          </w:p>
        </w:tc>
      </w:tr>
      <w:tr w14:paraId="05767811">
        <w:tblPrEx>
          <w:tblCellMar>
            <w:top w:w="0" w:type="dxa"/>
            <w:left w:w="28" w:type="dxa"/>
            <w:bottom w:w="0" w:type="dxa"/>
            <w:right w:w="28" w:type="dxa"/>
          </w:tblCellMar>
        </w:tblPrEx>
        <w:trPr>
          <w:trHeight w:val="531" w:hRule="atLeast"/>
          <w:jc w:val="center"/>
        </w:trPr>
        <w:tc>
          <w:tcPr>
            <w:tcW w:w="2208" w:type="dxa"/>
            <w:gridSpan w:val="3"/>
            <w:tcBorders>
              <w:top w:val="single" w:color="auto" w:sz="4" w:space="0"/>
              <w:left w:val="single" w:color="auto" w:sz="6" w:space="0"/>
              <w:bottom w:val="single" w:color="auto" w:sz="6" w:space="0"/>
            </w:tcBorders>
            <w:noWrap w:val="0"/>
            <w:vAlign w:val="center"/>
          </w:tcPr>
          <w:p w14:paraId="3A1641EA">
            <w:pPr>
              <w:jc w:val="center"/>
              <w:rPr>
                <w:rFonts w:ascii="宋体" w:hAnsi="Calibri" w:eastAsia="宋体" w:cs="Times New Roman"/>
                <w:color w:val="auto"/>
                <w:szCs w:val="24"/>
                <w:highlight w:val="none"/>
              </w:rPr>
            </w:pPr>
            <w:r>
              <w:rPr>
                <w:rFonts w:hint="eastAsia" w:ascii="宋体" w:hAnsi="Calibri" w:eastAsia="宋体" w:cs="Times New Roman"/>
                <w:color w:val="auto"/>
                <w:szCs w:val="24"/>
                <w:highlight w:val="none"/>
              </w:rPr>
              <w:t>投标总报价</w:t>
            </w:r>
          </w:p>
        </w:tc>
        <w:tc>
          <w:tcPr>
            <w:tcW w:w="6691" w:type="dxa"/>
            <w:gridSpan w:val="6"/>
            <w:tcBorders>
              <w:top w:val="single" w:color="auto" w:sz="4" w:space="0"/>
              <w:left w:val="single" w:color="auto" w:sz="6" w:space="0"/>
              <w:bottom w:val="single" w:color="auto" w:sz="6" w:space="0"/>
              <w:right w:val="single" w:color="auto" w:sz="6" w:space="0"/>
            </w:tcBorders>
            <w:noWrap w:val="0"/>
            <w:vAlign w:val="center"/>
          </w:tcPr>
          <w:p w14:paraId="57EDFE2F">
            <w:pPr>
              <w:spacing w:before="156" w:beforeLines="50"/>
              <w:jc w:val="center"/>
              <w:rPr>
                <w:rFonts w:ascii="宋体" w:hAnsi="Calibri" w:eastAsia="宋体" w:cs="Times New Roman"/>
                <w:color w:val="auto"/>
                <w:szCs w:val="24"/>
                <w:highlight w:val="none"/>
              </w:rPr>
            </w:pPr>
            <w:r>
              <w:rPr>
                <w:rFonts w:ascii="宋体" w:hAnsi="Calibri" w:eastAsia="宋体" w:cs="Times New Roman"/>
                <w:color w:val="auto"/>
                <w:szCs w:val="24"/>
                <w:highlight w:val="none"/>
              </w:rPr>
              <w:t xml:space="preserve">大写：   </w:t>
            </w:r>
            <w:r>
              <w:rPr>
                <w:rFonts w:hint="eastAsia" w:ascii="宋体" w:hAnsi="Calibri" w:eastAsia="宋体" w:cs="Times New Roman"/>
                <w:color w:val="auto"/>
                <w:szCs w:val="24"/>
                <w:highlight w:val="none"/>
              </w:rPr>
              <w:t xml:space="preserve">                        </w:t>
            </w:r>
            <w:r>
              <w:rPr>
                <w:rFonts w:ascii="宋体" w:hAnsi="Calibri" w:eastAsia="宋体" w:cs="Times New Roman"/>
                <w:color w:val="auto"/>
                <w:szCs w:val="24"/>
                <w:highlight w:val="none"/>
              </w:rPr>
              <w:t>小写：</w:t>
            </w:r>
          </w:p>
        </w:tc>
      </w:tr>
      <w:tr w14:paraId="3F70D99E">
        <w:tblPrEx>
          <w:tblCellMar>
            <w:top w:w="0" w:type="dxa"/>
            <w:left w:w="28" w:type="dxa"/>
            <w:bottom w:w="0" w:type="dxa"/>
            <w:right w:w="28" w:type="dxa"/>
          </w:tblCellMar>
        </w:tblPrEx>
        <w:trPr>
          <w:trHeight w:val="531" w:hRule="atLeast"/>
          <w:jc w:val="center"/>
        </w:trPr>
        <w:tc>
          <w:tcPr>
            <w:tcW w:w="2208" w:type="dxa"/>
            <w:gridSpan w:val="3"/>
            <w:tcBorders>
              <w:top w:val="single" w:color="auto" w:sz="4" w:space="0"/>
              <w:left w:val="single" w:color="auto" w:sz="6" w:space="0"/>
              <w:bottom w:val="single" w:color="auto" w:sz="6" w:space="0"/>
            </w:tcBorders>
            <w:noWrap w:val="0"/>
            <w:vAlign w:val="center"/>
          </w:tcPr>
          <w:p w14:paraId="3FD4E555">
            <w:pPr>
              <w:jc w:val="center"/>
              <w:rPr>
                <w:rFonts w:ascii="宋体" w:hAnsi="Calibri" w:eastAsia="宋体" w:cs="Times New Roman"/>
                <w:color w:val="auto"/>
                <w:szCs w:val="24"/>
                <w:highlight w:val="none"/>
              </w:rPr>
            </w:pPr>
            <w:r>
              <w:rPr>
                <w:rFonts w:hint="eastAsia" w:ascii="宋体" w:hAnsi="Calibri" w:eastAsia="宋体" w:cs="Times New Roman"/>
                <w:color w:val="auto"/>
                <w:szCs w:val="24"/>
                <w:highlight w:val="none"/>
              </w:rPr>
              <w:t>备注</w:t>
            </w:r>
          </w:p>
        </w:tc>
        <w:tc>
          <w:tcPr>
            <w:tcW w:w="6691" w:type="dxa"/>
            <w:gridSpan w:val="6"/>
            <w:tcBorders>
              <w:top w:val="single" w:color="auto" w:sz="4" w:space="0"/>
              <w:left w:val="single" w:color="auto" w:sz="6" w:space="0"/>
              <w:bottom w:val="single" w:color="auto" w:sz="6" w:space="0"/>
              <w:right w:val="single" w:color="auto" w:sz="6" w:space="0"/>
            </w:tcBorders>
            <w:noWrap w:val="0"/>
            <w:vAlign w:val="center"/>
          </w:tcPr>
          <w:p w14:paraId="683EEE49">
            <w:pPr>
              <w:spacing w:before="156" w:beforeLines="50"/>
              <w:rPr>
                <w:rFonts w:ascii="宋体" w:hAnsi="Calibri" w:eastAsia="宋体" w:cs="Times New Roman"/>
                <w:color w:val="auto"/>
                <w:szCs w:val="24"/>
                <w:highlight w:val="none"/>
              </w:rPr>
            </w:pPr>
            <w:r>
              <w:rPr>
                <w:rFonts w:hint="eastAsia" w:ascii="宋体" w:hAnsi="宋体" w:eastAsia="宋体" w:cs="Times New Roman"/>
                <w:color w:val="auto"/>
                <w:spacing w:val="-6"/>
                <w:szCs w:val="24"/>
                <w:highlight w:val="none"/>
              </w:rPr>
              <w:t>保留小数点后两位。</w:t>
            </w:r>
          </w:p>
        </w:tc>
      </w:tr>
    </w:tbl>
    <w:p w14:paraId="32A13D17">
      <w:pPr>
        <w:rPr>
          <w:rFonts w:hint="eastAsia" w:ascii="宋体" w:hAnsi="宋体" w:eastAsia="宋体" w:cs="宋体"/>
          <w:bCs/>
          <w:color w:val="auto"/>
          <w:szCs w:val="24"/>
          <w:highlight w:val="none"/>
        </w:rPr>
      </w:pPr>
    </w:p>
    <w:p w14:paraId="558DEB8C">
      <w:pPr>
        <w:pStyle w:val="19"/>
        <w:rPr>
          <w:rFonts w:hint="eastAsia" w:ascii="宋体" w:hAnsi="宋体" w:eastAsia="宋体" w:cs="宋体"/>
          <w:bCs/>
          <w:color w:val="auto"/>
          <w:szCs w:val="24"/>
          <w:highlight w:val="none"/>
        </w:rPr>
      </w:pPr>
    </w:p>
    <w:p w14:paraId="7AB66E34">
      <w:pPr>
        <w:rPr>
          <w:rFonts w:hint="eastAsia" w:ascii="宋体" w:hAnsi="宋体" w:eastAsia="宋体" w:cs="宋体"/>
          <w:bCs/>
          <w:color w:val="auto"/>
          <w:szCs w:val="24"/>
          <w:highlight w:val="none"/>
        </w:rPr>
      </w:pPr>
    </w:p>
    <w:p w14:paraId="6D8EF562">
      <w:pPr>
        <w:spacing w:line="560" w:lineRule="exact"/>
        <w:ind w:right="617" w:rightChars="257"/>
        <w:jc w:val="left"/>
        <w:rPr>
          <w:rFonts w:ascii="宋体" w:hAnsi="Calibri" w:eastAsia="宋体" w:cs="Times New Roman"/>
          <w:color w:val="auto"/>
          <w:highlight w:val="none"/>
          <w:u w:val="single"/>
        </w:rPr>
      </w:pPr>
      <w:r>
        <w:rPr>
          <w:rFonts w:ascii="宋体" w:hAnsi="Calibri" w:eastAsia="宋体" w:cs="Times New Roman"/>
          <w:color w:val="auto"/>
          <w:highlight w:val="none"/>
        </w:rPr>
        <w:t>投标</w:t>
      </w:r>
      <w:r>
        <w:rPr>
          <w:rFonts w:hint="eastAsia" w:ascii="宋体" w:hAnsi="Calibri" w:eastAsia="宋体" w:cs="Times New Roman"/>
          <w:color w:val="auto"/>
          <w:highlight w:val="none"/>
        </w:rPr>
        <w:t>人</w:t>
      </w:r>
      <w:r>
        <w:rPr>
          <w:rFonts w:ascii="宋体" w:hAnsi="Calibri" w:eastAsia="宋体" w:cs="Times New Roman"/>
          <w:color w:val="auto"/>
          <w:highlight w:val="none"/>
        </w:rPr>
        <w:t>名称：</w:t>
      </w:r>
      <w:r>
        <w:rPr>
          <w:rFonts w:hint="eastAsia" w:ascii="宋体" w:hAnsi="Calibri" w:eastAsia="宋体" w:cs="Times New Roman"/>
          <w:color w:val="auto"/>
          <w:highlight w:val="none"/>
          <w:u w:val="single"/>
        </w:rPr>
        <w:t xml:space="preserve">      </w:t>
      </w:r>
      <w:r>
        <w:rPr>
          <w:rFonts w:ascii="宋体" w:hAnsi="Calibri" w:eastAsia="宋体" w:cs="Times New Roman"/>
          <w:color w:val="auto"/>
          <w:highlight w:val="none"/>
          <w:u w:val="single"/>
        </w:rPr>
        <w:t>（</w:t>
      </w:r>
      <w:r>
        <w:rPr>
          <w:rFonts w:hint="eastAsia" w:ascii="宋体" w:hAnsi="Calibri" w:eastAsia="宋体" w:cs="Times New Roman"/>
          <w:color w:val="auto"/>
          <w:highlight w:val="none"/>
          <w:u w:val="single"/>
        </w:rPr>
        <w:t>加盖单位</w:t>
      </w:r>
      <w:r>
        <w:rPr>
          <w:rFonts w:ascii="宋体" w:hAnsi="Calibri" w:eastAsia="宋体" w:cs="Times New Roman"/>
          <w:color w:val="auto"/>
          <w:highlight w:val="none"/>
          <w:u w:val="single"/>
        </w:rPr>
        <w:t>公章）</w:t>
      </w:r>
      <w:r>
        <w:rPr>
          <w:rFonts w:hint="eastAsia" w:ascii="宋体" w:hAnsi="Calibri" w:eastAsia="宋体" w:cs="Times New Roman"/>
          <w:color w:val="auto"/>
          <w:highlight w:val="none"/>
          <w:u w:val="single"/>
        </w:rPr>
        <w:t xml:space="preserve">      </w:t>
      </w:r>
    </w:p>
    <w:p w14:paraId="142323A3">
      <w:pPr>
        <w:spacing w:line="560" w:lineRule="exact"/>
        <w:ind w:right="617" w:rightChars="257"/>
        <w:jc w:val="left"/>
        <w:rPr>
          <w:rFonts w:hint="eastAsia" w:ascii="宋体" w:hAnsi="Calibri" w:eastAsia="宋体" w:cs="Times New Roman"/>
          <w:color w:val="auto"/>
          <w:highlight w:val="none"/>
        </w:rPr>
      </w:pPr>
      <w:r>
        <w:rPr>
          <w:rFonts w:ascii="宋体" w:hAnsi="Calibri" w:eastAsia="宋体" w:cs="Times New Roman"/>
          <w:color w:val="auto"/>
          <w:highlight w:val="none"/>
        </w:rPr>
        <w:t>法定代表人</w:t>
      </w:r>
      <w:r>
        <w:rPr>
          <w:rFonts w:hint="eastAsia" w:ascii="宋体" w:hAnsi="Calibri" w:eastAsia="宋体" w:cs="Times New Roman"/>
          <w:color w:val="auto"/>
          <w:highlight w:val="none"/>
        </w:rPr>
        <w:t>或</w:t>
      </w:r>
      <w:r>
        <w:rPr>
          <w:rFonts w:ascii="宋体" w:hAnsi="Calibri" w:eastAsia="宋体" w:cs="Times New Roman"/>
          <w:color w:val="auto"/>
          <w:highlight w:val="none"/>
        </w:rPr>
        <w:t>被授权人</w:t>
      </w:r>
      <w:r>
        <w:rPr>
          <w:rFonts w:hint="eastAsia" w:ascii="宋体" w:hAnsi="Calibri" w:eastAsia="宋体" w:cs="Times New Roman"/>
          <w:color w:val="auto"/>
          <w:highlight w:val="none"/>
        </w:rPr>
        <w:t>签字</w:t>
      </w:r>
      <w:r>
        <w:rPr>
          <w:rFonts w:ascii="宋体" w:hAnsi="Calibri" w:eastAsia="宋体" w:cs="Times New Roman"/>
          <w:color w:val="auto"/>
          <w:highlight w:val="none"/>
        </w:rPr>
        <w:t>：</w:t>
      </w:r>
    </w:p>
    <w:p w14:paraId="1DA30972">
      <w:pPr>
        <w:spacing w:line="560" w:lineRule="exact"/>
        <w:ind w:right="617" w:rightChars="257"/>
        <w:rPr>
          <w:rFonts w:hint="eastAsia" w:ascii="宋体" w:hAnsi="Calibri" w:eastAsia="宋体" w:cs="Times New Roman"/>
          <w:color w:val="auto"/>
          <w:highlight w:val="none"/>
        </w:rPr>
      </w:pPr>
      <w:r>
        <w:rPr>
          <w:rFonts w:ascii="宋体" w:hAnsi="Calibri" w:eastAsia="宋体" w:cs="Times New Roman"/>
          <w:color w:val="auto"/>
          <w:highlight w:val="none"/>
        </w:rPr>
        <w:t>日    期：</w:t>
      </w:r>
    </w:p>
    <w:p w14:paraId="735EAA5F">
      <w:pPr>
        <w:spacing w:line="360" w:lineRule="auto"/>
        <w:jc w:val="left"/>
        <w:rPr>
          <w:rFonts w:hint="eastAsia" w:ascii="宋体" w:hAnsi="Calibri" w:eastAsia="宋体" w:cs="Times New Roman"/>
          <w:color w:val="auto"/>
          <w:highlight w:val="none"/>
        </w:rPr>
      </w:pPr>
    </w:p>
    <w:p w14:paraId="167A75F5">
      <w:pPr>
        <w:spacing w:line="360" w:lineRule="auto"/>
        <w:jc w:val="left"/>
        <w:rPr>
          <w:rFonts w:hint="eastAsia" w:ascii="宋体" w:hAnsi="Calibri" w:eastAsia="宋体" w:cs="Times New Roman"/>
          <w:color w:val="auto"/>
          <w:highlight w:val="none"/>
        </w:rPr>
      </w:pPr>
      <w:r>
        <w:rPr>
          <w:rFonts w:hint="eastAsia" w:ascii="宋体" w:hAnsi="Calibri" w:eastAsia="宋体" w:cs="Times New Roman"/>
          <w:color w:val="auto"/>
          <w:highlight w:val="none"/>
        </w:rPr>
        <w:t>注：1.如果按单价计算的结果与总价不一致，以单价为准修正总价。</w:t>
      </w:r>
    </w:p>
    <w:p w14:paraId="60937ADB">
      <w:pPr>
        <w:spacing w:line="360" w:lineRule="auto"/>
        <w:ind w:firstLine="480" w:firstLineChars="200"/>
        <w:jc w:val="left"/>
        <w:rPr>
          <w:rFonts w:hint="eastAsia" w:ascii="宋体" w:hAnsi="Calibri" w:eastAsia="宋体" w:cs="Times New Roman"/>
          <w:color w:val="auto"/>
          <w:highlight w:val="none"/>
        </w:rPr>
      </w:pPr>
      <w:r>
        <w:rPr>
          <w:rFonts w:hint="eastAsia" w:ascii="宋体" w:hAnsi="Calibri" w:eastAsia="宋体" w:cs="Times New Roman"/>
          <w:color w:val="auto"/>
          <w:highlight w:val="none"/>
        </w:rPr>
        <w:t>2.如果不提供详细分项报价将视为没有实质性响应招标文件。</w:t>
      </w:r>
    </w:p>
    <w:p w14:paraId="3A0A2279">
      <w:pPr>
        <w:spacing w:line="360" w:lineRule="auto"/>
        <w:ind w:firstLine="480" w:firstLineChars="200"/>
        <w:jc w:val="left"/>
        <w:rPr>
          <w:rFonts w:hint="eastAsia" w:ascii="宋体" w:hAnsi="宋体" w:eastAsia="宋体" w:cs="宋体"/>
          <w:bCs/>
          <w:color w:val="auto"/>
          <w:szCs w:val="24"/>
          <w:highlight w:val="none"/>
        </w:rPr>
      </w:pPr>
      <w:r>
        <w:rPr>
          <w:rFonts w:hint="eastAsia" w:ascii="宋体" w:hAnsi="宋体" w:eastAsia="宋体" w:cs="Times New Roman"/>
          <w:bCs/>
          <w:color w:val="auto"/>
          <w:highlight w:val="none"/>
        </w:rPr>
        <w:t>3.投标人可适当调整该表格式，但不得减少信息内容。</w:t>
      </w:r>
    </w:p>
    <w:p w14:paraId="53BE66CE">
      <w:pPr>
        <w:pStyle w:val="19"/>
        <w:rPr>
          <w:rFonts w:hint="eastAsia"/>
          <w:color w:val="auto"/>
        </w:rPr>
      </w:pPr>
    </w:p>
    <w:p w14:paraId="766A9EFD">
      <w:pPr>
        <w:rPr>
          <w:rFonts w:hint="eastAsia" w:ascii="宋体" w:hAnsi="宋体" w:eastAsia="宋体" w:cs="宋体"/>
          <w:color w:val="auto"/>
          <w:highlight w:val="none"/>
        </w:rPr>
      </w:pPr>
    </w:p>
    <w:p w14:paraId="0882616F">
      <w:pPr>
        <w:pStyle w:val="5"/>
        <w:spacing w:before="240" w:beforeLines="100"/>
        <w:rPr>
          <w:rFonts w:hint="eastAsia" w:ascii="宋体" w:hAnsi="宋体" w:eastAsia="宋体" w:cs="宋体"/>
          <w:color w:val="auto"/>
          <w:sz w:val="32"/>
          <w:szCs w:val="32"/>
          <w:highlight w:val="none"/>
        </w:rPr>
      </w:pPr>
      <w:bookmarkStart w:id="76" w:name="_Toc4085"/>
      <w:bookmarkStart w:id="77" w:name="_Toc14384"/>
      <w:bookmarkStart w:id="78" w:name="_Toc19152"/>
      <w:bookmarkStart w:id="79" w:name="_Toc31326"/>
      <w:bookmarkStart w:id="80" w:name="_Toc8367"/>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lang w:eastAsia="zh-CN"/>
        </w:rPr>
        <w:t>三</w:t>
      </w:r>
      <w:r>
        <w:rPr>
          <w:rFonts w:hint="eastAsia" w:ascii="宋体" w:hAnsi="宋体" w:eastAsia="宋体" w:cs="宋体"/>
          <w:color w:val="auto"/>
          <w:sz w:val="32"/>
          <w:szCs w:val="32"/>
          <w:highlight w:val="none"/>
        </w:rPr>
        <w:t>、资格证明文件</w:t>
      </w:r>
    </w:p>
    <w:p w14:paraId="6569F2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p>
    <w:p w14:paraId="3488A8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（1）具有独立承担民事责任能力的法人、其他组织或自然人，并出具合法有效的营业执照或事业单位法人证书等国家规定的相关证明，自然人参与的提供其身份证明。</w:t>
      </w:r>
    </w:p>
    <w:p w14:paraId="79BF3E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（2）法定代表人授权书及被授权人身份证。（法定代表人直接投标只须提交其身份证复印件）。</w:t>
      </w:r>
    </w:p>
    <w:p w14:paraId="3AA472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（3）投标人须提供“信用中国”（www.creditchina.gov.cn）或“中国政府采购网”（www.ccgp.gov.cn）的信用信息查询记录(查询日期为从招标文件发售之日起至投标截止日前)，以网页截图加盖投标人公章为准。</w:t>
      </w:r>
    </w:p>
    <w:p w14:paraId="1AA961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（4）书面声明：投标人必须提供参加政府采购活动前3年内在经营活动中没有重大违法记录的书面声明。</w:t>
      </w:r>
    </w:p>
    <w:p w14:paraId="1F9C2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（5）财务状况报告：提供2022年或2023年度经审计的财务审计报告或财务报表（成立时间至提交响应文件截止时间不足一年的可提供成立后任意时段的资产负债表）或其基本存款账户开户银行出具的资信证明。</w:t>
      </w:r>
    </w:p>
    <w:p w14:paraId="59ABAF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（6）税收缴纳证明：提供2023年至今任意三个月缴纳的纳税证明或完税证明，依法免税的单位应提供相关证明材料，纳税证明或完税证明上应有代收机构或税务机关的公章或业务专用章。</w:t>
      </w:r>
    </w:p>
    <w:p w14:paraId="49805C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7）社会保障资金缴纳证明：提供2023年至今任意三个月社会保障资金缴存单据或社保机构开具的社会保险参保缴费情况证明，依法不需要缴纳社会保障资金的单位应提供相关证明材料，单据或证明上应有社保机构或代收机构的印章。</w:t>
      </w:r>
    </w:p>
    <w:p w14:paraId="01069D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微软雅黑" w:hAnsi="微软雅黑" w:eastAsia="微软雅黑" w:cs="微软雅黑"/>
          <w:i w:val="0"/>
          <w:iCs w:val="0"/>
          <w:caps w:val="0"/>
          <w:color w:val="auto"/>
          <w:spacing w:val="0"/>
          <w:kern w:val="0"/>
          <w:sz w:val="21"/>
          <w:szCs w:val="21"/>
          <w:shd w:val="clear" w:fill="FFFFFF"/>
          <w:lang w:val="en-US" w:eastAsia="zh-CN" w:bidi="ar-SA"/>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8）投标单位为制造厂商的须提供医疗器械生产许可证及所投产品医疗器械注册证；投标单位为代理商的须提供医疗器械经营许可证或医疗器械经营备案凭证（投标产品须在其经营范围内）及所投产品医疗器械注册证（复印件加盖厂家公章）；</w:t>
      </w:r>
    </w:p>
    <w:p w14:paraId="7A9F26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12" w:lineRule="auto"/>
        <w:ind w:left="0" w:right="0" w:firstLine="482"/>
        <w:jc w:val="both"/>
        <w:textAlignment w:val="auto"/>
        <w:rPr>
          <w:rFonts w:hint="eastAsia" w:ascii="宋体" w:hAnsi="宋体" w:eastAsia="宋体" w:cs="宋体"/>
          <w:b/>
          <w:bCs/>
          <w:color w:val="auto"/>
          <w:sz w:val="24"/>
          <w:highlight w:val="none"/>
          <w:lang w:val="en-US" w:eastAsia="zh-CN"/>
        </w:rPr>
      </w:pPr>
      <w:r>
        <w:rPr>
          <w:rFonts w:hint="eastAsia" w:ascii="微软雅黑" w:hAnsi="微软雅黑" w:eastAsia="微软雅黑" w:cs="微软雅黑"/>
          <w:i w:val="0"/>
          <w:iCs w:val="0"/>
          <w:caps w:val="0"/>
          <w:color w:val="auto"/>
          <w:spacing w:val="0"/>
          <w:kern w:val="0"/>
          <w:sz w:val="21"/>
          <w:szCs w:val="21"/>
          <w:shd w:val="clear" w:fill="FFFFFF"/>
          <w:lang w:val="en-US" w:eastAsia="zh-CN" w:bidi="ar-SA"/>
        </w:rPr>
        <w:t>（9）本项目不接受联合体投标。</w:t>
      </w:r>
      <w:r>
        <w:rPr>
          <w:rFonts w:hint="eastAsia" w:ascii="宋体" w:hAnsi="宋体" w:eastAsia="宋体" w:cs="宋体"/>
          <w:color w:val="auto"/>
          <w:szCs w:val="24"/>
          <w:highlight w:val="none"/>
        </w:rPr>
        <w:br w:type="page"/>
      </w:r>
      <w:r>
        <w:rPr>
          <w:rFonts w:hint="eastAsia" w:ascii="宋体" w:hAnsi="宋体" w:eastAsia="宋体" w:cs="宋体"/>
          <w:b/>
          <w:bCs/>
          <w:color w:val="auto"/>
          <w:sz w:val="24"/>
          <w:highlight w:val="none"/>
          <w:lang w:eastAsia="zh-CN"/>
        </w:rPr>
        <w:t>附表</w:t>
      </w:r>
      <w:r>
        <w:rPr>
          <w:rFonts w:hint="eastAsia" w:ascii="宋体" w:hAnsi="宋体" w:eastAsia="宋体" w:cs="宋体"/>
          <w:b/>
          <w:bCs/>
          <w:color w:val="auto"/>
          <w:sz w:val="24"/>
          <w:highlight w:val="none"/>
          <w:lang w:val="en-US" w:eastAsia="zh-CN"/>
        </w:rPr>
        <w:t xml:space="preserve">1： </w:t>
      </w:r>
    </w:p>
    <w:p w14:paraId="532F03A9">
      <w:pPr>
        <w:tabs>
          <w:tab w:val="left" w:pos="210"/>
        </w:tabs>
        <w:spacing w:line="320" w:lineRule="exact"/>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法定代表人证明书</w:t>
      </w:r>
    </w:p>
    <w:p w14:paraId="268CCF0A">
      <w:pPr>
        <w:tabs>
          <w:tab w:val="left" w:pos="210"/>
        </w:tabs>
        <w:spacing w:line="320" w:lineRule="exact"/>
        <w:jc w:val="center"/>
        <w:rPr>
          <w:rFonts w:hint="eastAsia" w:ascii="宋体" w:hAnsi="宋体" w:eastAsia="宋体" w:cs="宋体"/>
          <w:b/>
          <w:color w:val="auto"/>
          <w:kern w:val="0"/>
          <w:sz w:val="24"/>
          <w:highlight w:val="none"/>
        </w:rPr>
      </w:pPr>
    </w:p>
    <w:p w14:paraId="5C0E3E83">
      <w:pPr>
        <w:autoSpaceDE w:val="0"/>
        <w:autoSpaceDN w:val="0"/>
        <w:adjustRightInd w:val="0"/>
        <w:spacing w:line="360" w:lineRule="auto"/>
        <w:jc w:val="left"/>
        <w:rPr>
          <w:rFonts w:hint="eastAsia" w:ascii="宋体" w:hAnsi="宋体" w:eastAsia="宋体" w:cs="宋体"/>
          <w:color w:val="auto"/>
          <w:sz w:val="24"/>
          <w:szCs w:val="24"/>
          <w:highlight w:val="none"/>
          <w:lang w:val="zh-CN"/>
        </w:rPr>
      </w:pPr>
    </w:p>
    <w:p w14:paraId="36BAB4DD">
      <w:pPr>
        <w:autoSpaceDE w:val="0"/>
        <w:autoSpaceDN w:val="0"/>
        <w:adjustRightInd w:val="0"/>
        <w:spacing w:line="360" w:lineRule="auto"/>
        <w:jc w:val="left"/>
        <w:rPr>
          <w:rFonts w:hint="eastAsia" w:ascii="宋体" w:hAnsi="宋体" w:eastAsia="宋体" w:cs="宋体"/>
          <w:color w:val="auto"/>
          <w:sz w:val="24"/>
          <w:szCs w:val="24"/>
          <w:highlight w:val="none"/>
          <w:lang w:val="zh-CN"/>
        </w:rPr>
      </w:pPr>
      <w:r>
        <w:rPr>
          <w:rFonts w:hint="eastAsia" w:hAnsi="宋体" w:cs="宋体"/>
          <w:color w:val="auto"/>
          <w:sz w:val="24"/>
          <w:szCs w:val="24"/>
          <w:highlight w:val="none"/>
          <w:lang w:val="en-US" w:eastAsia="zh-CN"/>
        </w:rPr>
        <w:t>采购人或代理机构</w:t>
      </w:r>
      <w:r>
        <w:rPr>
          <w:rFonts w:hint="eastAsia" w:ascii="宋体" w:hAnsi="宋体" w:eastAsia="宋体" w:cs="宋体"/>
          <w:color w:val="auto"/>
          <w:sz w:val="24"/>
          <w:szCs w:val="24"/>
          <w:highlight w:val="none"/>
          <w:lang w:val="zh-CN"/>
        </w:rPr>
        <w:t>：</w:t>
      </w:r>
    </w:p>
    <w:p w14:paraId="42D05784">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姓名：</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性别：</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年龄：</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供应商名称）的法定代表人（单位负责人）。</w:t>
      </w:r>
    </w:p>
    <w:p w14:paraId="544D71C8">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特此证明。</w:t>
      </w:r>
    </w:p>
    <w:p w14:paraId="56B0C2A9">
      <w:pPr>
        <w:autoSpaceDE w:val="0"/>
        <w:autoSpaceDN w:val="0"/>
        <w:adjustRightInd w:val="0"/>
        <w:spacing w:line="360" w:lineRule="auto"/>
        <w:jc w:val="left"/>
        <w:rPr>
          <w:rFonts w:hint="eastAsia" w:ascii="宋体" w:hAnsi="宋体" w:eastAsia="宋体" w:cs="宋体"/>
          <w:color w:val="auto"/>
          <w:sz w:val="24"/>
          <w:szCs w:val="24"/>
          <w:highlight w:val="none"/>
          <w:lang w:val="zh-CN"/>
        </w:rPr>
      </w:pPr>
    </w:p>
    <w:p w14:paraId="1DD121C1">
      <w:pPr>
        <w:autoSpaceDE w:val="0"/>
        <w:autoSpaceDN w:val="0"/>
        <w:adjustRightInd w:val="0"/>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附：法定代表人（单位负责人）身份证复印件。</w:t>
      </w:r>
    </w:p>
    <w:p w14:paraId="382F4E53">
      <w:pPr>
        <w:autoSpaceDE w:val="0"/>
        <w:autoSpaceDN w:val="0"/>
        <w:adjustRightInd w:val="0"/>
        <w:spacing w:line="360" w:lineRule="auto"/>
        <w:jc w:val="left"/>
        <w:rPr>
          <w:rFonts w:hint="eastAsia" w:ascii="宋体" w:hAnsi="宋体" w:eastAsia="宋体" w:cs="宋体"/>
          <w:color w:val="auto"/>
          <w:sz w:val="24"/>
          <w:szCs w:val="24"/>
          <w:highlight w:val="none"/>
          <w:lang w:val="zh-CN"/>
        </w:rPr>
      </w:pPr>
    </w:p>
    <w:p w14:paraId="2BC269FB">
      <w:pPr>
        <w:spacing w:line="360" w:lineRule="auto"/>
        <w:jc w:val="center"/>
        <w:rPr>
          <w:rFonts w:hint="eastAsia" w:ascii="宋体" w:hAnsi="宋体" w:eastAsia="宋体" w:cs="宋体"/>
          <w:color w:val="auto"/>
          <w:sz w:val="24"/>
          <w:szCs w:val="24"/>
          <w:highlight w:val="none"/>
        </w:rPr>
      </w:pPr>
    </w:p>
    <w:p w14:paraId="4DDA5D69">
      <w:pPr>
        <w:spacing w:line="360" w:lineRule="auto"/>
        <w:jc w:val="center"/>
        <w:rPr>
          <w:rFonts w:hint="eastAsia" w:ascii="宋体" w:hAnsi="宋体" w:eastAsia="宋体" w:cs="宋体"/>
          <w:color w:val="auto"/>
          <w:sz w:val="24"/>
          <w:szCs w:val="24"/>
          <w:highlight w:val="none"/>
        </w:rPr>
      </w:pPr>
    </w:p>
    <w:p w14:paraId="5C122306">
      <w:pPr>
        <w:spacing w:line="360" w:lineRule="auto"/>
        <w:jc w:val="center"/>
        <w:rPr>
          <w:rFonts w:hint="eastAsia" w:ascii="宋体" w:hAnsi="宋体" w:eastAsia="宋体" w:cs="宋体"/>
          <w:color w:val="auto"/>
          <w:sz w:val="24"/>
          <w:szCs w:val="24"/>
          <w:highlight w:val="none"/>
        </w:rPr>
      </w:pPr>
    </w:p>
    <w:p w14:paraId="732C7C67">
      <w:pPr>
        <w:spacing w:line="360" w:lineRule="auto"/>
        <w:rPr>
          <w:rFonts w:hint="eastAsia" w:ascii="宋体" w:hAnsi="宋体" w:eastAsia="宋体" w:cs="宋体"/>
          <w:color w:val="auto"/>
          <w:spacing w:val="4"/>
          <w:sz w:val="24"/>
          <w:szCs w:val="24"/>
          <w:highlight w:val="none"/>
        </w:rPr>
      </w:pPr>
    </w:p>
    <w:p w14:paraId="7C10959F">
      <w:pPr>
        <w:spacing w:line="360" w:lineRule="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 xml:space="preserve">供应商名称（公章）:             </w:t>
      </w:r>
    </w:p>
    <w:p w14:paraId="04F03816">
      <w:pPr>
        <w:spacing w:line="360" w:lineRule="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 xml:space="preserve">日期：                         </w:t>
      </w:r>
    </w:p>
    <w:p w14:paraId="737E0B77">
      <w:pPr>
        <w:tabs>
          <w:tab w:val="left" w:pos="210"/>
        </w:tabs>
        <w:spacing w:line="240" w:lineRule="auto"/>
        <w:jc w:val="left"/>
        <w:rPr>
          <w:rFonts w:hint="eastAsia" w:ascii="宋体" w:hAnsi="宋体" w:eastAsia="宋体" w:cs="宋体"/>
          <w:b/>
          <w:color w:val="auto"/>
          <w:kern w:val="0"/>
          <w:sz w:val="24"/>
          <w:highlight w:val="none"/>
          <w:lang w:val="en-US" w:eastAsia="zh-CN"/>
        </w:rPr>
      </w:pPr>
      <w:r>
        <w:rPr>
          <w:rFonts w:hint="eastAsia" w:ascii="宋体" w:hAnsi="宋体" w:eastAsia="宋体" w:cs="宋体"/>
          <w:b/>
          <w:color w:val="auto"/>
          <w:kern w:val="0"/>
          <w:sz w:val="24"/>
          <w:highlight w:val="none"/>
        </w:rPr>
        <w:br w:type="page"/>
      </w:r>
      <w:r>
        <w:rPr>
          <w:rFonts w:hint="eastAsia" w:ascii="宋体" w:hAnsi="宋体" w:eastAsia="宋体" w:cs="宋体"/>
          <w:b/>
          <w:color w:val="auto"/>
          <w:kern w:val="0"/>
          <w:sz w:val="24"/>
          <w:highlight w:val="none"/>
          <w:lang w:eastAsia="zh-CN"/>
        </w:rPr>
        <w:t>附表</w:t>
      </w:r>
      <w:r>
        <w:rPr>
          <w:rFonts w:hint="eastAsia" w:ascii="宋体" w:hAnsi="宋体" w:eastAsia="宋体" w:cs="宋体"/>
          <w:b/>
          <w:color w:val="auto"/>
          <w:kern w:val="0"/>
          <w:sz w:val="24"/>
          <w:highlight w:val="none"/>
          <w:lang w:val="en-US" w:eastAsia="zh-CN"/>
        </w:rPr>
        <w:t>2：</w:t>
      </w:r>
    </w:p>
    <w:p w14:paraId="7928BCBF">
      <w:pPr>
        <w:tabs>
          <w:tab w:val="left" w:pos="210"/>
        </w:tabs>
        <w:spacing w:line="240" w:lineRule="auto"/>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法定代表人授权书</w:t>
      </w:r>
    </w:p>
    <w:p w14:paraId="06F5E6EC">
      <w:pPr>
        <w:pStyle w:val="12"/>
        <w:spacing w:line="500" w:lineRule="exact"/>
        <w:ind w:firstLine="420"/>
        <w:rPr>
          <w:rFonts w:hint="eastAsia" w:ascii="宋体" w:hAnsi="宋体" w:eastAsia="宋体" w:cs="宋体"/>
          <w:color w:val="auto"/>
          <w:sz w:val="24"/>
          <w:szCs w:val="24"/>
          <w:highlight w:val="none"/>
        </w:rPr>
      </w:pPr>
    </w:p>
    <w:p w14:paraId="208993AD">
      <w:pPr>
        <w:pStyle w:val="12"/>
        <w:spacing w:line="50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本授权书声明：注册于（</w:t>
      </w:r>
      <w:r>
        <w:rPr>
          <w:rFonts w:hint="eastAsia" w:ascii="宋体" w:hAnsi="宋体" w:eastAsia="宋体" w:cs="宋体"/>
          <w:color w:val="auto"/>
          <w:sz w:val="24"/>
          <w:szCs w:val="24"/>
          <w:highlight w:val="none"/>
          <w:u w:val="single"/>
        </w:rPr>
        <w:t xml:space="preserve"> 工商行政管理局名称）之（委托单位全称） </w:t>
      </w:r>
      <w:r>
        <w:rPr>
          <w:rFonts w:hint="eastAsia" w:ascii="宋体" w:hAnsi="宋体" w:eastAsia="宋体" w:cs="宋体"/>
          <w:color w:val="auto"/>
          <w:sz w:val="24"/>
          <w:szCs w:val="24"/>
          <w:highlight w:val="none"/>
        </w:rPr>
        <w:t>的法定代表人</w:t>
      </w:r>
      <w:r>
        <w:rPr>
          <w:rFonts w:hint="eastAsia" w:ascii="宋体" w:hAnsi="宋体" w:eastAsia="宋体" w:cs="宋体"/>
          <w:color w:val="auto"/>
          <w:sz w:val="24"/>
          <w:szCs w:val="24"/>
          <w:highlight w:val="none"/>
          <w:u w:val="single"/>
        </w:rPr>
        <w:t>（姓名、性别、职务）</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u w:val="single"/>
        </w:rPr>
        <w:t>（被授权人姓名、性别、职务）</w:t>
      </w:r>
      <w:r>
        <w:rPr>
          <w:rFonts w:hint="eastAsia" w:ascii="宋体" w:hAnsi="宋体" w:eastAsia="宋体" w:cs="宋体"/>
          <w:color w:val="auto"/>
          <w:sz w:val="24"/>
          <w:szCs w:val="24"/>
          <w:highlight w:val="none"/>
        </w:rPr>
        <w:t>为本公司合法代理人，就贵方组织的有关</w:t>
      </w:r>
      <w:r>
        <w:rPr>
          <w:rFonts w:hint="eastAsia" w:ascii="宋体" w:hAnsi="宋体" w:eastAsia="宋体" w:cs="宋体"/>
          <w:color w:val="auto"/>
          <w:sz w:val="24"/>
          <w:szCs w:val="24"/>
          <w:highlight w:val="none"/>
          <w:u w:val="single"/>
        </w:rPr>
        <w:t>（项目名称及包号名称）</w:t>
      </w:r>
      <w:r>
        <w:rPr>
          <w:rFonts w:hint="eastAsia" w:ascii="宋体" w:hAnsi="宋体" w:eastAsia="宋体" w:cs="宋体"/>
          <w:color w:val="auto"/>
          <w:sz w:val="24"/>
          <w:szCs w:val="24"/>
          <w:highlight w:val="none"/>
        </w:rPr>
        <w:t>的谈判、洽谈、执行等具体事务，签署全部有关文件、文书、协议、合同，本公司对被授权人在本项目中的签名承担全部法律责任。本授权书自</w:t>
      </w:r>
      <w:r>
        <w:rPr>
          <w:rFonts w:hint="eastAsia" w:hAnsi="宋体" w:cs="宋体"/>
          <w:color w:val="auto"/>
          <w:sz w:val="24"/>
          <w:szCs w:val="24"/>
          <w:highlight w:val="none"/>
          <w:lang w:eastAsia="zh-CN"/>
        </w:rPr>
        <w:t>开标</w:t>
      </w:r>
      <w:r>
        <w:rPr>
          <w:rFonts w:hint="eastAsia" w:ascii="宋体" w:hAnsi="宋体" w:eastAsia="宋体" w:cs="宋体"/>
          <w:color w:val="auto"/>
          <w:sz w:val="24"/>
          <w:szCs w:val="24"/>
          <w:highlight w:val="none"/>
        </w:rPr>
        <w:t>之日起计算有效期为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w:t>
      </w:r>
    </w:p>
    <w:p w14:paraId="0789971B">
      <w:pPr>
        <w:pStyle w:val="12"/>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委托单位： </w:t>
      </w:r>
      <w:r>
        <w:rPr>
          <w:rFonts w:hint="eastAsia" w:ascii="宋体" w:hAnsi="宋体" w:eastAsia="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（公章）                 法定代表人（签字或盖章）：</w:t>
      </w:r>
    </w:p>
    <w:p w14:paraId="74A609B8">
      <w:pPr>
        <w:pStyle w:val="12"/>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签发日期：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EFAE603">
      <w:pPr>
        <w:pStyle w:val="12"/>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附：被授权人姓名：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61CEE333">
      <w:pPr>
        <w:pStyle w:val="12"/>
        <w:spacing w:line="500" w:lineRule="exact"/>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联系地址：  </w:t>
      </w:r>
      <w:r>
        <w:rPr>
          <w:rFonts w:hint="eastAsia" w:ascii="宋体" w:hAnsi="宋体" w:eastAsia="宋体" w:cs="宋体"/>
          <w:color w:val="auto"/>
          <w:sz w:val="24"/>
          <w:szCs w:val="24"/>
          <w:highlight w:val="none"/>
          <w:u w:val="single"/>
        </w:rPr>
        <w:t xml:space="preserve">                                                </w:t>
      </w:r>
    </w:p>
    <w:p w14:paraId="0BCBCB73">
      <w:pPr>
        <w:pStyle w:val="12"/>
        <w:spacing w:line="500" w:lineRule="exact"/>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w:t>
      </w:r>
    </w:p>
    <w:p w14:paraId="3F4262D3">
      <w:pPr>
        <w:pStyle w:val="12"/>
        <w:spacing w:line="500" w:lineRule="exact"/>
        <w:ind w:firstLine="2760" w:firstLineChars="1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法定代表人/被授权人身份证复印件</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ayout w:type="fixed"/>
        <w:tblCellMar>
          <w:top w:w="0" w:type="dxa"/>
          <w:left w:w="108" w:type="dxa"/>
          <w:bottom w:w="0" w:type="dxa"/>
          <w:right w:w="108" w:type="dxa"/>
        </w:tblCellMar>
      </w:tblPr>
      <w:tblGrid>
        <w:gridCol w:w="4193"/>
        <w:gridCol w:w="4515"/>
      </w:tblGrid>
      <w:tr w14:paraId="7AD5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4" w:hRule="atLeast"/>
          <w:jc w:val="center"/>
        </w:trPr>
        <w:tc>
          <w:tcPr>
            <w:tcW w:w="4193" w:type="dxa"/>
            <w:shd w:val="clear" w:color="auto" w:fill="E0E0E0"/>
            <w:noWrap w:val="0"/>
            <w:vAlign w:val="center"/>
          </w:tcPr>
          <w:p w14:paraId="71941955">
            <w:pPr>
              <w:pStyle w:val="12"/>
              <w:spacing w:line="500" w:lineRule="exact"/>
              <w:jc w:val="center"/>
              <w:rPr>
                <w:rFonts w:hint="eastAsia" w:ascii="宋体" w:hAnsi="宋体" w:eastAsia="宋体" w:cs="宋体"/>
                <w:color w:val="auto"/>
                <w:sz w:val="24"/>
                <w:szCs w:val="24"/>
                <w:highlight w:val="none"/>
                <w:shd w:val="pct10" w:color="auto" w:fill="FFFFFF"/>
              </w:rPr>
            </w:pPr>
            <w:r>
              <w:rPr>
                <w:rFonts w:hint="eastAsia" w:ascii="宋体" w:hAnsi="宋体" w:eastAsia="宋体" w:cs="宋体"/>
                <w:color w:val="auto"/>
                <w:sz w:val="24"/>
                <w:szCs w:val="24"/>
                <w:highlight w:val="none"/>
                <w:shd w:val="pct10" w:color="auto" w:fill="FFFFFF"/>
              </w:rPr>
              <w:t>法定代表人身份证复印件（正面）</w:t>
            </w:r>
          </w:p>
        </w:tc>
        <w:tc>
          <w:tcPr>
            <w:tcW w:w="4515" w:type="dxa"/>
            <w:shd w:val="clear" w:color="auto" w:fill="E0E0E0"/>
            <w:noWrap w:val="0"/>
            <w:vAlign w:val="center"/>
          </w:tcPr>
          <w:p w14:paraId="16F5F0CF">
            <w:pPr>
              <w:pStyle w:val="12"/>
              <w:spacing w:line="500" w:lineRule="exact"/>
              <w:jc w:val="center"/>
              <w:rPr>
                <w:rFonts w:hint="eastAsia" w:ascii="宋体" w:hAnsi="宋体" w:eastAsia="宋体" w:cs="宋体"/>
                <w:color w:val="auto"/>
                <w:sz w:val="24"/>
                <w:szCs w:val="24"/>
                <w:highlight w:val="none"/>
                <w:shd w:val="pct10" w:color="auto" w:fill="FFFFFF"/>
              </w:rPr>
            </w:pPr>
            <w:r>
              <w:rPr>
                <w:rFonts w:hint="eastAsia" w:ascii="宋体" w:hAnsi="宋体" w:eastAsia="宋体" w:cs="宋体"/>
                <w:color w:val="auto"/>
                <w:sz w:val="24"/>
                <w:szCs w:val="24"/>
                <w:highlight w:val="none"/>
                <w:shd w:val="pct10" w:color="auto" w:fill="FFFFFF"/>
              </w:rPr>
              <w:t>被授权人身份证复印件（正面）</w:t>
            </w:r>
          </w:p>
        </w:tc>
      </w:tr>
      <w:tr w14:paraId="0898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2" w:hRule="atLeast"/>
          <w:jc w:val="center"/>
        </w:trPr>
        <w:tc>
          <w:tcPr>
            <w:tcW w:w="4193" w:type="dxa"/>
            <w:shd w:val="clear" w:color="auto" w:fill="E0E0E0"/>
            <w:noWrap w:val="0"/>
            <w:vAlign w:val="center"/>
          </w:tcPr>
          <w:p w14:paraId="3BB273C6">
            <w:pPr>
              <w:pStyle w:val="12"/>
              <w:spacing w:line="500" w:lineRule="exact"/>
              <w:jc w:val="center"/>
              <w:rPr>
                <w:rFonts w:hint="eastAsia" w:ascii="宋体" w:hAnsi="宋体" w:eastAsia="宋体" w:cs="宋体"/>
                <w:color w:val="auto"/>
                <w:sz w:val="24"/>
                <w:szCs w:val="24"/>
                <w:highlight w:val="none"/>
                <w:shd w:val="pct10" w:color="auto" w:fill="FFFFFF"/>
              </w:rPr>
            </w:pPr>
            <w:r>
              <w:rPr>
                <w:rFonts w:hint="eastAsia" w:ascii="宋体" w:hAnsi="宋体" w:eastAsia="宋体" w:cs="宋体"/>
                <w:color w:val="auto"/>
                <w:sz w:val="24"/>
                <w:szCs w:val="24"/>
                <w:highlight w:val="none"/>
                <w:shd w:val="pct10" w:color="auto" w:fill="FFFFFF"/>
              </w:rPr>
              <w:t>法定代表人身份证复印件（背面）</w:t>
            </w:r>
          </w:p>
        </w:tc>
        <w:tc>
          <w:tcPr>
            <w:tcW w:w="4515" w:type="dxa"/>
            <w:shd w:val="clear" w:color="auto" w:fill="E0E0E0"/>
            <w:noWrap w:val="0"/>
            <w:vAlign w:val="center"/>
          </w:tcPr>
          <w:p w14:paraId="127C3B04">
            <w:pPr>
              <w:pStyle w:val="12"/>
              <w:spacing w:line="500" w:lineRule="exact"/>
              <w:jc w:val="center"/>
              <w:rPr>
                <w:rFonts w:hint="eastAsia" w:ascii="宋体" w:hAnsi="宋体" w:eastAsia="宋体" w:cs="宋体"/>
                <w:color w:val="auto"/>
                <w:sz w:val="24"/>
                <w:szCs w:val="24"/>
                <w:highlight w:val="none"/>
                <w:shd w:val="pct10" w:color="auto" w:fill="FFFFFF"/>
              </w:rPr>
            </w:pPr>
            <w:r>
              <w:rPr>
                <w:rFonts w:hint="eastAsia" w:ascii="宋体" w:hAnsi="宋体" w:eastAsia="宋体" w:cs="宋体"/>
                <w:color w:val="auto"/>
                <w:sz w:val="24"/>
                <w:szCs w:val="24"/>
                <w:highlight w:val="none"/>
                <w:shd w:val="pct10" w:color="auto" w:fill="FFFFFF"/>
              </w:rPr>
              <w:t>被授权人身份证复印件（背面）</w:t>
            </w:r>
          </w:p>
        </w:tc>
      </w:tr>
    </w:tbl>
    <w:p w14:paraId="11AF528C">
      <w:pPr>
        <w:pStyle w:val="12"/>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20629E8D">
      <w:pPr>
        <w:pStyle w:val="12"/>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1．本授权书有效期自谈判大会之日计算不得少于九十天。</w:t>
      </w:r>
    </w:p>
    <w:p w14:paraId="78E9CE85">
      <w:pPr>
        <w:pStyle w:val="12"/>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2．授权书内容填写要明确，文字要工整清楚，涂改无效。</w:t>
      </w:r>
    </w:p>
    <w:p w14:paraId="5D464D65">
      <w:pPr>
        <w:tabs>
          <w:tab w:val="center" w:pos="4153"/>
          <w:tab w:val="right" w:pos="8306"/>
        </w:tabs>
        <w:snapToGrid w:val="0"/>
        <w:jc w:val="left"/>
        <w:rPr>
          <w:rFonts w:hint="eastAsia" w:ascii="宋体" w:hAnsi="宋体" w:eastAsia="宋体" w:cs="宋体"/>
          <w:b/>
          <w:bCs/>
          <w:color w:val="auto"/>
          <w:sz w:val="24"/>
          <w:highlight w:val="none"/>
          <w:lang w:val="en-US" w:eastAsia="zh-CN"/>
        </w:rPr>
        <w:sectPr>
          <w:headerReference r:id="rId6" w:type="default"/>
          <w:footerReference r:id="rId7" w:type="default"/>
          <w:pgSz w:w="11907" w:h="16840"/>
          <w:pgMar w:top="1440" w:right="1080" w:bottom="1440" w:left="1080" w:header="851" w:footer="992" w:gutter="0"/>
          <w:pgNumType w:fmt="decimal"/>
          <w:cols w:space="720" w:num="1"/>
          <w:rtlGutter w:val="0"/>
          <w:docGrid w:type="lines" w:linePitch="312" w:charSpace="0"/>
        </w:sectPr>
      </w:pPr>
    </w:p>
    <w:p w14:paraId="2195AC48">
      <w:pPr>
        <w:pStyle w:val="42"/>
        <w:ind w:left="0" w:leftChars="0" w:firstLine="0" w:firstLineChars="0"/>
        <w:jc w:val="left"/>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eastAsia="zh-CN"/>
        </w:rPr>
        <w:t>附表</w:t>
      </w:r>
      <w:r>
        <w:rPr>
          <w:rFonts w:hint="eastAsia" w:ascii="宋体" w:hAnsi="宋体" w:eastAsia="宋体" w:cs="宋体"/>
          <w:b/>
          <w:bCs/>
          <w:color w:val="auto"/>
          <w:sz w:val="24"/>
          <w:szCs w:val="32"/>
          <w:highlight w:val="none"/>
          <w:lang w:val="en-US" w:eastAsia="zh-CN"/>
        </w:rPr>
        <w:t>3：</w:t>
      </w:r>
    </w:p>
    <w:p w14:paraId="18C066DA">
      <w:pPr>
        <w:tabs>
          <w:tab w:val="center" w:pos="4153"/>
          <w:tab w:val="right" w:pos="8306"/>
        </w:tabs>
        <w:snapToGrid w:val="0"/>
        <w:jc w:val="left"/>
        <w:rPr>
          <w:rFonts w:hint="eastAsia" w:ascii="宋体" w:hAnsi="宋体" w:eastAsia="宋体" w:cs="宋体"/>
          <w:b/>
          <w:bCs/>
          <w:color w:val="auto"/>
          <w:sz w:val="32"/>
          <w:szCs w:val="32"/>
          <w:highlight w:val="none"/>
        </w:rPr>
      </w:pPr>
    </w:p>
    <w:p w14:paraId="09AE7C6B">
      <w:pPr>
        <w:tabs>
          <w:tab w:val="center" w:pos="4153"/>
          <w:tab w:val="right" w:pos="8306"/>
        </w:tabs>
        <w:snapToGrid w:val="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声</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明</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函</w:t>
      </w:r>
    </w:p>
    <w:p w14:paraId="388115C9">
      <w:pPr>
        <w:tabs>
          <w:tab w:val="center" w:pos="4153"/>
          <w:tab w:val="right" w:pos="8306"/>
        </w:tabs>
        <w:snapToGrid w:val="0"/>
        <w:jc w:val="center"/>
        <w:rPr>
          <w:rFonts w:hint="eastAsia" w:ascii="宋体" w:hAnsi="宋体" w:eastAsia="宋体" w:cs="宋体"/>
          <w:b/>
          <w:bCs/>
          <w:color w:val="auto"/>
          <w:sz w:val="32"/>
          <w:szCs w:val="32"/>
          <w:highlight w:val="none"/>
        </w:rPr>
      </w:pPr>
    </w:p>
    <w:p w14:paraId="60B38D20">
      <w:pPr>
        <w:tabs>
          <w:tab w:val="center" w:pos="4153"/>
          <w:tab w:val="right" w:pos="8306"/>
        </w:tabs>
        <w:snapToGrid w:val="0"/>
        <w:spacing w:line="48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注册于中华人民共和国的</w:t>
      </w:r>
      <w:r>
        <w:rPr>
          <w:rFonts w:hint="eastAsia" w:ascii="宋体" w:hAnsi="宋体" w:eastAsia="宋体" w:cs="宋体"/>
          <w:color w:val="auto"/>
          <w:sz w:val="28"/>
          <w:szCs w:val="28"/>
          <w:highlight w:val="none"/>
          <w:u w:val="single"/>
        </w:rPr>
        <w:t xml:space="preserve">      （供应商名称）   </w:t>
      </w:r>
      <w:r>
        <w:rPr>
          <w:rFonts w:hint="eastAsia" w:ascii="宋体" w:hAnsi="宋体" w:eastAsia="宋体" w:cs="宋体"/>
          <w:color w:val="auto"/>
          <w:sz w:val="28"/>
          <w:szCs w:val="28"/>
          <w:highlight w:val="none"/>
        </w:rPr>
        <w:t>在参加项目编号为</w:t>
      </w:r>
      <w:r>
        <w:rPr>
          <w:rFonts w:hint="eastAsia" w:ascii="宋体" w:hAnsi="宋体" w:eastAsia="宋体" w:cs="宋体"/>
          <w:color w:val="auto"/>
          <w:sz w:val="28"/>
          <w:szCs w:val="28"/>
          <w:highlight w:val="none"/>
          <w:u w:val="single"/>
        </w:rPr>
        <w:t xml:space="preserve"> （项目编号）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 xml:space="preserve">      (项目名称</w:t>
      </w:r>
      <w:r>
        <w:rPr>
          <w:rFonts w:hint="eastAsia"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的前三年内，在经营活动中没有重大违法记录。如有不实，我方将承担招标文件中规定的相应责任。</w:t>
      </w:r>
    </w:p>
    <w:p w14:paraId="7B855250">
      <w:pPr>
        <w:tabs>
          <w:tab w:val="center" w:pos="4153"/>
          <w:tab w:val="right" w:pos="8306"/>
        </w:tabs>
        <w:spacing w:line="360" w:lineRule="auto"/>
        <w:ind w:firstLine="560" w:firstLineChars="200"/>
        <w:rPr>
          <w:rFonts w:hint="eastAsia" w:ascii="宋体" w:hAnsi="宋体" w:eastAsia="宋体" w:cs="宋体"/>
          <w:color w:val="auto"/>
          <w:sz w:val="28"/>
          <w:szCs w:val="28"/>
          <w:highlight w:val="none"/>
        </w:rPr>
      </w:pPr>
    </w:p>
    <w:p w14:paraId="6330C8C9">
      <w:pPr>
        <w:tabs>
          <w:tab w:val="center" w:pos="4153"/>
          <w:tab w:val="right" w:pos="8306"/>
        </w:tabs>
        <w:ind w:firstLine="560" w:firstLineChars="200"/>
        <w:rPr>
          <w:rFonts w:hint="eastAsia" w:ascii="宋体" w:hAnsi="宋体" w:eastAsia="宋体" w:cs="宋体"/>
          <w:color w:val="auto"/>
          <w:sz w:val="28"/>
          <w:szCs w:val="28"/>
          <w:highlight w:val="none"/>
        </w:rPr>
      </w:pPr>
    </w:p>
    <w:p w14:paraId="372ADFF7">
      <w:pPr>
        <w:tabs>
          <w:tab w:val="center" w:pos="4153"/>
          <w:tab w:val="right" w:pos="8306"/>
        </w:tabs>
        <w:ind w:firstLine="560" w:firstLineChars="200"/>
        <w:rPr>
          <w:rFonts w:hint="eastAsia" w:ascii="宋体" w:hAnsi="宋体" w:eastAsia="宋体" w:cs="宋体"/>
          <w:color w:val="auto"/>
          <w:sz w:val="28"/>
          <w:szCs w:val="28"/>
          <w:highlight w:val="none"/>
        </w:rPr>
      </w:pPr>
    </w:p>
    <w:p w14:paraId="72AD70BE">
      <w:pPr>
        <w:tabs>
          <w:tab w:val="center" w:pos="4153"/>
          <w:tab w:val="right" w:pos="8306"/>
        </w:tabs>
        <w:ind w:firstLine="560" w:firstLineChars="200"/>
        <w:rPr>
          <w:rFonts w:hint="eastAsia" w:ascii="宋体" w:hAnsi="宋体" w:eastAsia="宋体" w:cs="宋体"/>
          <w:color w:val="auto"/>
          <w:sz w:val="28"/>
          <w:szCs w:val="28"/>
          <w:highlight w:val="none"/>
        </w:rPr>
      </w:pPr>
    </w:p>
    <w:p w14:paraId="404B6ED0">
      <w:pPr>
        <w:tabs>
          <w:tab w:val="center" w:pos="4153"/>
          <w:tab w:val="right" w:pos="8306"/>
        </w:tabs>
        <w:rPr>
          <w:rFonts w:hint="eastAsia" w:ascii="宋体" w:hAnsi="宋体" w:eastAsia="宋体" w:cs="宋体"/>
          <w:color w:val="auto"/>
          <w:sz w:val="28"/>
          <w:szCs w:val="28"/>
          <w:highlight w:val="none"/>
        </w:rPr>
      </w:pPr>
    </w:p>
    <w:p w14:paraId="3EBD4E18">
      <w:pPr>
        <w:widowControl/>
        <w:snapToGrid w:val="0"/>
        <w:spacing w:line="480" w:lineRule="auto"/>
        <w:jc w:val="left"/>
        <w:rPr>
          <w:rFonts w:hint="eastAsia" w:ascii="宋体" w:hAnsi="宋体" w:eastAsia="宋体" w:cs="宋体"/>
          <w:color w:val="auto"/>
          <w:sz w:val="28"/>
          <w:szCs w:val="28"/>
          <w:highlight w:val="none"/>
        </w:rPr>
      </w:pPr>
    </w:p>
    <w:p w14:paraId="54106656">
      <w:pPr>
        <w:widowControl/>
        <w:snapToGrid w:val="0"/>
        <w:spacing w:line="480" w:lineRule="auto"/>
        <w:ind w:left="835" w:leftChars="348" w:firstLine="0" w:firstLineChars="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声明单位：</w:t>
      </w:r>
      <w:r>
        <w:rPr>
          <w:rFonts w:hint="eastAsia" w:ascii="宋体" w:hAnsi="宋体" w:eastAsia="宋体" w:cs="宋体"/>
          <w:color w:val="auto"/>
          <w:sz w:val="28"/>
          <w:szCs w:val="28"/>
          <w:highlight w:val="none"/>
          <w:u w:val="single"/>
        </w:rPr>
        <w:t>　　                            　</w:t>
      </w:r>
      <w:r>
        <w:rPr>
          <w:rFonts w:hint="eastAsia" w:ascii="宋体" w:hAnsi="宋体" w:eastAsia="宋体" w:cs="宋体"/>
          <w:color w:val="auto"/>
          <w:sz w:val="28"/>
          <w:szCs w:val="28"/>
          <w:highlight w:val="none"/>
        </w:rPr>
        <w:t xml:space="preserve">（盖章） </w:t>
      </w:r>
    </w:p>
    <w:p w14:paraId="110D2651">
      <w:pPr>
        <w:widowControl/>
        <w:snapToGrid w:val="0"/>
        <w:spacing w:line="480" w:lineRule="auto"/>
        <w:ind w:left="835" w:leftChars="348" w:firstLine="0" w:firstLineChars="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全权代表：</w:t>
      </w:r>
      <w:r>
        <w:rPr>
          <w:rFonts w:hint="eastAsia" w:ascii="宋体" w:hAnsi="宋体" w:eastAsia="宋体" w:cs="宋体"/>
          <w:color w:val="auto"/>
          <w:sz w:val="28"/>
          <w:szCs w:val="28"/>
          <w:highlight w:val="none"/>
          <w:u w:val="single"/>
        </w:rPr>
        <w:t>　　　　　     　　　           　</w:t>
      </w:r>
      <w:r>
        <w:rPr>
          <w:rFonts w:hint="eastAsia" w:ascii="宋体" w:hAnsi="宋体" w:eastAsia="宋体" w:cs="宋体"/>
          <w:color w:val="auto"/>
          <w:sz w:val="28"/>
          <w:szCs w:val="28"/>
          <w:highlight w:val="none"/>
        </w:rPr>
        <w:t xml:space="preserve">（签字） </w:t>
      </w:r>
    </w:p>
    <w:p w14:paraId="0C75CFC3">
      <w:pPr>
        <w:widowControl/>
        <w:snapToGrid w:val="0"/>
        <w:spacing w:line="480" w:lineRule="auto"/>
        <w:ind w:left="835" w:leftChars="348" w:firstLine="0" w:firstLineChars="0"/>
        <w:jc w:val="left"/>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p>
    <w:p w14:paraId="20BE988C">
      <w:pPr>
        <w:widowControl/>
        <w:snapToGrid w:val="0"/>
        <w:spacing w:line="480" w:lineRule="auto"/>
        <w:ind w:left="835" w:leftChars="348" w:firstLine="0" w:firstLineChars="0"/>
        <w:jc w:val="left"/>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邮    编：</w:t>
      </w:r>
      <w:r>
        <w:rPr>
          <w:rFonts w:hint="eastAsia" w:ascii="宋体" w:hAnsi="宋体" w:eastAsia="宋体" w:cs="宋体"/>
          <w:color w:val="auto"/>
          <w:sz w:val="28"/>
          <w:szCs w:val="28"/>
          <w:highlight w:val="none"/>
          <w:u w:val="single"/>
        </w:rPr>
        <w:t xml:space="preserve">　　                         　　 </w:t>
      </w:r>
    </w:p>
    <w:p w14:paraId="4929FFEE">
      <w:pPr>
        <w:widowControl/>
        <w:snapToGrid w:val="0"/>
        <w:spacing w:line="480" w:lineRule="auto"/>
        <w:ind w:left="835" w:leftChars="348" w:firstLine="0" w:firstLineChars="0"/>
        <w:jc w:val="left"/>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电　　话：</w:t>
      </w:r>
      <w:r>
        <w:rPr>
          <w:rFonts w:hint="eastAsia" w:ascii="宋体" w:hAnsi="宋体" w:eastAsia="宋体" w:cs="宋体"/>
          <w:color w:val="auto"/>
          <w:sz w:val="28"/>
          <w:szCs w:val="28"/>
          <w:highlight w:val="none"/>
          <w:u w:val="single"/>
        </w:rPr>
        <w:t>　　　                　    　　　</w:t>
      </w:r>
    </w:p>
    <w:p w14:paraId="6B9AB898">
      <w:pPr>
        <w:pStyle w:val="35"/>
        <w:rPr>
          <w:rFonts w:hint="eastAsia"/>
          <w:color w:val="auto"/>
          <w:lang w:eastAsia="zh-CN"/>
        </w:rPr>
        <w:sectPr>
          <w:pgSz w:w="11907" w:h="16840"/>
          <w:pgMar w:top="1440" w:right="1080" w:bottom="1440" w:left="1080" w:header="851" w:footer="992" w:gutter="0"/>
          <w:pgNumType w:fmt="decimal"/>
          <w:cols w:space="720" w:num="1"/>
          <w:rtlGutter w:val="0"/>
          <w:docGrid w:type="lines" w:linePitch="312" w:charSpace="0"/>
        </w:sectPr>
      </w:pPr>
    </w:p>
    <w:p w14:paraId="739AEC78">
      <w:pPr>
        <w:tabs>
          <w:tab w:val="center" w:pos="4153"/>
          <w:tab w:val="right" w:pos="8306"/>
        </w:tabs>
        <w:snapToGrid w:val="0"/>
        <w:jc w:val="left"/>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eastAsia="zh-CN"/>
        </w:rPr>
        <w:t>附表</w:t>
      </w:r>
      <w:r>
        <w:rPr>
          <w:rFonts w:hint="eastAsia" w:ascii="宋体" w:hAnsi="宋体" w:eastAsia="宋体" w:cs="宋体"/>
          <w:b/>
          <w:bCs/>
          <w:color w:val="auto"/>
          <w:sz w:val="28"/>
          <w:szCs w:val="28"/>
          <w:highlight w:val="none"/>
          <w:lang w:val="en-US" w:eastAsia="zh-CN"/>
        </w:rPr>
        <w:t>4：</w:t>
      </w:r>
    </w:p>
    <w:p w14:paraId="0B3873BD">
      <w:pPr>
        <w:tabs>
          <w:tab w:val="center" w:pos="4153"/>
          <w:tab w:val="right" w:pos="8306"/>
        </w:tabs>
        <w:snapToGri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非联合体投标承诺函</w:t>
      </w:r>
    </w:p>
    <w:p w14:paraId="264B7C04">
      <w:pPr>
        <w:tabs>
          <w:tab w:val="center" w:pos="4153"/>
          <w:tab w:val="right" w:pos="8306"/>
        </w:tabs>
        <w:snapToGrid w:val="0"/>
        <w:rPr>
          <w:rFonts w:hint="eastAsia" w:ascii="宋体" w:hAnsi="宋体" w:eastAsia="宋体" w:cs="宋体"/>
          <w:b/>
          <w:bCs/>
          <w:color w:val="auto"/>
          <w:sz w:val="32"/>
          <w:szCs w:val="32"/>
          <w:highlight w:val="none"/>
        </w:rPr>
      </w:pPr>
    </w:p>
    <w:p w14:paraId="6B83BBDD">
      <w:pPr>
        <w:tabs>
          <w:tab w:val="center" w:pos="4153"/>
          <w:tab w:val="right" w:pos="8306"/>
        </w:tabs>
        <w:snapToGrid w:val="0"/>
        <w:spacing w:line="48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注册于中华人民共和国的</w:t>
      </w:r>
      <w:r>
        <w:rPr>
          <w:rFonts w:hint="eastAsia" w:ascii="宋体" w:hAnsi="宋体" w:eastAsia="宋体" w:cs="宋体"/>
          <w:color w:val="auto"/>
          <w:sz w:val="28"/>
          <w:szCs w:val="28"/>
          <w:highlight w:val="none"/>
          <w:u w:val="single"/>
        </w:rPr>
        <w:t xml:space="preserve">      （供应商名称） </w:t>
      </w:r>
      <w:r>
        <w:rPr>
          <w:rFonts w:hint="eastAsia" w:ascii="宋体" w:hAnsi="宋体" w:eastAsia="宋体" w:cs="宋体"/>
          <w:color w:val="auto"/>
          <w:sz w:val="28"/>
          <w:szCs w:val="28"/>
          <w:highlight w:val="none"/>
        </w:rPr>
        <w:t>在此承诺，我方在参与项目编号为</w:t>
      </w:r>
      <w:r>
        <w:rPr>
          <w:rFonts w:hint="eastAsia" w:ascii="宋体" w:hAnsi="宋体" w:eastAsia="宋体" w:cs="宋体"/>
          <w:color w:val="auto"/>
          <w:sz w:val="28"/>
          <w:szCs w:val="28"/>
          <w:highlight w:val="none"/>
          <w:u w:val="single"/>
        </w:rPr>
        <w:t xml:space="preserve"> （项目编号）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 xml:space="preserve">      (项目名称) </w:t>
      </w:r>
      <w:r>
        <w:rPr>
          <w:rFonts w:hint="eastAsia" w:ascii="宋体" w:hAnsi="宋体" w:eastAsia="宋体" w:cs="宋体"/>
          <w:color w:val="auto"/>
          <w:sz w:val="28"/>
          <w:szCs w:val="28"/>
          <w:highlight w:val="none"/>
        </w:rPr>
        <w:t>的投标活动中，无联合体行为，如有不实，我方将承担招标文件中规定的相应责任。</w:t>
      </w:r>
    </w:p>
    <w:p w14:paraId="374A34F5">
      <w:pPr>
        <w:tabs>
          <w:tab w:val="center" w:pos="4153"/>
          <w:tab w:val="right" w:pos="8306"/>
        </w:tabs>
        <w:snapToGrid w:val="0"/>
        <w:jc w:val="left"/>
        <w:rPr>
          <w:rFonts w:hint="eastAsia" w:ascii="宋体" w:hAnsi="宋体" w:eastAsia="宋体" w:cs="宋体"/>
          <w:b/>
          <w:bCs/>
          <w:color w:val="auto"/>
          <w:sz w:val="32"/>
          <w:szCs w:val="32"/>
          <w:highlight w:val="none"/>
        </w:rPr>
      </w:pPr>
    </w:p>
    <w:p w14:paraId="7644B04B">
      <w:pPr>
        <w:tabs>
          <w:tab w:val="center" w:pos="4153"/>
          <w:tab w:val="right" w:pos="8306"/>
        </w:tabs>
        <w:snapToGrid w:val="0"/>
        <w:jc w:val="left"/>
        <w:rPr>
          <w:rFonts w:hint="eastAsia" w:ascii="宋体" w:hAnsi="宋体" w:eastAsia="宋体" w:cs="宋体"/>
          <w:b/>
          <w:bCs/>
          <w:color w:val="auto"/>
          <w:sz w:val="32"/>
          <w:szCs w:val="32"/>
          <w:highlight w:val="none"/>
        </w:rPr>
      </w:pPr>
    </w:p>
    <w:p w14:paraId="5D67F181">
      <w:pPr>
        <w:tabs>
          <w:tab w:val="center" w:pos="4153"/>
          <w:tab w:val="right" w:pos="8306"/>
        </w:tabs>
        <w:snapToGrid w:val="0"/>
        <w:jc w:val="left"/>
        <w:rPr>
          <w:rFonts w:hint="eastAsia" w:ascii="宋体" w:hAnsi="宋体" w:eastAsia="宋体" w:cs="宋体"/>
          <w:b/>
          <w:bCs/>
          <w:color w:val="auto"/>
          <w:sz w:val="32"/>
          <w:szCs w:val="32"/>
          <w:highlight w:val="none"/>
        </w:rPr>
      </w:pPr>
    </w:p>
    <w:p w14:paraId="617F1EF7">
      <w:pPr>
        <w:tabs>
          <w:tab w:val="center" w:pos="4153"/>
          <w:tab w:val="right" w:pos="8306"/>
        </w:tabs>
        <w:snapToGrid w:val="0"/>
        <w:jc w:val="left"/>
        <w:rPr>
          <w:rFonts w:hint="eastAsia" w:ascii="宋体" w:hAnsi="宋体" w:eastAsia="宋体" w:cs="宋体"/>
          <w:b/>
          <w:bCs/>
          <w:color w:val="auto"/>
          <w:sz w:val="32"/>
          <w:szCs w:val="32"/>
          <w:highlight w:val="none"/>
        </w:rPr>
      </w:pPr>
    </w:p>
    <w:p w14:paraId="7324CBEA">
      <w:pPr>
        <w:tabs>
          <w:tab w:val="center" w:pos="4153"/>
          <w:tab w:val="right" w:pos="8306"/>
        </w:tabs>
        <w:snapToGrid w:val="0"/>
        <w:jc w:val="left"/>
        <w:rPr>
          <w:rFonts w:hint="eastAsia" w:ascii="宋体" w:hAnsi="宋体" w:eastAsia="宋体" w:cs="宋体"/>
          <w:b/>
          <w:bCs/>
          <w:color w:val="auto"/>
          <w:sz w:val="32"/>
          <w:szCs w:val="32"/>
          <w:highlight w:val="none"/>
        </w:rPr>
      </w:pPr>
    </w:p>
    <w:p w14:paraId="2B151BAC">
      <w:pPr>
        <w:tabs>
          <w:tab w:val="center" w:pos="4153"/>
          <w:tab w:val="right" w:pos="8306"/>
        </w:tabs>
        <w:snapToGrid w:val="0"/>
        <w:jc w:val="left"/>
        <w:rPr>
          <w:rFonts w:hint="eastAsia" w:ascii="宋体" w:hAnsi="宋体" w:eastAsia="宋体" w:cs="宋体"/>
          <w:b/>
          <w:bCs/>
          <w:color w:val="auto"/>
          <w:sz w:val="32"/>
          <w:szCs w:val="32"/>
          <w:highlight w:val="none"/>
        </w:rPr>
      </w:pPr>
    </w:p>
    <w:p w14:paraId="0A57CF49">
      <w:pPr>
        <w:tabs>
          <w:tab w:val="center" w:pos="4153"/>
          <w:tab w:val="right" w:pos="8306"/>
        </w:tabs>
        <w:snapToGrid w:val="0"/>
        <w:jc w:val="left"/>
        <w:rPr>
          <w:rFonts w:hint="eastAsia" w:ascii="宋体" w:hAnsi="宋体" w:eastAsia="宋体" w:cs="宋体"/>
          <w:b/>
          <w:bCs/>
          <w:color w:val="auto"/>
          <w:sz w:val="32"/>
          <w:szCs w:val="32"/>
          <w:highlight w:val="none"/>
        </w:rPr>
      </w:pPr>
    </w:p>
    <w:p w14:paraId="72814686">
      <w:pPr>
        <w:tabs>
          <w:tab w:val="center" w:pos="4153"/>
          <w:tab w:val="right" w:pos="8306"/>
        </w:tabs>
        <w:snapToGrid w:val="0"/>
        <w:jc w:val="left"/>
        <w:rPr>
          <w:rFonts w:hint="eastAsia" w:ascii="宋体" w:hAnsi="宋体" w:eastAsia="宋体" w:cs="宋体"/>
          <w:b/>
          <w:bCs/>
          <w:color w:val="auto"/>
          <w:sz w:val="32"/>
          <w:szCs w:val="32"/>
          <w:highlight w:val="none"/>
        </w:rPr>
      </w:pPr>
    </w:p>
    <w:p w14:paraId="46963775">
      <w:pPr>
        <w:spacing w:line="520" w:lineRule="exact"/>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声明单位：</w:t>
      </w:r>
      <w:r>
        <w:rPr>
          <w:rFonts w:hint="eastAsia" w:ascii="宋体" w:hAnsi="宋体" w:eastAsia="宋体" w:cs="宋体"/>
          <w:color w:val="auto"/>
          <w:sz w:val="28"/>
          <w:szCs w:val="28"/>
          <w:highlight w:val="none"/>
          <w:u w:val="single"/>
        </w:rPr>
        <w:t>　　                            　</w:t>
      </w:r>
      <w:r>
        <w:rPr>
          <w:rFonts w:hint="eastAsia" w:ascii="宋体" w:hAnsi="宋体" w:eastAsia="宋体" w:cs="宋体"/>
          <w:color w:val="auto"/>
          <w:sz w:val="28"/>
          <w:szCs w:val="28"/>
          <w:highlight w:val="none"/>
        </w:rPr>
        <w:t xml:space="preserve">（盖章） </w:t>
      </w:r>
    </w:p>
    <w:p w14:paraId="6328EA63">
      <w:pPr>
        <w:spacing w:line="52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全权代表：</w:t>
      </w:r>
      <w:r>
        <w:rPr>
          <w:rFonts w:hint="eastAsia" w:ascii="宋体" w:hAnsi="宋体" w:eastAsia="宋体" w:cs="宋体"/>
          <w:color w:val="auto"/>
          <w:sz w:val="28"/>
          <w:szCs w:val="28"/>
          <w:highlight w:val="none"/>
          <w:u w:val="single"/>
        </w:rPr>
        <w:t>　　　　　     　　　           　</w:t>
      </w:r>
      <w:r>
        <w:rPr>
          <w:rFonts w:hint="eastAsia" w:ascii="宋体" w:hAnsi="宋体" w:eastAsia="宋体" w:cs="宋体"/>
          <w:color w:val="auto"/>
          <w:sz w:val="28"/>
          <w:szCs w:val="28"/>
          <w:highlight w:val="none"/>
        </w:rPr>
        <w:t xml:space="preserve">（签字） </w:t>
      </w:r>
    </w:p>
    <w:p w14:paraId="2CBCC536">
      <w:pPr>
        <w:pStyle w:val="42"/>
        <w:ind w:left="0" w:leftChars="0" w:firstLine="0" w:firstLineChars="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邮    编：</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38F32593">
      <w:pPr>
        <w:pStyle w:val="42"/>
        <w:ind w:left="0" w:leftChars="0" w:firstLine="0" w:firstLineChars="0"/>
        <w:jc w:val="left"/>
        <w:rPr>
          <w:rFonts w:hint="eastAsia" w:ascii="宋体" w:hAnsi="宋体" w:eastAsia="宋体" w:cs="宋体"/>
          <w:color w:val="auto"/>
          <w:highlight w:val="none"/>
        </w:rPr>
      </w:pPr>
      <w:r>
        <w:rPr>
          <w:rFonts w:hint="eastAsia" w:ascii="宋体" w:hAnsi="宋体" w:eastAsia="宋体" w:cs="宋体"/>
          <w:color w:val="auto"/>
          <w:sz w:val="28"/>
          <w:szCs w:val="28"/>
          <w:highlight w:val="none"/>
        </w:rPr>
        <w:t>电　　话：</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p>
    <w:p w14:paraId="7EDCB8CF">
      <w:pPr>
        <w:spacing w:line="520" w:lineRule="exact"/>
        <w:ind w:left="0" w:leftChars="0"/>
        <w:jc w:val="center"/>
        <w:rPr>
          <w:rFonts w:hint="eastAsia" w:ascii="宋体" w:hAnsi="宋体" w:eastAsia="宋体" w:cs="宋体"/>
          <w:b/>
          <w:color w:val="auto"/>
          <w:sz w:val="36"/>
          <w:szCs w:val="36"/>
          <w:highlight w:val="none"/>
          <w:lang w:eastAsia="zh-CN"/>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32"/>
          <w:szCs w:val="32"/>
          <w:highlight w:val="none"/>
        </w:rPr>
        <w:br w:type="page"/>
      </w:r>
      <w:r>
        <w:rPr>
          <w:rFonts w:hint="eastAsia" w:ascii="宋体" w:hAnsi="宋体" w:eastAsia="宋体" w:cs="宋体"/>
          <w:b/>
          <w:bCs/>
          <w:color w:val="auto"/>
          <w:sz w:val="32"/>
          <w:szCs w:val="32"/>
          <w:highlight w:val="none"/>
        </w:rPr>
        <w:t>四、</w:t>
      </w:r>
      <w:r>
        <w:rPr>
          <w:rFonts w:hint="eastAsia" w:ascii="宋体" w:hAnsi="宋体" w:eastAsia="宋体" w:cs="宋体"/>
          <w:b/>
          <w:color w:val="auto"/>
          <w:sz w:val="36"/>
          <w:szCs w:val="36"/>
          <w:highlight w:val="none"/>
          <w:lang w:eastAsia="zh-CN"/>
        </w:rPr>
        <w:t>供应商概况</w:t>
      </w:r>
    </w:p>
    <w:p w14:paraId="07F094A9">
      <w:pPr>
        <w:pStyle w:val="35"/>
        <w:rPr>
          <w:rFonts w:hint="eastAsia" w:ascii="宋体" w:hAnsi="宋体" w:eastAsia="宋体" w:cs="宋体"/>
          <w:color w:val="auto"/>
          <w:highlight w:val="none"/>
          <w:lang w:eastAsia="zh-CN"/>
        </w:rPr>
      </w:pPr>
    </w:p>
    <w:tbl>
      <w:tblPr>
        <w:tblStyle w:val="20"/>
        <w:tblW w:w="89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502"/>
        <w:gridCol w:w="2094"/>
        <w:gridCol w:w="1342"/>
        <w:gridCol w:w="1485"/>
        <w:gridCol w:w="1839"/>
      </w:tblGrid>
      <w:tr w14:paraId="5B100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2198" w:type="dxa"/>
            <w:gridSpan w:val="2"/>
            <w:noWrap w:val="0"/>
            <w:vAlign w:val="center"/>
          </w:tcPr>
          <w:p w14:paraId="7F5C1DCF">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tc>
        <w:tc>
          <w:tcPr>
            <w:tcW w:w="3436" w:type="dxa"/>
            <w:gridSpan w:val="2"/>
            <w:noWrap w:val="0"/>
            <w:vAlign w:val="center"/>
          </w:tcPr>
          <w:p w14:paraId="26BA11F2">
            <w:pPr>
              <w:topLinePunct/>
              <w:spacing w:line="440" w:lineRule="exact"/>
              <w:jc w:val="center"/>
              <w:rPr>
                <w:rFonts w:hint="eastAsia" w:ascii="宋体" w:hAnsi="宋体" w:eastAsia="宋体" w:cs="宋体"/>
                <w:color w:val="auto"/>
                <w:sz w:val="24"/>
                <w:highlight w:val="none"/>
              </w:rPr>
            </w:pPr>
          </w:p>
        </w:tc>
        <w:tc>
          <w:tcPr>
            <w:tcW w:w="1485" w:type="dxa"/>
            <w:noWrap w:val="0"/>
            <w:vAlign w:val="center"/>
          </w:tcPr>
          <w:p w14:paraId="6C26BDF6">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839" w:type="dxa"/>
            <w:noWrap w:val="0"/>
            <w:vAlign w:val="center"/>
          </w:tcPr>
          <w:p w14:paraId="76CE2D6A">
            <w:pPr>
              <w:topLinePunct/>
              <w:spacing w:line="440" w:lineRule="exact"/>
              <w:jc w:val="center"/>
              <w:rPr>
                <w:rFonts w:hint="eastAsia" w:ascii="宋体" w:hAnsi="宋体" w:eastAsia="宋体" w:cs="宋体"/>
                <w:color w:val="auto"/>
                <w:sz w:val="24"/>
                <w:highlight w:val="none"/>
              </w:rPr>
            </w:pPr>
          </w:p>
        </w:tc>
      </w:tr>
      <w:tr w14:paraId="4CD111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2198" w:type="dxa"/>
            <w:gridSpan w:val="2"/>
            <w:noWrap w:val="0"/>
            <w:vAlign w:val="center"/>
          </w:tcPr>
          <w:p w14:paraId="3CBC9F36">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3436" w:type="dxa"/>
            <w:gridSpan w:val="2"/>
            <w:noWrap w:val="0"/>
            <w:vAlign w:val="center"/>
          </w:tcPr>
          <w:p w14:paraId="2D09235F">
            <w:pPr>
              <w:topLinePunct/>
              <w:spacing w:line="440" w:lineRule="exact"/>
              <w:jc w:val="center"/>
              <w:rPr>
                <w:rFonts w:hint="eastAsia" w:ascii="宋体" w:hAnsi="宋体" w:eastAsia="宋体" w:cs="宋体"/>
                <w:color w:val="auto"/>
                <w:sz w:val="24"/>
                <w:highlight w:val="none"/>
              </w:rPr>
            </w:pPr>
          </w:p>
        </w:tc>
        <w:tc>
          <w:tcPr>
            <w:tcW w:w="1485" w:type="dxa"/>
            <w:noWrap w:val="0"/>
            <w:vAlign w:val="center"/>
          </w:tcPr>
          <w:p w14:paraId="6ECE3577">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839" w:type="dxa"/>
            <w:noWrap w:val="0"/>
            <w:vAlign w:val="center"/>
          </w:tcPr>
          <w:p w14:paraId="3D782B66">
            <w:pPr>
              <w:topLinePunct/>
              <w:spacing w:line="440" w:lineRule="exact"/>
              <w:jc w:val="center"/>
              <w:rPr>
                <w:rFonts w:hint="eastAsia" w:ascii="宋体" w:hAnsi="宋体" w:eastAsia="宋体" w:cs="宋体"/>
                <w:color w:val="auto"/>
                <w:sz w:val="24"/>
                <w:highlight w:val="none"/>
              </w:rPr>
            </w:pPr>
          </w:p>
        </w:tc>
      </w:tr>
      <w:tr w14:paraId="2E386C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0" w:hRule="atLeast"/>
          <w:jc w:val="center"/>
        </w:trPr>
        <w:tc>
          <w:tcPr>
            <w:tcW w:w="2198" w:type="dxa"/>
            <w:gridSpan w:val="2"/>
            <w:noWrap w:val="0"/>
            <w:vAlign w:val="center"/>
          </w:tcPr>
          <w:p w14:paraId="210E9BDE">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w:t>
            </w:r>
          </w:p>
        </w:tc>
        <w:tc>
          <w:tcPr>
            <w:tcW w:w="3436" w:type="dxa"/>
            <w:gridSpan w:val="2"/>
            <w:noWrap w:val="0"/>
            <w:vAlign w:val="center"/>
          </w:tcPr>
          <w:p w14:paraId="0111316C">
            <w:pPr>
              <w:topLinePunct/>
              <w:spacing w:line="440" w:lineRule="exact"/>
              <w:jc w:val="center"/>
              <w:rPr>
                <w:rFonts w:hint="eastAsia" w:ascii="宋体" w:hAnsi="宋体" w:eastAsia="宋体" w:cs="宋体"/>
                <w:color w:val="auto"/>
                <w:sz w:val="24"/>
                <w:highlight w:val="none"/>
              </w:rPr>
            </w:pPr>
          </w:p>
        </w:tc>
        <w:tc>
          <w:tcPr>
            <w:tcW w:w="1485" w:type="dxa"/>
            <w:noWrap w:val="0"/>
            <w:vAlign w:val="center"/>
          </w:tcPr>
          <w:p w14:paraId="3C7BE2BA">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企业类型</w:t>
            </w:r>
          </w:p>
        </w:tc>
        <w:tc>
          <w:tcPr>
            <w:tcW w:w="1839" w:type="dxa"/>
            <w:noWrap w:val="0"/>
            <w:vAlign w:val="center"/>
          </w:tcPr>
          <w:p w14:paraId="08CCEA0E">
            <w:pPr>
              <w:topLinePunct/>
              <w:spacing w:line="440" w:lineRule="exact"/>
              <w:jc w:val="center"/>
              <w:rPr>
                <w:rFonts w:hint="eastAsia" w:ascii="宋体" w:hAnsi="宋体" w:eastAsia="宋体" w:cs="宋体"/>
                <w:color w:val="auto"/>
                <w:sz w:val="24"/>
                <w:highlight w:val="none"/>
              </w:rPr>
            </w:pPr>
          </w:p>
        </w:tc>
      </w:tr>
      <w:tr w14:paraId="22C98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7" w:hRule="atLeast"/>
          <w:jc w:val="center"/>
        </w:trPr>
        <w:tc>
          <w:tcPr>
            <w:tcW w:w="2198" w:type="dxa"/>
            <w:gridSpan w:val="2"/>
            <w:noWrap w:val="0"/>
            <w:vAlign w:val="center"/>
          </w:tcPr>
          <w:p w14:paraId="145CBE5C">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436" w:type="dxa"/>
            <w:gridSpan w:val="2"/>
            <w:noWrap w:val="0"/>
            <w:vAlign w:val="center"/>
          </w:tcPr>
          <w:p w14:paraId="23923071">
            <w:pPr>
              <w:topLinePunct/>
              <w:spacing w:line="440" w:lineRule="exact"/>
              <w:jc w:val="center"/>
              <w:rPr>
                <w:rFonts w:hint="eastAsia" w:ascii="宋体" w:hAnsi="宋体" w:eastAsia="宋体" w:cs="宋体"/>
                <w:color w:val="auto"/>
                <w:sz w:val="24"/>
                <w:highlight w:val="none"/>
              </w:rPr>
            </w:pPr>
          </w:p>
        </w:tc>
        <w:tc>
          <w:tcPr>
            <w:tcW w:w="1485" w:type="dxa"/>
            <w:noWrap w:val="0"/>
            <w:vAlign w:val="center"/>
          </w:tcPr>
          <w:p w14:paraId="09506928">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839" w:type="dxa"/>
            <w:noWrap w:val="0"/>
            <w:vAlign w:val="center"/>
          </w:tcPr>
          <w:p w14:paraId="47593D7F">
            <w:pPr>
              <w:topLinePunct/>
              <w:spacing w:line="440" w:lineRule="exact"/>
              <w:jc w:val="center"/>
              <w:rPr>
                <w:rFonts w:hint="eastAsia" w:ascii="宋体" w:hAnsi="宋体" w:eastAsia="宋体" w:cs="宋体"/>
                <w:color w:val="auto"/>
                <w:sz w:val="24"/>
                <w:highlight w:val="none"/>
              </w:rPr>
            </w:pPr>
          </w:p>
        </w:tc>
      </w:tr>
      <w:tr w14:paraId="7C3B5E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0" w:hRule="atLeast"/>
          <w:jc w:val="center"/>
        </w:trPr>
        <w:tc>
          <w:tcPr>
            <w:tcW w:w="696" w:type="dxa"/>
            <w:vMerge w:val="restart"/>
            <w:noWrap w:val="0"/>
            <w:vAlign w:val="center"/>
          </w:tcPr>
          <w:p w14:paraId="5A2D7809">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1502" w:type="dxa"/>
            <w:noWrap w:val="0"/>
            <w:vAlign w:val="center"/>
          </w:tcPr>
          <w:p w14:paraId="497B899C">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注册号码</w:t>
            </w:r>
          </w:p>
        </w:tc>
        <w:tc>
          <w:tcPr>
            <w:tcW w:w="2094" w:type="dxa"/>
            <w:noWrap w:val="0"/>
            <w:vAlign w:val="center"/>
          </w:tcPr>
          <w:p w14:paraId="3AB2E6F6">
            <w:pPr>
              <w:topLinePunct/>
              <w:spacing w:line="440" w:lineRule="exact"/>
              <w:jc w:val="center"/>
              <w:rPr>
                <w:rFonts w:hint="eastAsia" w:ascii="宋体" w:hAnsi="宋体" w:eastAsia="宋体" w:cs="宋体"/>
                <w:color w:val="auto"/>
                <w:sz w:val="24"/>
                <w:highlight w:val="none"/>
              </w:rPr>
            </w:pPr>
          </w:p>
        </w:tc>
        <w:tc>
          <w:tcPr>
            <w:tcW w:w="1342" w:type="dxa"/>
            <w:noWrap w:val="0"/>
            <w:vAlign w:val="center"/>
          </w:tcPr>
          <w:p w14:paraId="17091DC2">
            <w:pPr>
              <w:topLinePunct/>
              <w:spacing w:line="440" w:lineRule="exact"/>
              <w:ind w:firstLine="120" w:firstLineChar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324" w:type="dxa"/>
            <w:gridSpan w:val="2"/>
            <w:noWrap w:val="0"/>
            <w:vAlign w:val="center"/>
          </w:tcPr>
          <w:p w14:paraId="28C7835F">
            <w:pPr>
              <w:topLinePunct/>
              <w:spacing w:line="440" w:lineRule="exact"/>
              <w:ind w:firstLine="120" w:firstLineChars="50"/>
              <w:jc w:val="center"/>
              <w:rPr>
                <w:rFonts w:hint="eastAsia" w:ascii="宋体" w:hAnsi="宋体" w:eastAsia="宋体" w:cs="宋体"/>
                <w:color w:val="auto"/>
                <w:sz w:val="24"/>
                <w:highlight w:val="none"/>
              </w:rPr>
            </w:pPr>
          </w:p>
        </w:tc>
      </w:tr>
      <w:tr w14:paraId="05E08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8" w:hRule="atLeast"/>
          <w:jc w:val="center"/>
        </w:trPr>
        <w:tc>
          <w:tcPr>
            <w:tcW w:w="696" w:type="dxa"/>
            <w:vMerge w:val="continue"/>
            <w:noWrap w:val="0"/>
            <w:vAlign w:val="center"/>
          </w:tcPr>
          <w:p w14:paraId="30476C6C">
            <w:pPr>
              <w:topLinePunct/>
              <w:spacing w:line="440" w:lineRule="exact"/>
              <w:jc w:val="center"/>
              <w:rPr>
                <w:rFonts w:hint="eastAsia" w:ascii="宋体" w:hAnsi="宋体" w:eastAsia="宋体" w:cs="宋体"/>
                <w:color w:val="auto"/>
                <w:sz w:val="24"/>
                <w:highlight w:val="none"/>
              </w:rPr>
            </w:pPr>
          </w:p>
        </w:tc>
        <w:tc>
          <w:tcPr>
            <w:tcW w:w="1502" w:type="dxa"/>
            <w:noWrap w:val="0"/>
            <w:vAlign w:val="center"/>
          </w:tcPr>
          <w:p w14:paraId="1555F26D">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2094" w:type="dxa"/>
            <w:noWrap w:val="0"/>
            <w:vAlign w:val="center"/>
          </w:tcPr>
          <w:p w14:paraId="6C04C3E2">
            <w:pPr>
              <w:topLinePunct/>
              <w:spacing w:line="440" w:lineRule="exact"/>
              <w:jc w:val="center"/>
              <w:rPr>
                <w:rFonts w:hint="eastAsia" w:ascii="宋体" w:hAnsi="宋体" w:eastAsia="宋体" w:cs="宋体"/>
                <w:color w:val="auto"/>
                <w:sz w:val="24"/>
                <w:highlight w:val="none"/>
              </w:rPr>
            </w:pPr>
          </w:p>
        </w:tc>
        <w:tc>
          <w:tcPr>
            <w:tcW w:w="1342" w:type="dxa"/>
            <w:noWrap w:val="0"/>
            <w:vAlign w:val="center"/>
          </w:tcPr>
          <w:p w14:paraId="4B44A5E1">
            <w:pPr>
              <w:topLinePunct/>
              <w:spacing w:line="440" w:lineRule="exact"/>
              <w:ind w:firstLine="120" w:firstLineChar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24" w:type="dxa"/>
            <w:gridSpan w:val="2"/>
            <w:noWrap w:val="0"/>
            <w:vAlign w:val="center"/>
          </w:tcPr>
          <w:p w14:paraId="72BBC815">
            <w:pPr>
              <w:topLinePunct/>
              <w:spacing w:line="440" w:lineRule="exact"/>
              <w:ind w:firstLine="120" w:firstLineChars="50"/>
              <w:jc w:val="center"/>
              <w:rPr>
                <w:rFonts w:hint="eastAsia" w:ascii="宋体" w:hAnsi="宋体" w:eastAsia="宋体" w:cs="宋体"/>
                <w:color w:val="auto"/>
                <w:sz w:val="24"/>
                <w:highlight w:val="none"/>
              </w:rPr>
            </w:pPr>
          </w:p>
        </w:tc>
      </w:tr>
      <w:tr w14:paraId="1F0C2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0" w:hRule="atLeast"/>
          <w:jc w:val="center"/>
        </w:trPr>
        <w:tc>
          <w:tcPr>
            <w:tcW w:w="2198" w:type="dxa"/>
            <w:gridSpan w:val="2"/>
            <w:noWrap w:val="0"/>
            <w:vAlign w:val="center"/>
          </w:tcPr>
          <w:p w14:paraId="2A8B157F">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基本账户开户行及帐号</w:t>
            </w:r>
          </w:p>
        </w:tc>
        <w:tc>
          <w:tcPr>
            <w:tcW w:w="6760" w:type="dxa"/>
            <w:gridSpan w:val="4"/>
            <w:noWrap w:val="0"/>
            <w:vAlign w:val="center"/>
          </w:tcPr>
          <w:p w14:paraId="12839CBC">
            <w:pPr>
              <w:topLinePunct/>
              <w:spacing w:line="440" w:lineRule="exact"/>
              <w:jc w:val="center"/>
              <w:rPr>
                <w:rFonts w:hint="eastAsia" w:ascii="宋体" w:hAnsi="宋体" w:eastAsia="宋体" w:cs="宋体"/>
                <w:color w:val="auto"/>
                <w:sz w:val="24"/>
                <w:highlight w:val="none"/>
              </w:rPr>
            </w:pPr>
          </w:p>
        </w:tc>
      </w:tr>
      <w:tr w14:paraId="43515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0" w:hRule="atLeast"/>
          <w:jc w:val="center"/>
        </w:trPr>
        <w:tc>
          <w:tcPr>
            <w:tcW w:w="2198" w:type="dxa"/>
            <w:gridSpan w:val="2"/>
            <w:noWrap w:val="0"/>
            <w:vAlign w:val="center"/>
          </w:tcPr>
          <w:p w14:paraId="2CB859BC">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资产总额（万元）</w:t>
            </w:r>
          </w:p>
        </w:tc>
        <w:tc>
          <w:tcPr>
            <w:tcW w:w="6760" w:type="dxa"/>
            <w:gridSpan w:val="4"/>
            <w:noWrap w:val="0"/>
            <w:vAlign w:val="center"/>
          </w:tcPr>
          <w:p w14:paraId="5D44EF82">
            <w:pPr>
              <w:topLinePunct/>
              <w:spacing w:line="440" w:lineRule="exact"/>
              <w:jc w:val="center"/>
              <w:rPr>
                <w:rFonts w:hint="eastAsia" w:ascii="宋体" w:hAnsi="宋体" w:eastAsia="宋体" w:cs="宋体"/>
                <w:color w:val="auto"/>
                <w:sz w:val="24"/>
                <w:highlight w:val="none"/>
              </w:rPr>
            </w:pPr>
          </w:p>
        </w:tc>
      </w:tr>
      <w:tr w14:paraId="03D4C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80" w:hRule="atLeast"/>
          <w:jc w:val="center"/>
        </w:trPr>
        <w:tc>
          <w:tcPr>
            <w:tcW w:w="2198" w:type="dxa"/>
            <w:gridSpan w:val="2"/>
            <w:noWrap w:val="0"/>
            <w:vAlign w:val="center"/>
          </w:tcPr>
          <w:p w14:paraId="7FCC5243">
            <w:pPr>
              <w:topLinePunct/>
              <w:spacing w:line="44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经营范围</w:t>
            </w:r>
          </w:p>
        </w:tc>
        <w:tc>
          <w:tcPr>
            <w:tcW w:w="6760" w:type="dxa"/>
            <w:gridSpan w:val="4"/>
            <w:noWrap w:val="0"/>
            <w:vAlign w:val="center"/>
          </w:tcPr>
          <w:p w14:paraId="640D72AE">
            <w:pPr>
              <w:topLinePunct/>
              <w:spacing w:line="440" w:lineRule="exact"/>
              <w:jc w:val="center"/>
              <w:rPr>
                <w:rFonts w:hint="eastAsia" w:ascii="宋体" w:hAnsi="宋体" w:eastAsia="宋体" w:cs="宋体"/>
                <w:color w:val="auto"/>
                <w:sz w:val="24"/>
                <w:highlight w:val="none"/>
              </w:rPr>
            </w:pPr>
          </w:p>
        </w:tc>
      </w:tr>
      <w:tr w14:paraId="04A2DD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2198" w:type="dxa"/>
            <w:gridSpan w:val="2"/>
            <w:noWrap w:val="0"/>
            <w:vAlign w:val="center"/>
          </w:tcPr>
          <w:p w14:paraId="5DA3508A">
            <w:pPr>
              <w:topLinePunct/>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6760" w:type="dxa"/>
            <w:gridSpan w:val="4"/>
            <w:noWrap w:val="0"/>
            <w:vAlign w:val="center"/>
          </w:tcPr>
          <w:p w14:paraId="315AA512">
            <w:pPr>
              <w:topLinePunct/>
              <w:spacing w:line="440" w:lineRule="exact"/>
              <w:rPr>
                <w:rFonts w:hint="eastAsia" w:ascii="宋体" w:hAnsi="宋体" w:eastAsia="宋体" w:cs="宋体"/>
                <w:color w:val="auto"/>
                <w:sz w:val="24"/>
                <w:highlight w:val="none"/>
              </w:rPr>
            </w:pPr>
          </w:p>
        </w:tc>
      </w:tr>
    </w:tbl>
    <w:p w14:paraId="47DB2D69">
      <w:pPr>
        <w:bidi w:val="0"/>
        <w:rPr>
          <w:rFonts w:hint="eastAsia" w:ascii="宋体" w:hAnsi="宋体" w:eastAsia="宋体" w:cs="宋体"/>
          <w:color w:val="auto"/>
          <w:sz w:val="32"/>
          <w:szCs w:val="32"/>
          <w:highlight w:val="none"/>
        </w:rPr>
      </w:pPr>
    </w:p>
    <w:p w14:paraId="5A417F38">
      <w:pPr>
        <w:adjustRightInd w:val="0"/>
        <w:snapToGrid w:val="0"/>
        <w:spacing w:before="156" w:beforeLines="50"/>
        <w:ind w:left="720" w:hanging="720" w:hanging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说明：企业类型指大型、中型、小型、微型；</w:t>
      </w:r>
    </w:p>
    <w:p w14:paraId="5FF56EEB">
      <w:pPr>
        <w:adjustRightInd w:val="0"/>
        <w:snapToGrid w:val="0"/>
        <w:spacing w:before="156" w:beforeLines="50"/>
        <w:ind w:left="720" w:hanging="720" w:hanging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资质指特定条件要求提供的资质。</w:t>
      </w:r>
    </w:p>
    <w:p w14:paraId="20228327">
      <w:pPr>
        <w:adjustRightInd w:val="0"/>
        <w:spacing w:line="400" w:lineRule="exact"/>
        <w:ind w:leftChars="100" w:firstLine="420" w:firstLineChars="175"/>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供 应 商：</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（盖章）</w:t>
      </w:r>
    </w:p>
    <w:p w14:paraId="27356D81">
      <w:pPr>
        <w:adjustRightInd w:val="0"/>
        <w:spacing w:line="400" w:lineRule="exact"/>
        <w:ind w:leftChars="100" w:firstLine="420" w:firstLineChars="17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法定代表人或授权代表：（签名或盖章）</w:t>
      </w:r>
    </w:p>
    <w:p w14:paraId="2692682C">
      <w:pPr>
        <w:adjustRightInd w:val="0"/>
        <w:spacing w:line="400" w:lineRule="exact"/>
        <w:ind w:leftChars="100" w:firstLine="420" w:firstLineChars="175"/>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日期:    年  月  日</w:t>
      </w:r>
    </w:p>
    <w:p w14:paraId="70639FB9">
      <w:pPr>
        <w:jc w:val="center"/>
        <w:outlineLvl w:val="2"/>
        <w:rPr>
          <w:rFonts w:hint="eastAsia" w:ascii="宋体" w:hAnsi="宋体" w:eastAsia="宋体" w:cs="宋体"/>
          <w:b/>
          <w:bCs/>
          <w:color w:val="auto"/>
          <w:sz w:val="30"/>
          <w:szCs w:val="30"/>
          <w:highlight w:val="none"/>
        </w:rPr>
      </w:pPr>
      <w:r>
        <w:rPr>
          <w:rFonts w:hint="eastAsia" w:ascii="宋体" w:hAnsi="宋体" w:eastAsia="宋体" w:cs="宋体"/>
          <w:color w:val="auto"/>
          <w:sz w:val="32"/>
          <w:szCs w:val="32"/>
          <w:highlight w:val="none"/>
        </w:rPr>
        <w:br w:type="page"/>
      </w:r>
      <w:r>
        <w:rPr>
          <w:rFonts w:hint="eastAsia" w:ascii="宋体" w:hAnsi="宋体" w:eastAsia="宋体" w:cs="宋体"/>
          <w:b/>
          <w:bCs/>
          <w:color w:val="auto"/>
          <w:sz w:val="30"/>
          <w:szCs w:val="30"/>
          <w:highlight w:val="none"/>
          <w:lang w:eastAsia="zh-CN"/>
        </w:rPr>
        <w:t>五</w:t>
      </w:r>
      <w:r>
        <w:rPr>
          <w:rFonts w:hint="eastAsia" w:ascii="宋体" w:hAnsi="宋体" w:eastAsia="宋体" w:cs="宋体"/>
          <w:b/>
          <w:bCs/>
          <w:color w:val="auto"/>
          <w:sz w:val="30"/>
          <w:szCs w:val="30"/>
          <w:highlight w:val="none"/>
        </w:rPr>
        <w:t>、陕西省政府采购供应商拒绝政府采购领域商业贿赂承诺书</w:t>
      </w:r>
    </w:p>
    <w:p w14:paraId="42D840FE">
      <w:pPr>
        <w:widowControl/>
        <w:spacing w:line="408" w:lineRule="auto"/>
        <w:ind w:left="274" w:leftChars="114" w:firstLine="470" w:firstLineChars="196"/>
        <w:jc w:val="left"/>
        <w:rPr>
          <w:rFonts w:hint="eastAsia" w:ascii="宋体" w:hAnsi="宋体" w:eastAsia="宋体" w:cs="宋体"/>
          <w:color w:val="auto"/>
          <w:highlight w:val="none"/>
        </w:rPr>
      </w:pPr>
    </w:p>
    <w:p w14:paraId="5FC6B7DF">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为响应党中央、国务院关于治理政府采购领域商业贿赂行为的号召，我公司在此庄严承诺：</w:t>
      </w:r>
    </w:p>
    <w:p w14:paraId="2E8A33FF">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1、在参与政府采购活动中遵纪守法、诚信经营、公平竞标。</w:t>
      </w:r>
    </w:p>
    <w:p w14:paraId="42C24A06">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2、不向政府采购人、采购代理机构和政府采购评审专家进行任何形式的商业贿赂以谋取交易机会。</w:t>
      </w:r>
    </w:p>
    <w:p w14:paraId="2660DED2">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3、不向政府采购代理机构和采购人提供虚假资质文件或采用虚假应标方式参与政府采购市场竞争并谋取中标、成交。</w:t>
      </w:r>
    </w:p>
    <w:p w14:paraId="7278B4FF">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4、不采取“围标、陪标”等商业欺诈手段获得政府采购定单。</w:t>
      </w:r>
    </w:p>
    <w:p w14:paraId="108A29F9">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5、不采取不正当手段诋毁、排挤其他供应商。</w:t>
      </w:r>
    </w:p>
    <w:p w14:paraId="7D54AFC2">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6、不在提供商品和服务时“偷梁换柱、以次充好”损害采购人的合法权益。</w:t>
      </w:r>
    </w:p>
    <w:p w14:paraId="6EE50A86">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7、不与采购人、采购代理机构政府采购评审专家或其它供应商恶意串通，进行质疑和投诉，维护政府采购市场秩序。</w:t>
      </w:r>
    </w:p>
    <w:p w14:paraId="4206F0F6">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8、尊重和接受政府采购监督管理部门的监督和政府采购代理机构招标采购要求，承担因违约行为给采购人造成的损失。</w:t>
      </w:r>
    </w:p>
    <w:p w14:paraId="00FF67F6">
      <w:pPr>
        <w:widowControl/>
        <w:spacing w:line="408" w:lineRule="auto"/>
        <w:ind w:left="274" w:leftChars="114" w:firstLine="470"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9、不发生其他有悖于政府采购公开、公平、公正和诚信原则的行为。</w:t>
      </w:r>
    </w:p>
    <w:p w14:paraId="15B61F4D">
      <w:pPr>
        <w:pStyle w:val="35"/>
        <w:rPr>
          <w:rFonts w:hint="eastAsia"/>
          <w:color w:val="auto"/>
          <w:lang w:eastAsia="zh-CN"/>
        </w:rPr>
      </w:pPr>
    </w:p>
    <w:p w14:paraId="1362F1AD">
      <w:pPr>
        <w:widowControl/>
        <w:spacing w:line="408" w:lineRule="auto"/>
        <w:ind w:left="274" w:leftChars="114" w:firstLine="720" w:firstLineChars="3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承诺单位：（盖章）</w:t>
      </w:r>
    </w:p>
    <w:p w14:paraId="2A34F814">
      <w:pPr>
        <w:widowControl/>
        <w:spacing w:line="408" w:lineRule="auto"/>
        <w:ind w:left="274" w:leftChars="114" w:firstLine="720" w:firstLineChars="3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全权代表：（</w:t>
      </w:r>
      <w:r>
        <w:rPr>
          <w:rFonts w:hint="eastAsia" w:ascii="宋体" w:hAnsi="宋体" w:eastAsia="宋体" w:cs="宋体"/>
          <w:color w:val="auto"/>
          <w:szCs w:val="24"/>
          <w:highlight w:val="none"/>
        </w:rPr>
        <w:t>签字</w:t>
      </w:r>
      <w:r>
        <w:rPr>
          <w:rFonts w:hint="eastAsia" w:ascii="宋体" w:hAnsi="宋体" w:eastAsia="宋体" w:cs="宋体"/>
          <w:color w:val="auto"/>
          <w:highlight w:val="none"/>
        </w:rPr>
        <w:t>）</w:t>
      </w:r>
    </w:p>
    <w:p w14:paraId="15BCFAF5">
      <w:pPr>
        <w:widowControl/>
        <w:spacing w:line="408" w:lineRule="auto"/>
        <w:ind w:left="274" w:leftChars="114" w:firstLine="720" w:firstLineChars="300"/>
        <w:jc w:val="left"/>
        <w:rPr>
          <w:rFonts w:hint="eastAsia" w:ascii="宋体" w:hAnsi="宋体" w:eastAsia="宋体" w:cs="宋体"/>
          <w:color w:val="auto"/>
          <w:highlight w:val="none"/>
        </w:rPr>
      </w:pPr>
      <w:r>
        <w:rPr>
          <w:rFonts w:hint="eastAsia" w:ascii="宋体" w:hAnsi="宋体" w:eastAsia="宋体" w:cs="宋体"/>
          <w:color w:val="auto"/>
          <w:highlight w:val="none"/>
        </w:rPr>
        <w:t>地  址：                        </w:t>
      </w:r>
    </w:p>
    <w:p w14:paraId="064F592C">
      <w:pPr>
        <w:widowControl/>
        <w:spacing w:line="408" w:lineRule="auto"/>
        <w:ind w:left="274" w:leftChars="114" w:firstLine="720" w:firstLineChars="3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邮  编：</w:t>
      </w:r>
    </w:p>
    <w:p w14:paraId="221E2C60">
      <w:pPr>
        <w:widowControl/>
        <w:spacing w:line="408" w:lineRule="auto"/>
        <w:ind w:left="274" w:leftChars="114" w:firstLine="720" w:firstLineChars="300"/>
        <w:jc w:val="left"/>
        <w:rPr>
          <w:rFonts w:hint="eastAsia" w:ascii="宋体" w:hAnsi="宋体" w:eastAsia="宋体" w:cs="宋体"/>
          <w:color w:val="auto"/>
          <w:highlight w:val="none"/>
        </w:rPr>
      </w:pPr>
      <w:r>
        <w:rPr>
          <w:rFonts w:hint="eastAsia" w:ascii="宋体" w:hAnsi="宋体" w:eastAsia="宋体" w:cs="宋体"/>
          <w:color w:val="auto"/>
          <w:highlight w:val="none"/>
        </w:rPr>
        <w:t>电  话：                                                         年  月  日</w:t>
      </w:r>
    </w:p>
    <w:p w14:paraId="3EAD39A9">
      <w:pPr>
        <w:pStyle w:val="5"/>
        <w:spacing w:before="240" w:beforeLines="100"/>
        <w:rPr>
          <w:rFonts w:hint="eastAsia" w:ascii="宋体" w:hAnsi="宋体" w:eastAsia="宋体" w:cs="宋体"/>
          <w:b w:val="0"/>
          <w:color w:val="auto"/>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六、投标方案</w:t>
      </w:r>
      <w:bookmarkEnd w:id="76"/>
      <w:bookmarkEnd w:id="77"/>
      <w:bookmarkEnd w:id="78"/>
      <w:bookmarkEnd w:id="79"/>
      <w:bookmarkEnd w:id="80"/>
    </w:p>
    <w:p w14:paraId="18D5BB15">
      <w:pPr>
        <w:spacing w:line="640" w:lineRule="exact"/>
        <w:ind w:left="9" w:hanging="9"/>
        <w:jc w:val="center"/>
        <w:rPr>
          <w:rFonts w:hint="eastAsia" w:ascii="宋体" w:hAnsi="宋体" w:eastAsia="宋体" w:cs="宋体"/>
          <w:color w:val="auto"/>
          <w:highlight w:val="none"/>
          <w:lang w:eastAsia="zh-CN"/>
        </w:rPr>
      </w:pPr>
      <w:r>
        <w:rPr>
          <w:rFonts w:hint="eastAsia" w:ascii="宋体" w:hAnsi="宋体" w:eastAsia="宋体" w:cs="宋体"/>
          <w:color w:val="auto"/>
          <w:sz w:val="24"/>
          <w:highlight w:val="none"/>
        </w:rPr>
        <w:t>按照</w:t>
      </w:r>
      <w:r>
        <w:rPr>
          <w:rFonts w:hint="eastAsia" w:ascii="宋体" w:hAnsi="宋体" w:eastAsia="宋体" w:cs="宋体"/>
          <w:color w:val="auto"/>
          <w:sz w:val="24"/>
          <w:highlight w:val="none"/>
          <w:lang w:eastAsia="zh-CN"/>
        </w:rPr>
        <w:t>招标</w:t>
      </w:r>
      <w:r>
        <w:rPr>
          <w:rFonts w:hint="eastAsia" w:ascii="宋体" w:hAnsi="宋体" w:eastAsia="宋体" w:cs="宋体"/>
          <w:color w:val="auto"/>
          <w:sz w:val="24"/>
          <w:highlight w:val="none"/>
        </w:rPr>
        <w:t>文件的评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要求编写投标方案</w:t>
      </w:r>
      <w:r>
        <w:rPr>
          <w:rFonts w:hint="eastAsia" w:ascii="宋体" w:hAnsi="宋体" w:eastAsia="宋体" w:cs="宋体"/>
          <w:color w:val="auto"/>
          <w:sz w:val="24"/>
          <w:highlight w:val="none"/>
          <w:lang w:eastAsia="zh-CN"/>
        </w:rPr>
        <w:t>（如实施方案）</w:t>
      </w:r>
      <w:r>
        <w:rPr>
          <w:rFonts w:hint="eastAsia" w:ascii="宋体" w:hAnsi="宋体" w:eastAsia="宋体" w:cs="宋体"/>
          <w:color w:val="auto"/>
          <w:sz w:val="24"/>
          <w:highlight w:val="none"/>
        </w:rPr>
        <w:t>，格式自拟</w:t>
      </w:r>
      <w:r>
        <w:rPr>
          <w:rFonts w:hint="eastAsia" w:ascii="宋体" w:hAnsi="宋体" w:eastAsia="宋体" w:cs="宋体"/>
          <w:color w:val="auto"/>
          <w:sz w:val="24"/>
          <w:highlight w:val="none"/>
          <w:lang w:eastAsia="zh-CN"/>
        </w:rPr>
        <w:t>。</w:t>
      </w:r>
    </w:p>
    <w:p w14:paraId="677E0592">
      <w:pPr>
        <w:rPr>
          <w:rFonts w:hint="eastAsia" w:ascii="宋体" w:hAnsi="宋体" w:eastAsia="宋体" w:cs="宋体"/>
          <w:color w:val="auto"/>
          <w:highlight w:val="none"/>
        </w:rPr>
      </w:pPr>
    </w:p>
    <w:p w14:paraId="2B69997F">
      <w:pPr>
        <w:spacing w:line="700" w:lineRule="exact"/>
        <w:rPr>
          <w:rFonts w:hint="eastAsia" w:ascii="宋体" w:hAnsi="宋体" w:eastAsia="宋体" w:cs="宋体"/>
          <w:color w:val="auto"/>
          <w:szCs w:val="24"/>
          <w:highlight w:val="none"/>
        </w:rPr>
      </w:pPr>
    </w:p>
    <w:p w14:paraId="4E9DDE39">
      <w:pPr>
        <w:spacing w:line="440" w:lineRule="exact"/>
        <w:ind w:left="3725" w:leftChars="1552"/>
        <w:rPr>
          <w:rFonts w:hint="eastAsia" w:ascii="宋体" w:hAnsi="宋体" w:eastAsia="宋体" w:cs="宋体"/>
          <w:color w:val="auto"/>
          <w:szCs w:val="24"/>
          <w:highlight w:val="none"/>
        </w:rPr>
      </w:pPr>
    </w:p>
    <w:p w14:paraId="2971B006">
      <w:pPr>
        <w:spacing w:line="440" w:lineRule="exact"/>
        <w:ind w:left="3725" w:leftChars="1552"/>
        <w:rPr>
          <w:rFonts w:hint="eastAsia" w:ascii="宋体" w:hAnsi="宋体" w:eastAsia="宋体" w:cs="宋体"/>
          <w:color w:val="auto"/>
          <w:szCs w:val="24"/>
          <w:highlight w:val="none"/>
        </w:rPr>
      </w:pPr>
    </w:p>
    <w:p w14:paraId="66083ACB">
      <w:pPr>
        <w:pStyle w:val="4"/>
        <w:rPr>
          <w:rFonts w:hint="eastAsia" w:ascii="宋体" w:hAnsi="宋体" w:eastAsia="宋体" w:cs="宋体"/>
          <w:color w:val="auto"/>
          <w:szCs w:val="24"/>
          <w:highlight w:val="none"/>
        </w:rPr>
      </w:pPr>
    </w:p>
    <w:p w14:paraId="17CD3AC1">
      <w:pPr>
        <w:rPr>
          <w:rFonts w:hint="eastAsia" w:ascii="宋体" w:hAnsi="宋体" w:eastAsia="宋体" w:cs="宋体"/>
          <w:color w:val="auto"/>
          <w:szCs w:val="24"/>
          <w:highlight w:val="none"/>
        </w:rPr>
      </w:pPr>
    </w:p>
    <w:p w14:paraId="1DE848AB">
      <w:pPr>
        <w:pStyle w:val="4"/>
        <w:rPr>
          <w:rFonts w:hint="eastAsia" w:ascii="宋体" w:hAnsi="宋体" w:eastAsia="宋体" w:cs="宋体"/>
          <w:color w:val="auto"/>
          <w:szCs w:val="24"/>
          <w:highlight w:val="none"/>
        </w:rPr>
      </w:pPr>
    </w:p>
    <w:p w14:paraId="39442308">
      <w:pPr>
        <w:rPr>
          <w:rFonts w:hint="eastAsia" w:ascii="宋体" w:hAnsi="宋体" w:eastAsia="宋体" w:cs="宋体"/>
          <w:color w:val="auto"/>
          <w:szCs w:val="24"/>
          <w:highlight w:val="none"/>
        </w:rPr>
      </w:pPr>
    </w:p>
    <w:p w14:paraId="1C86F1BB">
      <w:pPr>
        <w:pStyle w:val="4"/>
        <w:rPr>
          <w:rFonts w:hint="eastAsia" w:ascii="宋体" w:hAnsi="宋体" w:eastAsia="宋体" w:cs="宋体"/>
          <w:color w:val="auto"/>
          <w:szCs w:val="24"/>
          <w:highlight w:val="none"/>
        </w:rPr>
      </w:pPr>
    </w:p>
    <w:p w14:paraId="22AF91A6">
      <w:pPr>
        <w:rPr>
          <w:rFonts w:hint="eastAsia" w:ascii="宋体" w:hAnsi="宋体" w:eastAsia="宋体" w:cs="宋体"/>
          <w:color w:val="auto"/>
          <w:szCs w:val="24"/>
          <w:highlight w:val="none"/>
        </w:rPr>
      </w:pPr>
    </w:p>
    <w:p w14:paraId="52140F4B">
      <w:pPr>
        <w:pStyle w:val="4"/>
        <w:rPr>
          <w:rFonts w:hint="eastAsia" w:ascii="宋体" w:hAnsi="宋体" w:eastAsia="宋体" w:cs="宋体"/>
          <w:color w:val="auto"/>
          <w:szCs w:val="24"/>
          <w:highlight w:val="none"/>
        </w:rPr>
      </w:pPr>
    </w:p>
    <w:p w14:paraId="7D11C7D1">
      <w:pPr>
        <w:rPr>
          <w:rFonts w:hint="eastAsia" w:ascii="宋体" w:hAnsi="宋体" w:eastAsia="宋体" w:cs="宋体"/>
          <w:color w:val="auto"/>
          <w:szCs w:val="24"/>
          <w:highlight w:val="none"/>
        </w:rPr>
      </w:pPr>
    </w:p>
    <w:p w14:paraId="5B616259">
      <w:pPr>
        <w:spacing w:after="120"/>
        <w:rPr>
          <w:rFonts w:hint="eastAsia" w:ascii="宋体" w:hAnsi="宋体" w:eastAsia="宋体" w:cs="宋体"/>
          <w:b/>
          <w:color w:val="auto"/>
          <w:sz w:val="32"/>
          <w:szCs w:val="32"/>
          <w:highlight w:val="none"/>
        </w:rPr>
      </w:pPr>
    </w:p>
    <w:p w14:paraId="735EE3E6">
      <w:pPr>
        <w:spacing w:after="120"/>
        <w:rPr>
          <w:rFonts w:hint="eastAsia" w:ascii="宋体" w:hAnsi="宋体" w:eastAsia="宋体" w:cs="宋体"/>
          <w:b/>
          <w:color w:val="auto"/>
          <w:sz w:val="32"/>
          <w:szCs w:val="32"/>
          <w:highlight w:val="none"/>
        </w:rPr>
      </w:pPr>
    </w:p>
    <w:p w14:paraId="2F18BA5D">
      <w:pPr>
        <w:spacing w:after="12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七、响应偏离表</w:t>
      </w:r>
    </w:p>
    <w:p w14:paraId="7C9BA820">
      <w:pPr>
        <w:widowControl/>
        <w:jc w:val="center"/>
        <w:rPr>
          <w:rFonts w:hint="eastAsia" w:ascii="宋体" w:hAnsi="宋体" w:eastAsia="宋体" w:cs="宋体"/>
          <w:b/>
          <w:bCs/>
          <w:color w:val="auto"/>
          <w:kern w:val="2"/>
          <w:sz w:val="36"/>
          <w:szCs w:val="36"/>
          <w:highlight w:val="none"/>
        </w:rPr>
      </w:pPr>
      <w:r>
        <w:rPr>
          <w:rFonts w:hint="eastAsia" w:ascii="宋体" w:hAnsi="宋体" w:eastAsia="宋体" w:cs="宋体"/>
          <w:b/>
          <w:bCs/>
          <w:color w:val="auto"/>
          <w:kern w:val="2"/>
          <w:sz w:val="36"/>
          <w:szCs w:val="36"/>
          <w:highlight w:val="none"/>
        </w:rPr>
        <w:t>（1）商务响应偏离表</w:t>
      </w:r>
    </w:p>
    <w:p w14:paraId="1EE6C5A5">
      <w:pPr>
        <w:widowControl/>
        <w:jc w:val="center"/>
        <w:rPr>
          <w:rFonts w:hint="eastAsia" w:ascii="宋体" w:hAnsi="宋体" w:eastAsia="宋体" w:cs="宋体"/>
          <w:b/>
          <w:bCs/>
          <w:color w:val="auto"/>
          <w:kern w:val="2"/>
          <w:sz w:val="44"/>
          <w:szCs w:val="44"/>
          <w:highlight w:val="none"/>
        </w:rPr>
      </w:pPr>
    </w:p>
    <w:tbl>
      <w:tblPr>
        <w:tblStyle w:val="20"/>
        <w:tblW w:w="8958" w:type="dxa"/>
        <w:jc w:val="center"/>
        <w:tblLayout w:type="fixed"/>
        <w:tblCellMar>
          <w:top w:w="0" w:type="dxa"/>
          <w:left w:w="108" w:type="dxa"/>
          <w:bottom w:w="0" w:type="dxa"/>
          <w:right w:w="108" w:type="dxa"/>
        </w:tblCellMar>
      </w:tblPr>
      <w:tblGrid>
        <w:gridCol w:w="773"/>
        <w:gridCol w:w="1665"/>
        <w:gridCol w:w="2052"/>
        <w:gridCol w:w="2719"/>
        <w:gridCol w:w="1749"/>
      </w:tblGrid>
      <w:tr w14:paraId="65ED4097">
        <w:tblPrEx>
          <w:tblCellMar>
            <w:top w:w="0" w:type="dxa"/>
            <w:left w:w="108" w:type="dxa"/>
            <w:bottom w:w="0" w:type="dxa"/>
            <w:right w:w="108" w:type="dxa"/>
          </w:tblCellMar>
        </w:tblPrEx>
        <w:trPr>
          <w:trHeight w:val="709"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top"/>
          </w:tcPr>
          <w:p w14:paraId="032E0240">
            <w:pPr>
              <w:kinsoku w:val="0"/>
              <w:overflowPunct w:val="0"/>
              <w:autoSpaceDE w:val="0"/>
              <w:autoSpaceDN w:val="0"/>
              <w:adjustRightInd w:val="0"/>
              <w:spacing w:before="165"/>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3F546821">
            <w:pPr>
              <w:kinsoku w:val="0"/>
              <w:overflowPunct w:val="0"/>
              <w:autoSpaceDE w:val="0"/>
              <w:autoSpaceDN w:val="0"/>
              <w:adjustRightInd w:val="0"/>
              <w:spacing w:before="165"/>
              <w:ind w:left="56"/>
              <w:jc w:val="center"/>
              <w:rPr>
                <w:rFonts w:hint="eastAsia" w:ascii="宋体" w:hAnsi="宋体" w:eastAsia="宋体" w:cs="宋体"/>
                <w:color w:val="auto"/>
                <w:highlight w:val="none"/>
              </w:rPr>
            </w:pPr>
            <w:r>
              <w:rPr>
                <w:rFonts w:hint="eastAsia" w:ascii="宋体" w:hAnsi="宋体" w:eastAsia="宋体" w:cs="宋体"/>
                <w:color w:val="auto"/>
                <w:highlight w:val="none"/>
              </w:rPr>
              <w:t>内容</w:t>
            </w:r>
          </w:p>
        </w:tc>
        <w:tc>
          <w:tcPr>
            <w:tcW w:w="2052" w:type="dxa"/>
            <w:tcBorders>
              <w:top w:val="single" w:color="auto" w:sz="4" w:space="0"/>
              <w:left w:val="single" w:color="auto" w:sz="4" w:space="0"/>
              <w:bottom w:val="single" w:color="auto" w:sz="4" w:space="0"/>
              <w:right w:val="single" w:color="auto" w:sz="4" w:space="0"/>
            </w:tcBorders>
            <w:noWrap w:val="0"/>
            <w:vAlign w:val="top"/>
          </w:tcPr>
          <w:p w14:paraId="383CCFFD">
            <w:pPr>
              <w:kinsoku w:val="0"/>
              <w:overflowPunct w:val="0"/>
              <w:autoSpaceDE w:val="0"/>
              <w:autoSpaceDN w:val="0"/>
              <w:adjustRightInd w:val="0"/>
              <w:spacing w:before="165"/>
              <w:ind w:left="171"/>
              <w:jc w:val="center"/>
              <w:rPr>
                <w:rFonts w:hint="eastAsia" w:ascii="宋体" w:hAnsi="宋体" w:eastAsia="宋体" w:cs="宋体"/>
                <w:color w:val="auto"/>
                <w:highlight w:val="none"/>
              </w:rPr>
            </w:pPr>
            <w:r>
              <w:rPr>
                <w:rFonts w:hint="eastAsia" w:ascii="宋体" w:hAnsi="宋体" w:eastAsia="宋体" w:cs="宋体"/>
                <w:color w:val="auto"/>
                <w:highlight w:val="none"/>
              </w:rPr>
              <w:t>招标文件要求</w:t>
            </w:r>
          </w:p>
        </w:tc>
        <w:tc>
          <w:tcPr>
            <w:tcW w:w="2719" w:type="dxa"/>
            <w:tcBorders>
              <w:top w:val="single" w:color="auto" w:sz="4" w:space="0"/>
              <w:left w:val="single" w:color="auto" w:sz="4" w:space="0"/>
              <w:bottom w:val="single" w:color="auto" w:sz="4" w:space="0"/>
              <w:right w:val="single" w:color="auto" w:sz="4" w:space="0"/>
            </w:tcBorders>
            <w:noWrap w:val="0"/>
            <w:vAlign w:val="top"/>
          </w:tcPr>
          <w:p w14:paraId="6FA8E963">
            <w:pPr>
              <w:kinsoku w:val="0"/>
              <w:overflowPunct w:val="0"/>
              <w:autoSpaceDE w:val="0"/>
              <w:autoSpaceDN w:val="0"/>
              <w:adjustRightInd w:val="0"/>
              <w:spacing w:before="165"/>
              <w:ind w:left="171"/>
              <w:jc w:val="center"/>
              <w:rPr>
                <w:rFonts w:hint="eastAsia" w:ascii="宋体" w:hAnsi="宋体" w:eastAsia="宋体" w:cs="宋体"/>
                <w:color w:val="auto"/>
                <w:highlight w:val="none"/>
              </w:rPr>
            </w:pPr>
            <w:r>
              <w:rPr>
                <w:rFonts w:hint="eastAsia" w:ascii="宋体" w:hAnsi="宋体" w:eastAsia="宋体" w:cs="宋体"/>
                <w:color w:val="auto"/>
                <w:highlight w:val="none"/>
              </w:rPr>
              <w:t>供应商响应内容</w:t>
            </w:r>
          </w:p>
        </w:tc>
        <w:tc>
          <w:tcPr>
            <w:tcW w:w="1749" w:type="dxa"/>
            <w:tcBorders>
              <w:top w:val="single" w:color="auto" w:sz="4" w:space="0"/>
              <w:left w:val="single" w:color="auto" w:sz="4" w:space="0"/>
              <w:bottom w:val="single" w:color="auto" w:sz="4" w:space="0"/>
              <w:right w:val="single" w:color="auto" w:sz="4" w:space="0"/>
            </w:tcBorders>
            <w:noWrap w:val="0"/>
            <w:vAlign w:val="top"/>
          </w:tcPr>
          <w:p w14:paraId="08E6966A">
            <w:pPr>
              <w:kinsoku w:val="0"/>
              <w:overflowPunct w:val="0"/>
              <w:autoSpaceDE w:val="0"/>
              <w:autoSpaceDN w:val="0"/>
              <w:adjustRightInd w:val="0"/>
              <w:spacing w:before="165"/>
              <w:ind w:left="206"/>
              <w:jc w:val="center"/>
              <w:rPr>
                <w:rFonts w:hint="eastAsia" w:ascii="宋体" w:hAnsi="宋体" w:eastAsia="宋体" w:cs="宋体"/>
                <w:color w:val="auto"/>
                <w:highlight w:val="none"/>
              </w:rPr>
            </w:pPr>
            <w:r>
              <w:rPr>
                <w:rFonts w:hint="eastAsia" w:ascii="宋体" w:hAnsi="宋体" w:eastAsia="宋体" w:cs="宋体"/>
                <w:color w:val="auto"/>
                <w:highlight w:val="none"/>
              </w:rPr>
              <w:t>偏离说明</w:t>
            </w:r>
          </w:p>
        </w:tc>
      </w:tr>
      <w:tr w14:paraId="1AF32CFD">
        <w:tblPrEx>
          <w:tblCellMar>
            <w:top w:w="0" w:type="dxa"/>
            <w:left w:w="108" w:type="dxa"/>
            <w:bottom w:w="0" w:type="dxa"/>
            <w:right w:w="108" w:type="dxa"/>
          </w:tblCellMar>
        </w:tblPrEx>
        <w:trPr>
          <w:trHeight w:val="486"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14:paraId="26346A95">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6C8A246D">
            <w:pPr>
              <w:kinsoku w:val="0"/>
              <w:overflowPunct w:val="0"/>
              <w:autoSpaceDE w:val="0"/>
              <w:autoSpaceDN w:val="0"/>
              <w:adjustRightInd w:val="0"/>
              <w:rPr>
                <w:rFonts w:hint="eastAsia" w:ascii="宋体" w:hAnsi="宋体" w:eastAsia="宋体" w:cs="宋体"/>
                <w:color w:val="auto"/>
                <w:sz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1EDE6C13">
            <w:pPr>
              <w:kinsoku w:val="0"/>
              <w:overflowPunct w:val="0"/>
              <w:autoSpaceDE w:val="0"/>
              <w:autoSpaceDN w:val="0"/>
              <w:adjustRightInd w:val="0"/>
              <w:rPr>
                <w:rFonts w:hint="eastAsia" w:ascii="宋体" w:hAnsi="宋体" w:eastAsia="宋体" w:cs="宋体"/>
                <w:color w:val="auto"/>
                <w:sz w:val="22"/>
                <w:highlight w:val="none"/>
              </w:rPr>
            </w:pPr>
          </w:p>
        </w:tc>
        <w:tc>
          <w:tcPr>
            <w:tcW w:w="2719" w:type="dxa"/>
            <w:tcBorders>
              <w:top w:val="single" w:color="auto" w:sz="4" w:space="0"/>
              <w:left w:val="single" w:color="auto" w:sz="4" w:space="0"/>
              <w:bottom w:val="single" w:color="auto" w:sz="4" w:space="0"/>
              <w:right w:val="single" w:color="auto" w:sz="4" w:space="0"/>
            </w:tcBorders>
            <w:noWrap w:val="0"/>
            <w:vAlign w:val="top"/>
          </w:tcPr>
          <w:p w14:paraId="46B2ABCA">
            <w:pPr>
              <w:kinsoku w:val="0"/>
              <w:overflowPunct w:val="0"/>
              <w:autoSpaceDE w:val="0"/>
              <w:autoSpaceDN w:val="0"/>
              <w:adjustRightInd w:val="0"/>
              <w:rPr>
                <w:rFonts w:hint="eastAsia" w:ascii="宋体" w:hAnsi="宋体" w:eastAsia="宋体" w:cs="宋体"/>
                <w:color w:val="auto"/>
                <w:sz w:val="22"/>
                <w:highlight w:val="none"/>
              </w:rPr>
            </w:pPr>
          </w:p>
        </w:tc>
        <w:tc>
          <w:tcPr>
            <w:tcW w:w="1749" w:type="dxa"/>
            <w:tcBorders>
              <w:top w:val="single" w:color="auto" w:sz="4" w:space="0"/>
              <w:left w:val="single" w:color="auto" w:sz="4" w:space="0"/>
              <w:bottom w:val="single" w:color="auto" w:sz="4" w:space="0"/>
              <w:right w:val="single" w:color="auto" w:sz="4" w:space="0"/>
            </w:tcBorders>
            <w:noWrap w:val="0"/>
            <w:vAlign w:val="top"/>
          </w:tcPr>
          <w:p w14:paraId="743C080B">
            <w:pPr>
              <w:kinsoku w:val="0"/>
              <w:overflowPunct w:val="0"/>
              <w:autoSpaceDE w:val="0"/>
              <w:autoSpaceDN w:val="0"/>
              <w:adjustRightInd w:val="0"/>
              <w:rPr>
                <w:rFonts w:hint="eastAsia" w:ascii="宋体" w:hAnsi="宋体" w:eastAsia="宋体" w:cs="宋体"/>
                <w:color w:val="auto"/>
                <w:sz w:val="22"/>
                <w:highlight w:val="none"/>
              </w:rPr>
            </w:pPr>
          </w:p>
        </w:tc>
      </w:tr>
      <w:tr w14:paraId="3512DAE5">
        <w:tblPrEx>
          <w:tblCellMar>
            <w:top w:w="0" w:type="dxa"/>
            <w:left w:w="108" w:type="dxa"/>
            <w:bottom w:w="0" w:type="dxa"/>
            <w:right w:w="108" w:type="dxa"/>
          </w:tblCellMar>
        </w:tblPrEx>
        <w:trPr>
          <w:trHeight w:val="486"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14:paraId="3B719794">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2</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54CCB305">
            <w:pPr>
              <w:kinsoku w:val="0"/>
              <w:overflowPunct w:val="0"/>
              <w:autoSpaceDE w:val="0"/>
              <w:autoSpaceDN w:val="0"/>
              <w:adjustRightInd w:val="0"/>
              <w:rPr>
                <w:rFonts w:hint="eastAsia" w:ascii="宋体" w:hAnsi="宋体" w:eastAsia="宋体" w:cs="宋体"/>
                <w:color w:val="auto"/>
                <w:sz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7500880A">
            <w:pPr>
              <w:kinsoku w:val="0"/>
              <w:overflowPunct w:val="0"/>
              <w:autoSpaceDE w:val="0"/>
              <w:autoSpaceDN w:val="0"/>
              <w:adjustRightInd w:val="0"/>
              <w:rPr>
                <w:rFonts w:hint="eastAsia" w:ascii="宋体" w:hAnsi="宋体" w:eastAsia="宋体" w:cs="宋体"/>
                <w:color w:val="auto"/>
                <w:sz w:val="22"/>
                <w:highlight w:val="none"/>
              </w:rPr>
            </w:pPr>
          </w:p>
        </w:tc>
        <w:tc>
          <w:tcPr>
            <w:tcW w:w="2719" w:type="dxa"/>
            <w:tcBorders>
              <w:top w:val="single" w:color="auto" w:sz="4" w:space="0"/>
              <w:left w:val="single" w:color="auto" w:sz="4" w:space="0"/>
              <w:bottom w:val="single" w:color="auto" w:sz="4" w:space="0"/>
              <w:right w:val="single" w:color="auto" w:sz="4" w:space="0"/>
            </w:tcBorders>
            <w:noWrap w:val="0"/>
            <w:vAlign w:val="top"/>
          </w:tcPr>
          <w:p w14:paraId="473B0F24">
            <w:pPr>
              <w:kinsoku w:val="0"/>
              <w:overflowPunct w:val="0"/>
              <w:autoSpaceDE w:val="0"/>
              <w:autoSpaceDN w:val="0"/>
              <w:adjustRightInd w:val="0"/>
              <w:rPr>
                <w:rFonts w:hint="eastAsia" w:ascii="宋体" w:hAnsi="宋体" w:eastAsia="宋体" w:cs="宋体"/>
                <w:color w:val="auto"/>
                <w:sz w:val="22"/>
                <w:highlight w:val="none"/>
              </w:rPr>
            </w:pPr>
          </w:p>
        </w:tc>
        <w:tc>
          <w:tcPr>
            <w:tcW w:w="1749" w:type="dxa"/>
            <w:tcBorders>
              <w:top w:val="single" w:color="auto" w:sz="4" w:space="0"/>
              <w:left w:val="single" w:color="auto" w:sz="4" w:space="0"/>
              <w:bottom w:val="single" w:color="auto" w:sz="4" w:space="0"/>
              <w:right w:val="single" w:color="auto" w:sz="4" w:space="0"/>
            </w:tcBorders>
            <w:noWrap w:val="0"/>
            <w:vAlign w:val="top"/>
          </w:tcPr>
          <w:p w14:paraId="57D8566E">
            <w:pPr>
              <w:kinsoku w:val="0"/>
              <w:overflowPunct w:val="0"/>
              <w:autoSpaceDE w:val="0"/>
              <w:autoSpaceDN w:val="0"/>
              <w:adjustRightInd w:val="0"/>
              <w:rPr>
                <w:rFonts w:hint="eastAsia" w:ascii="宋体" w:hAnsi="宋体" w:eastAsia="宋体" w:cs="宋体"/>
                <w:color w:val="auto"/>
                <w:sz w:val="22"/>
                <w:highlight w:val="none"/>
              </w:rPr>
            </w:pPr>
          </w:p>
        </w:tc>
      </w:tr>
      <w:tr w14:paraId="350CC16A">
        <w:tblPrEx>
          <w:tblCellMar>
            <w:top w:w="0" w:type="dxa"/>
            <w:left w:w="108" w:type="dxa"/>
            <w:bottom w:w="0" w:type="dxa"/>
            <w:right w:w="108" w:type="dxa"/>
          </w:tblCellMar>
        </w:tblPrEx>
        <w:trPr>
          <w:trHeight w:val="486"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14:paraId="09EA688F">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3</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7AA499E9">
            <w:pPr>
              <w:kinsoku w:val="0"/>
              <w:overflowPunct w:val="0"/>
              <w:autoSpaceDE w:val="0"/>
              <w:autoSpaceDN w:val="0"/>
              <w:adjustRightInd w:val="0"/>
              <w:rPr>
                <w:rFonts w:hint="eastAsia" w:ascii="宋体" w:hAnsi="宋体" w:eastAsia="宋体" w:cs="宋体"/>
                <w:color w:val="auto"/>
                <w:sz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6F487081">
            <w:pPr>
              <w:kinsoku w:val="0"/>
              <w:overflowPunct w:val="0"/>
              <w:autoSpaceDE w:val="0"/>
              <w:autoSpaceDN w:val="0"/>
              <w:adjustRightInd w:val="0"/>
              <w:rPr>
                <w:rFonts w:hint="eastAsia" w:ascii="宋体" w:hAnsi="宋体" w:eastAsia="宋体" w:cs="宋体"/>
                <w:color w:val="auto"/>
                <w:sz w:val="22"/>
                <w:highlight w:val="none"/>
              </w:rPr>
            </w:pPr>
          </w:p>
        </w:tc>
        <w:tc>
          <w:tcPr>
            <w:tcW w:w="2719" w:type="dxa"/>
            <w:tcBorders>
              <w:top w:val="single" w:color="auto" w:sz="4" w:space="0"/>
              <w:left w:val="single" w:color="auto" w:sz="4" w:space="0"/>
              <w:bottom w:val="single" w:color="auto" w:sz="4" w:space="0"/>
              <w:right w:val="single" w:color="auto" w:sz="4" w:space="0"/>
            </w:tcBorders>
            <w:noWrap w:val="0"/>
            <w:vAlign w:val="top"/>
          </w:tcPr>
          <w:p w14:paraId="7C1FE2E9">
            <w:pPr>
              <w:kinsoku w:val="0"/>
              <w:overflowPunct w:val="0"/>
              <w:autoSpaceDE w:val="0"/>
              <w:autoSpaceDN w:val="0"/>
              <w:adjustRightInd w:val="0"/>
              <w:rPr>
                <w:rFonts w:hint="eastAsia" w:ascii="宋体" w:hAnsi="宋体" w:eastAsia="宋体" w:cs="宋体"/>
                <w:color w:val="auto"/>
                <w:sz w:val="22"/>
                <w:highlight w:val="none"/>
              </w:rPr>
            </w:pPr>
          </w:p>
        </w:tc>
        <w:tc>
          <w:tcPr>
            <w:tcW w:w="1749" w:type="dxa"/>
            <w:tcBorders>
              <w:top w:val="single" w:color="auto" w:sz="4" w:space="0"/>
              <w:left w:val="single" w:color="auto" w:sz="4" w:space="0"/>
              <w:bottom w:val="single" w:color="auto" w:sz="4" w:space="0"/>
              <w:right w:val="single" w:color="auto" w:sz="4" w:space="0"/>
            </w:tcBorders>
            <w:noWrap w:val="0"/>
            <w:vAlign w:val="top"/>
          </w:tcPr>
          <w:p w14:paraId="5FF9CE71">
            <w:pPr>
              <w:kinsoku w:val="0"/>
              <w:overflowPunct w:val="0"/>
              <w:autoSpaceDE w:val="0"/>
              <w:autoSpaceDN w:val="0"/>
              <w:adjustRightInd w:val="0"/>
              <w:rPr>
                <w:rFonts w:hint="eastAsia" w:ascii="宋体" w:hAnsi="宋体" w:eastAsia="宋体" w:cs="宋体"/>
                <w:color w:val="auto"/>
                <w:sz w:val="22"/>
                <w:highlight w:val="none"/>
              </w:rPr>
            </w:pPr>
          </w:p>
        </w:tc>
      </w:tr>
      <w:tr w14:paraId="26EC19CB">
        <w:tblPrEx>
          <w:tblCellMar>
            <w:top w:w="0" w:type="dxa"/>
            <w:left w:w="108" w:type="dxa"/>
            <w:bottom w:w="0" w:type="dxa"/>
            <w:right w:w="108" w:type="dxa"/>
          </w:tblCellMar>
        </w:tblPrEx>
        <w:trPr>
          <w:trHeight w:val="486"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14:paraId="1BDB3EFA">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4</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4612CFA2">
            <w:pPr>
              <w:kinsoku w:val="0"/>
              <w:overflowPunct w:val="0"/>
              <w:autoSpaceDE w:val="0"/>
              <w:autoSpaceDN w:val="0"/>
              <w:adjustRightInd w:val="0"/>
              <w:rPr>
                <w:rFonts w:hint="eastAsia" w:ascii="宋体" w:hAnsi="宋体" w:eastAsia="宋体" w:cs="宋体"/>
                <w:color w:val="auto"/>
                <w:sz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48A56480">
            <w:pPr>
              <w:kinsoku w:val="0"/>
              <w:overflowPunct w:val="0"/>
              <w:autoSpaceDE w:val="0"/>
              <w:autoSpaceDN w:val="0"/>
              <w:adjustRightInd w:val="0"/>
              <w:rPr>
                <w:rFonts w:hint="eastAsia" w:ascii="宋体" w:hAnsi="宋体" w:eastAsia="宋体" w:cs="宋体"/>
                <w:color w:val="auto"/>
                <w:sz w:val="22"/>
                <w:highlight w:val="none"/>
              </w:rPr>
            </w:pPr>
          </w:p>
        </w:tc>
        <w:tc>
          <w:tcPr>
            <w:tcW w:w="2719" w:type="dxa"/>
            <w:tcBorders>
              <w:top w:val="single" w:color="auto" w:sz="4" w:space="0"/>
              <w:left w:val="single" w:color="auto" w:sz="4" w:space="0"/>
              <w:bottom w:val="single" w:color="auto" w:sz="4" w:space="0"/>
              <w:right w:val="single" w:color="auto" w:sz="4" w:space="0"/>
            </w:tcBorders>
            <w:noWrap w:val="0"/>
            <w:vAlign w:val="top"/>
          </w:tcPr>
          <w:p w14:paraId="46E2EA29">
            <w:pPr>
              <w:kinsoku w:val="0"/>
              <w:overflowPunct w:val="0"/>
              <w:autoSpaceDE w:val="0"/>
              <w:autoSpaceDN w:val="0"/>
              <w:adjustRightInd w:val="0"/>
              <w:rPr>
                <w:rFonts w:hint="eastAsia" w:ascii="宋体" w:hAnsi="宋体" w:eastAsia="宋体" w:cs="宋体"/>
                <w:color w:val="auto"/>
                <w:sz w:val="22"/>
                <w:highlight w:val="none"/>
              </w:rPr>
            </w:pPr>
          </w:p>
        </w:tc>
        <w:tc>
          <w:tcPr>
            <w:tcW w:w="1749" w:type="dxa"/>
            <w:tcBorders>
              <w:top w:val="single" w:color="auto" w:sz="4" w:space="0"/>
              <w:left w:val="single" w:color="auto" w:sz="4" w:space="0"/>
              <w:bottom w:val="single" w:color="auto" w:sz="4" w:space="0"/>
              <w:right w:val="single" w:color="auto" w:sz="4" w:space="0"/>
            </w:tcBorders>
            <w:noWrap w:val="0"/>
            <w:vAlign w:val="top"/>
          </w:tcPr>
          <w:p w14:paraId="55C07FE5">
            <w:pPr>
              <w:kinsoku w:val="0"/>
              <w:overflowPunct w:val="0"/>
              <w:autoSpaceDE w:val="0"/>
              <w:autoSpaceDN w:val="0"/>
              <w:adjustRightInd w:val="0"/>
              <w:rPr>
                <w:rFonts w:hint="eastAsia" w:ascii="宋体" w:hAnsi="宋体" w:eastAsia="宋体" w:cs="宋体"/>
                <w:color w:val="auto"/>
                <w:sz w:val="22"/>
                <w:highlight w:val="none"/>
              </w:rPr>
            </w:pPr>
          </w:p>
        </w:tc>
      </w:tr>
      <w:tr w14:paraId="2E39D66B">
        <w:tblPrEx>
          <w:tblCellMar>
            <w:top w:w="0" w:type="dxa"/>
            <w:left w:w="108" w:type="dxa"/>
            <w:bottom w:w="0" w:type="dxa"/>
            <w:right w:w="108" w:type="dxa"/>
          </w:tblCellMar>
        </w:tblPrEx>
        <w:trPr>
          <w:trHeight w:val="486"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14:paraId="0868A848">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5</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291F6140">
            <w:pPr>
              <w:kinsoku w:val="0"/>
              <w:overflowPunct w:val="0"/>
              <w:autoSpaceDE w:val="0"/>
              <w:autoSpaceDN w:val="0"/>
              <w:adjustRightInd w:val="0"/>
              <w:rPr>
                <w:rFonts w:hint="eastAsia" w:ascii="宋体" w:hAnsi="宋体" w:eastAsia="宋体" w:cs="宋体"/>
                <w:color w:val="auto"/>
                <w:sz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21C0DB30">
            <w:pPr>
              <w:kinsoku w:val="0"/>
              <w:overflowPunct w:val="0"/>
              <w:autoSpaceDE w:val="0"/>
              <w:autoSpaceDN w:val="0"/>
              <w:adjustRightInd w:val="0"/>
              <w:rPr>
                <w:rFonts w:hint="eastAsia" w:ascii="宋体" w:hAnsi="宋体" w:eastAsia="宋体" w:cs="宋体"/>
                <w:color w:val="auto"/>
                <w:sz w:val="22"/>
                <w:highlight w:val="none"/>
              </w:rPr>
            </w:pPr>
          </w:p>
        </w:tc>
        <w:tc>
          <w:tcPr>
            <w:tcW w:w="2719" w:type="dxa"/>
            <w:tcBorders>
              <w:top w:val="single" w:color="auto" w:sz="4" w:space="0"/>
              <w:left w:val="single" w:color="auto" w:sz="4" w:space="0"/>
              <w:bottom w:val="single" w:color="auto" w:sz="4" w:space="0"/>
              <w:right w:val="single" w:color="auto" w:sz="4" w:space="0"/>
            </w:tcBorders>
            <w:noWrap w:val="0"/>
            <w:vAlign w:val="top"/>
          </w:tcPr>
          <w:p w14:paraId="28315F9C">
            <w:pPr>
              <w:kinsoku w:val="0"/>
              <w:overflowPunct w:val="0"/>
              <w:autoSpaceDE w:val="0"/>
              <w:autoSpaceDN w:val="0"/>
              <w:adjustRightInd w:val="0"/>
              <w:rPr>
                <w:rFonts w:hint="eastAsia" w:ascii="宋体" w:hAnsi="宋体" w:eastAsia="宋体" w:cs="宋体"/>
                <w:color w:val="auto"/>
                <w:sz w:val="22"/>
                <w:highlight w:val="none"/>
              </w:rPr>
            </w:pPr>
          </w:p>
        </w:tc>
        <w:tc>
          <w:tcPr>
            <w:tcW w:w="1749" w:type="dxa"/>
            <w:tcBorders>
              <w:top w:val="single" w:color="auto" w:sz="4" w:space="0"/>
              <w:left w:val="single" w:color="auto" w:sz="4" w:space="0"/>
              <w:bottom w:val="single" w:color="auto" w:sz="4" w:space="0"/>
              <w:right w:val="single" w:color="auto" w:sz="4" w:space="0"/>
            </w:tcBorders>
            <w:noWrap w:val="0"/>
            <w:vAlign w:val="top"/>
          </w:tcPr>
          <w:p w14:paraId="59B5CEAB">
            <w:pPr>
              <w:kinsoku w:val="0"/>
              <w:overflowPunct w:val="0"/>
              <w:autoSpaceDE w:val="0"/>
              <w:autoSpaceDN w:val="0"/>
              <w:adjustRightInd w:val="0"/>
              <w:rPr>
                <w:rFonts w:hint="eastAsia" w:ascii="宋体" w:hAnsi="宋体" w:eastAsia="宋体" w:cs="宋体"/>
                <w:color w:val="auto"/>
                <w:sz w:val="22"/>
                <w:highlight w:val="none"/>
              </w:rPr>
            </w:pPr>
          </w:p>
        </w:tc>
      </w:tr>
      <w:tr w14:paraId="657ECADE">
        <w:tblPrEx>
          <w:tblCellMar>
            <w:top w:w="0" w:type="dxa"/>
            <w:left w:w="108" w:type="dxa"/>
            <w:bottom w:w="0" w:type="dxa"/>
            <w:right w:w="108" w:type="dxa"/>
          </w:tblCellMar>
        </w:tblPrEx>
        <w:trPr>
          <w:trHeight w:val="486"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14:paraId="741AEFA2">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6</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05E06681">
            <w:pPr>
              <w:kinsoku w:val="0"/>
              <w:overflowPunct w:val="0"/>
              <w:autoSpaceDE w:val="0"/>
              <w:autoSpaceDN w:val="0"/>
              <w:adjustRightInd w:val="0"/>
              <w:rPr>
                <w:rFonts w:hint="eastAsia" w:ascii="宋体" w:hAnsi="宋体" w:eastAsia="宋体" w:cs="宋体"/>
                <w:color w:val="auto"/>
                <w:sz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41D9A332">
            <w:pPr>
              <w:kinsoku w:val="0"/>
              <w:overflowPunct w:val="0"/>
              <w:autoSpaceDE w:val="0"/>
              <w:autoSpaceDN w:val="0"/>
              <w:adjustRightInd w:val="0"/>
              <w:rPr>
                <w:rFonts w:hint="eastAsia" w:ascii="宋体" w:hAnsi="宋体" w:eastAsia="宋体" w:cs="宋体"/>
                <w:color w:val="auto"/>
                <w:sz w:val="22"/>
                <w:highlight w:val="none"/>
              </w:rPr>
            </w:pPr>
          </w:p>
        </w:tc>
        <w:tc>
          <w:tcPr>
            <w:tcW w:w="2719" w:type="dxa"/>
            <w:tcBorders>
              <w:top w:val="single" w:color="auto" w:sz="4" w:space="0"/>
              <w:left w:val="single" w:color="auto" w:sz="4" w:space="0"/>
              <w:bottom w:val="single" w:color="auto" w:sz="4" w:space="0"/>
              <w:right w:val="single" w:color="auto" w:sz="4" w:space="0"/>
            </w:tcBorders>
            <w:noWrap w:val="0"/>
            <w:vAlign w:val="top"/>
          </w:tcPr>
          <w:p w14:paraId="14771F60">
            <w:pPr>
              <w:kinsoku w:val="0"/>
              <w:overflowPunct w:val="0"/>
              <w:autoSpaceDE w:val="0"/>
              <w:autoSpaceDN w:val="0"/>
              <w:adjustRightInd w:val="0"/>
              <w:rPr>
                <w:rFonts w:hint="eastAsia" w:ascii="宋体" w:hAnsi="宋体" w:eastAsia="宋体" w:cs="宋体"/>
                <w:color w:val="auto"/>
                <w:sz w:val="22"/>
                <w:highlight w:val="none"/>
              </w:rPr>
            </w:pPr>
          </w:p>
        </w:tc>
        <w:tc>
          <w:tcPr>
            <w:tcW w:w="1749" w:type="dxa"/>
            <w:tcBorders>
              <w:top w:val="single" w:color="auto" w:sz="4" w:space="0"/>
              <w:left w:val="single" w:color="auto" w:sz="4" w:space="0"/>
              <w:bottom w:val="single" w:color="auto" w:sz="4" w:space="0"/>
              <w:right w:val="single" w:color="auto" w:sz="4" w:space="0"/>
            </w:tcBorders>
            <w:noWrap w:val="0"/>
            <w:vAlign w:val="top"/>
          </w:tcPr>
          <w:p w14:paraId="5C591F58">
            <w:pPr>
              <w:kinsoku w:val="0"/>
              <w:overflowPunct w:val="0"/>
              <w:autoSpaceDE w:val="0"/>
              <w:autoSpaceDN w:val="0"/>
              <w:adjustRightInd w:val="0"/>
              <w:rPr>
                <w:rFonts w:hint="eastAsia" w:ascii="宋体" w:hAnsi="宋体" w:eastAsia="宋体" w:cs="宋体"/>
                <w:color w:val="auto"/>
                <w:sz w:val="22"/>
                <w:highlight w:val="none"/>
              </w:rPr>
            </w:pPr>
          </w:p>
        </w:tc>
      </w:tr>
      <w:tr w14:paraId="6F4E83B9">
        <w:tblPrEx>
          <w:tblCellMar>
            <w:top w:w="0" w:type="dxa"/>
            <w:left w:w="108" w:type="dxa"/>
            <w:bottom w:w="0" w:type="dxa"/>
            <w:right w:w="108" w:type="dxa"/>
          </w:tblCellMar>
        </w:tblPrEx>
        <w:trPr>
          <w:trHeight w:val="507"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14:paraId="27ACFF84">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14DFF178">
            <w:pPr>
              <w:kinsoku w:val="0"/>
              <w:overflowPunct w:val="0"/>
              <w:autoSpaceDE w:val="0"/>
              <w:autoSpaceDN w:val="0"/>
              <w:adjustRightInd w:val="0"/>
              <w:rPr>
                <w:rFonts w:hint="eastAsia" w:ascii="宋体" w:hAnsi="宋体" w:eastAsia="宋体" w:cs="宋体"/>
                <w:color w:val="auto"/>
                <w:sz w:val="22"/>
                <w:highlight w:val="none"/>
              </w:rPr>
            </w:pPr>
          </w:p>
        </w:tc>
        <w:tc>
          <w:tcPr>
            <w:tcW w:w="2052" w:type="dxa"/>
            <w:tcBorders>
              <w:top w:val="single" w:color="auto" w:sz="4" w:space="0"/>
              <w:left w:val="single" w:color="auto" w:sz="4" w:space="0"/>
              <w:bottom w:val="single" w:color="auto" w:sz="4" w:space="0"/>
              <w:right w:val="single" w:color="auto" w:sz="4" w:space="0"/>
            </w:tcBorders>
            <w:noWrap w:val="0"/>
            <w:vAlign w:val="top"/>
          </w:tcPr>
          <w:p w14:paraId="3BC1C459">
            <w:pPr>
              <w:kinsoku w:val="0"/>
              <w:overflowPunct w:val="0"/>
              <w:autoSpaceDE w:val="0"/>
              <w:autoSpaceDN w:val="0"/>
              <w:adjustRightInd w:val="0"/>
              <w:rPr>
                <w:rFonts w:hint="eastAsia" w:ascii="宋体" w:hAnsi="宋体" w:eastAsia="宋体" w:cs="宋体"/>
                <w:color w:val="auto"/>
                <w:sz w:val="22"/>
                <w:highlight w:val="none"/>
              </w:rPr>
            </w:pPr>
          </w:p>
        </w:tc>
        <w:tc>
          <w:tcPr>
            <w:tcW w:w="2719" w:type="dxa"/>
            <w:tcBorders>
              <w:top w:val="single" w:color="auto" w:sz="4" w:space="0"/>
              <w:left w:val="single" w:color="auto" w:sz="4" w:space="0"/>
              <w:bottom w:val="single" w:color="auto" w:sz="4" w:space="0"/>
              <w:right w:val="single" w:color="auto" w:sz="4" w:space="0"/>
            </w:tcBorders>
            <w:noWrap w:val="0"/>
            <w:vAlign w:val="top"/>
          </w:tcPr>
          <w:p w14:paraId="4042047E">
            <w:pPr>
              <w:kinsoku w:val="0"/>
              <w:overflowPunct w:val="0"/>
              <w:autoSpaceDE w:val="0"/>
              <w:autoSpaceDN w:val="0"/>
              <w:adjustRightInd w:val="0"/>
              <w:rPr>
                <w:rFonts w:hint="eastAsia" w:ascii="宋体" w:hAnsi="宋体" w:eastAsia="宋体" w:cs="宋体"/>
                <w:color w:val="auto"/>
                <w:sz w:val="22"/>
                <w:highlight w:val="none"/>
              </w:rPr>
            </w:pPr>
          </w:p>
        </w:tc>
        <w:tc>
          <w:tcPr>
            <w:tcW w:w="1749" w:type="dxa"/>
            <w:tcBorders>
              <w:top w:val="single" w:color="auto" w:sz="4" w:space="0"/>
              <w:left w:val="single" w:color="auto" w:sz="4" w:space="0"/>
              <w:bottom w:val="single" w:color="auto" w:sz="4" w:space="0"/>
              <w:right w:val="single" w:color="auto" w:sz="4" w:space="0"/>
            </w:tcBorders>
            <w:noWrap w:val="0"/>
            <w:vAlign w:val="top"/>
          </w:tcPr>
          <w:p w14:paraId="2574F736">
            <w:pPr>
              <w:kinsoku w:val="0"/>
              <w:overflowPunct w:val="0"/>
              <w:autoSpaceDE w:val="0"/>
              <w:autoSpaceDN w:val="0"/>
              <w:adjustRightInd w:val="0"/>
              <w:rPr>
                <w:rFonts w:hint="eastAsia" w:ascii="宋体" w:hAnsi="宋体" w:eastAsia="宋体" w:cs="宋体"/>
                <w:color w:val="auto"/>
                <w:sz w:val="22"/>
                <w:highlight w:val="none"/>
              </w:rPr>
            </w:pPr>
          </w:p>
        </w:tc>
      </w:tr>
    </w:tbl>
    <w:p w14:paraId="61967C71">
      <w:pPr>
        <w:kinsoku w:val="0"/>
        <w:overflowPunct w:val="0"/>
        <w:autoSpaceDE w:val="0"/>
        <w:autoSpaceDN w:val="0"/>
        <w:adjustRightInd w:val="0"/>
        <w:rPr>
          <w:rFonts w:hint="eastAsia" w:ascii="宋体" w:hAnsi="宋体" w:eastAsia="宋体" w:cs="宋体"/>
          <w:color w:val="auto"/>
          <w:highlight w:val="none"/>
        </w:rPr>
      </w:pPr>
    </w:p>
    <w:p w14:paraId="14D27ECC">
      <w:pPr>
        <w:widowControl w:val="0"/>
        <w:spacing w:after="120" w:afterLines="0"/>
        <w:jc w:val="both"/>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注：供应商需对招标文件商务要求进行逐条响应，“偏离情况”一栏应如实填写“正偏离”、或“无偏离”</w:t>
      </w:r>
      <w:r>
        <w:rPr>
          <w:rFonts w:hint="eastAsia" w:hAnsi="宋体" w:cs="宋体"/>
          <w:color w:val="auto"/>
          <w:kern w:val="2"/>
          <w:sz w:val="24"/>
          <w:szCs w:val="22"/>
          <w:highlight w:val="none"/>
          <w:lang w:val="en-US" w:eastAsia="zh-CN" w:bidi="ar-SA"/>
        </w:rPr>
        <w:t>，出现负偏离将会被视为无效投标</w:t>
      </w:r>
      <w:r>
        <w:rPr>
          <w:rFonts w:hint="eastAsia" w:ascii="宋体" w:hAnsi="宋体" w:eastAsia="宋体" w:cs="宋体"/>
          <w:color w:val="auto"/>
          <w:kern w:val="2"/>
          <w:sz w:val="24"/>
          <w:szCs w:val="22"/>
          <w:highlight w:val="none"/>
          <w:lang w:val="en-US" w:eastAsia="zh-CN" w:bidi="ar-SA"/>
        </w:rPr>
        <w:t>。</w:t>
      </w:r>
    </w:p>
    <w:p w14:paraId="09A2ACFB">
      <w:pPr>
        <w:pStyle w:val="2"/>
        <w:rPr>
          <w:rFonts w:hint="eastAsia" w:ascii="宋体" w:hAnsi="宋体" w:eastAsia="宋体" w:cs="宋体"/>
          <w:color w:val="auto"/>
          <w:sz w:val="24"/>
          <w:highlight w:val="none"/>
        </w:rPr>
      </w:pPr>
    </w:p>
    <w:p w14:paraId="2A50D384">
      <w:pPr>
        <w:pStyle w:val="16"/>
        <w:ind w:left="480"/>
        <w:rPr>
          <w:rFonts w:hint="eastAsia" w:ascii="宋体" w:hAnsi="宋体" w:eastAsia="宋体" w:cs="宋体"/>
          <w:color w:val="auto"/>
          <w:highlight w:val="none"/>
        </w:rPr>
      </w:pPr>
    </w:p>
    <w:p w14:paraId="71F8C1DA">
      <w:pPr>
        <w:rPr>
          <w:rFonts w:hint="eastAsia" w:ascii="宋体" w:hAnsi="宋体" w:eastAsia="宋体" w:cs="宋体"/>
          <w:color w:val="auto"/>
          <w:highlight w:val="none"/>
        </w:rPr>
      </w:pPr>
    </w:p>
    <w:p w14:paraId="4863745C">
      <w:pPr>
        <w:kinsoku w:val="0"/>
        <w:overflowPunct w:val="0"/>
        <w:autoSpaceDE w:val="0"/>
        <w:autoSpaceDN w:val="0"/>
        <w:adjustRightInd w:val="0"/>
        <w:rPr>
          <w:rFonts w:hint="eastAsia" w:ascii="宋体" w:hAnsi="宋体" w:eastAsia="宋体" w:cs="宋体"/>
          <w:color w:val="auto"/>
          <w:highlight w:val="none"/>
        </w:rPr>
      </w:pPr>
    </w:p>
    <w:p w14:paraId="50C44EAB">
      <w:pPr>
        <w:kinsoku w:val="0"/>
        <w:overflowPunct w:val="0"/>
        <w:autoSpaceDE w:val="0"/>
        <w:autoSpaceDN w:val="0"/>
        <w:adjustRightInd w:val="0"/>
        <w:rPr>
          <w:rFonts w:hint="eastAsia" w:ascii="宋体" w:hAnsi="宋体" w:eastAsia="宋体" w:cs="宋体"/>
          <w:color w:val="auto"/>
          <w:highlight w:val="none"/>
        </w:rPr>
      </w:pPr>
    </w:p>
    <w:p w14:paraId="0D357A64">
      <w:pPr>
        <w:kinsoku w:val="0"/>
        <w:overflowPunct w:val="0"/>
        <w:autoSpaceDE w:val="0"/>
        <w:autoSpaceDN w:val="0"/>
        <w:adjustRightInd w:val="0"/>
        <w:rPr>
          <w:rFonts w:hint="eastAsia" w:ascii="宋体" w:hAnsi="宋体" w:eastAsia="宋体" w:cs="宋体"/>
          <w:color w:val="auto"/>
          <w:highlight w:val="none"/>
        </w:rPr>
      </w:pPr>
    </w:p>
    <w:p w14:paraId="29F28F9B">
      <w:pPr>
        <w:kinsoku w:val="0"/>
        <w:overflowPunct w:val="0"/>
        <w:autoSpaceDE w:val="0"/>
        <w:autoSpaceDN w:val="0"/>
        <w:adjustRightInd w:val="0"/>
        <w:rPr>
          <w:rFonts w:hint="eastAsia" w:ascii="宋体" w:hAnsi="宋体" w:eastAsia="宋体" w:cs="宋体"/>
          <w:color w:val="auto"/>
          <w:highlight w:val="none"/>
        </w:rPr>
      </w:pPr>
    </w:p>
    <w:p w14:paraId="04189149">
      <w:pPr>
        <w:tabs>
          <w:tab w:val="left" w:pos="8125"/>
        </w:tabs>
        <w:kinsoku w:val="0"/>
        <w:overflowPunct w:val="0"/>
        <w:autoSpaceDE w:val="0"/>
        <w:autoSpaceDN w:val="0"/>
        <w:adjustRightInd w:val="0"/>
        <w:spacing w:before="176"/>
        <w:ind w:left="1920" w:leftChars="800"/>
        <w:jc w:val="left"/>
        <w:rPr>
          <w:rFonts w:hint="eastAsia" w:ascii="宋体" w:hAnsi="宋体" w:eastAsia="宋体" w:cs="宋体"/>
          <w:color w:val="auto"/>
          <w:highlight w:val="none"/>
          <w:lang w:val="en-US" w:eastAsia="zh-CN"/>
        </w:rPr>
      </w:pPr>
      <w:r>
        <w:rPr>
          <w:rFonts w:hint="eastAsia" w:ascii="宋体" w:hAnsi="宋体" w:eastAsia="宋体" w:cs="宋体"/>
          <w:color w:val="auto"/>
          <w:spacing w:val="-1"/>
          <w:highlight w:val="none"/>
        </w:rPr>
        <w:t>供应商</w:t>
      </w:r>
      <w:r>
        <w:rPr>
          <w:rFonts w:hint="eastAsia" w:ascii="宋体" w:hAnsi="宋体" w:eastAsia="宋体" w:cs="宋体"/>
          <w:color w:val="auto"/>
          <w:highlight w:val="none"/>
        </w:rPr>
        <w:t>（单位公章）：</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lang w:val="en-US" w:eastAsia="zh-CN"/>
        </w:rPr>
        <w:t xml:space="preserve">                                </w:t>
      </w:r>
    </w:p>
    <w:p w14:paraId="78E9CD08">
      <w:pPr>
        <w:kinsoku w:val="0"/>
        <w:overflowPunct w:val="0"/>
        <w:autoSpaceDE w:val="0"/>
        <w:autoSpaceDN w:val="0"/>
        <w:adjustRightInd w:val="0"/>
        <w:ind w:left="1920" w:leftChars="800"/>
        <w:jc w:val="left"/>
        <w:rPr>
          <w:rFonts w:hint="eastAsia" w:ascii="宋体" w:hAnsi="宋体" w:eastAsia="宋体" w:cs="宋体"/>
          <w:color w:val="auto"/>
          <w:sz w:val="20"/>
          <w:highlight w:val="none"/>
        </w:rPr>
      </w:pPr>
    </w:p>
    <w:p w14:paraId="1B460CF6">
      <w:pPr>
        <w:kinsoku w:val="0"/>
        <w:overflowPunct w:val="0"/>
        <w:autoSpaceDE w:val="0"/>
        <w:autoSpaceDN w:val="0"/>
        <w:adjustRightInd w:val="0"/>
        <w:ind w:left="1920" w:leftChars="800"/>
        <w:jc w:val="left"/>
        <w:rPr>
          <w:rFonts w:hint="eastAsia" w:ascii="宋体" w:hAnsi="宋体" w:eastAsia="宋体" w:cs="宋体"/>
          <w:color w:val="auto"/>
          <w:sz w:val="20"/>
          <w:highlight w:val="none"/>
        </w:rPr>
      </w:pPr>
    </w:p>
    <w:p w14:paraId="37BFA812">
      <w:pPr>
        <w:tabs>
          <w:tab w:val="left" w:pos="9179"/>
        </w:tabs>
        <w:kinsoku w:val="0"/>
        <w:overflowPunct w:val="0"/>
        <w:autoSpaceDE w:val="0"/>
        <w:autoSpaceDN w:val="0"/>
        <w:adjustRightInd w:val="0"/>
        <w:spacing w:before="214"/>
        <w:ind w:left="1920" w:leftChars="800"/>
        <w:jc w:val="left"/>
        <w:rPr>
          <w:rFonts w:hint="eastAsia" w:ascii="宋体" w:hAnsi="宋体" w:eastAsia="宋体" w:cs="宋体"/>
          <w:color w:val="auto"/>
          <w:highlight w:val="none"/>
          <w:lang w:val="en-US" w:eastAsia="zh-CN"/>
        </w:rPr>
      </w:pPr>
      <w:r>
        <w:rPr>
          <w:rFonts w:hint="eastAsia" w:ascii="宋体" w:hAnsi="宋体" w:eastAsia="宋体" w:cs="宋体"/>
          <w:color w:val="auto"/>
          <w:spacing w:val="-1"/>
          <w:highlight w:val="none"/>
        </w:rPr>
        <w:t>法</w:t>
      </w:r>
      <w:r>
        <w:rPr>
          <w:rFonts w:hint="eastAsia" w:ascii="宋体" w:hAnsi="宋体" w:eastAsia="宋体" w:cs="宋体"/>
          <w:color w:val="auto"/>
          <w:highlight w:val="none"/>
        </w:rPr>
        <w:t>定代表人或其授权委托人（签字或盖章）：</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lang w:val="en-US" w:eastAsia="zh-CN"/>
        </w:rPr>
        <w:t xml:space="preserve">         </w:t>
      </w:r>
    </w:p>
    <w:p w14:paraId="1624FC70">
      <w:pPr>
        <w:kinsoku w:val="0"/>
        <w:overflowPunct w:val="0"/>
        <w:autoSpaceDE w:val="0"/>
        <w:autoSpaceDN w:val="0"/>
        <w:adjustRightInd w:val="0"/>
        <w:rPr>
          <w:rFonts w:hint="eastAsia" w:ascii="宋体" w:hAnsi="宋体" w:eastAsia="宋体" w:cs="宋体"/>
          <w:color w:val="auto"/>
          <w:sz w:val="20"/>
          <w:highlight w:val="none"/>
        </w:rPr>
      </w:pPr>
    </w:p>
    <w:p w14:paraId="496432A1">
      <w:pPr>
        <w:kinsoku w:val="0"/>
        <w:overflowPunct w:val="0"/>
        <w:autoSpaceDE w:val="0"/>
        <w:autoSpaceDN w:val="0"/>
        <w:adjustRightInd w:val="0"/>
        <w:spacing w:before="10"/>
        <w:rPr>
          <w:rFonts w:hint="eastAsia" w:ascii="宋体" w:hAnsi="宋体" w:eastAsia="宋体" w:cs="宋体"/>
          <w:color w:val="auto"/>
          <w:sz w:val="22"/>
          <w:highlight w:val="none"/>
        </w:rPr>
      </w:pPr>
    </w:p>
    <w:p w14:paraId="7EFEF898">
      <w:pPr>
        <w:tabs>
          <w:tab w:val="left" w:pos="1626"/>
          <w:tab w:val="left" w:pos="2586"/>
          <w:tab w:val="left" w:pos="3426"/>
        </w:tabs>
        <w:kinsoku w:val="0"/>
        <w:overflowPunct w:val="0"/>
        <w:autoSpaceDE w:val="0"/>
        <w:autoSpaceDN w:val="0"/>
        <w:adjustRightInd w:val="0"/>
        <w:spacing w:before="66"/>
        <w:ind w:left="66"/>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日期：</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rPr>
        <w:t>日</w:t>
      </w:r>
    </w:p>
    <w:p w14:paraId="353A9D64">
      <w:pPr>
        <w:numPr>
          <w:ilvl w:val="0"/>
          <w:numId w:val="0"/>
        </w:numPr>
        <w:tabs>
          <w:tab w:val="left" w:pos="1626"/>
          <w:tab w:val="left" w:pos="2586"/>
          <w:tab w:val="left" w:pos="3426"/>
        </w:tabs>
        <w:kinsoku w:val="0"/>
        <w:overflowPunct w:val="0"/>
        <w:spacing w:before="66"/>
        <w:ind w:left="66" w:leftChars="0"/>
        <w:jc w:val="center"/>
        <w:rPr>
          <w:rFonts w:hint="eastAsia" w:ascii="宋体" w:hAnsi="宋体" w:eastAsia="宋体" w:cs="宋体"/>
          <w:b/>
          <w:bCs/>
          <w:color w:val="auto"/>
          <w:kern w:val="2"/>
          <w:sz w:val="44"/>
          <w:szCs w:val="44"/>
          <w:lang w:val="en-US" w:eastAsia="zh-CN" w:bidi="ar-SA"/>
        </w:rPr>
      </w:pPr>
    </w:p>
    <w:p w14:paraId="6B1F088F">
      <w:pPr>
        <w:numPr>
          <w:ilvl w:val="0"/>
          <w:numId w:val="0"/>
        </w:numPr>
        <w:tabs>
          <w:tab w:val="left" w:pos="1626"/>
          <w:tab w:val="left" w:pos="2586"/>
          <w:tab w:val="left" w:pos="3426"/>
        </w:tabs>
        <w:kinsoku w:val="0"/>
        <w:overflowPunct w:val="0"/>
        <w:spacing w:before="66"/>
        <w:ind w:left="66" w:leftChars="0"/>
        <w:jc w:val="center"/>
        <w:rPr>
          <w:rFonts w:hint="eastAsia" w:ascii="宋体" w:hAnsi="宋体" w:eastAsia="宋体" w:cs="宋体"/>
          <w:b/>
          <w:bCs/>
          <w:color w:val="auto"/>
          <w:kern w:val="2"/>
          <w:sz w:val="44"/>
          <w:szCs w:val="44"/>
          <w:highlight w:val="none"/>
        </w:rPr>
      </w:pPr>
      <w:r>
        <w:rPr>
          <w:rFonts w:hint="eastAsia" w:ascii="宋体" w:hAnsi="宋体" w:eastAsia="宋体" w:cs="宋体"/>
          <w:b/>
          <w:bCs/>
          <w:color w:val="auto"/>
          <w:kern w:val="2"/>
          <w:sz w:val="32"/>
          <w:szCs w:val="32"/>
          <w:highlight w:val="none"/>
          <w:lang w:val="en-US" w:eastAsia="zh-CN"/>
        </w:rPr>
        <w:t>（2）</w:t>
      </w:r>
      <w:r>
        <w:rPr>
          <w:rFonts w:hint="eastAsia" w:ascii="宋体" w:hAnsi="宋体" w:eastAsia="宋体" w:cs="宋体"/>
          <w:b/>
          <w:bCs/>
          <w:color w:val="auto"/>
          <w:kern w:val="2"/>
          <w:sz w:val="32"/>
          <w:szCs w:val="32"/>
          <w:highlight w:val="none"/>
        </w:rPr>
        <w:t>技术响应偏离表</w:t>
      </w:r>
    </w:p>
    <w:p w14:paraId="37D734C5">
      <w:pPr>
        <w:pStyle w:val="2"/>
        <w:rPr>
          <w:rFonts w:hint="eastAsia" w:ascii="宋体" w:hAnsi="宋体" w:eastAsia="宋体" w:cs="宋体"/>
          <w:color w:val="auto"/>
          <w:highlight w:val="none"/>
        </w:rPr>
      </w:pPr>
    </w:p>
    <w:tbl>
      <w:tblPr>
        <w:tblStyle w:val="20"/>
        <w:tblW w:w="8917" w:type="dxa"/>
        <w:jc w:val="center"/>
        <w:tblLayout w:type="fixed"/>
        <w:tblCellMar>
          <w:top w:w="0" w:type="dxa"/>
          <w:left w:w="108" w:type="dxa"/>
          <w:bottom w:w="0" w:type="dxa"/>
          <w:right w:w="108" w:type="dxa"/>
        </w:tblCellMar>
      </w:tblPr>
      <w:tblGrid>
        <w:gridCol w:w="769"/>
        <w:gridCol w:w="1658"/>
        <w:gridCol w:w="2043"/>
        <w:gridCol w:w="2143"/>
        <w:gridCol w:w="2304"/>
      </w:tblGrid>
      <w:tr w14:paraId="60830D75">
        <w:tblPrEx>
          <w:tblCellMar>
            <w:top w:w="0" w:type="dxa"/>
            <w:left w:w="108" w:type="dxa"/>
            <w:bottom w:w="0" w:type="dxa"/>
            <w:right w:w="108" w:type="dxa"/>
          </w:tblCellMar>
        </w:tblPrEx>
        <w:trPr>
          <w:trHeight w:val="819"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top"/>
          </w:tcPr>
          <w:p w14:paraId="066F6375">
            <w:pPr>
              <w:kinsoku w:val="0"/>
              <w:overflowPunct w:val="0"/>
              <w:autoSpaceDE w:val="0"/>
              <w:autoSpaceDN w:val="0"/>
              <w:adjustRightInd w:val="0"/>
              <w:spacing w:before="165"/>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658" w:type="dxa"/>
            <w:tcBorders>
              <w:top w:val="single" w:color="auto" w:sz="4" w:space="0"/>
              <w:left w:val="single" w:color="auto" w:sz="4" w:space="0"/>
              <w:bottom w:val="single" w:color="auto" w:sz="4" w:space="0"/>
              <w:right w:val="single" w:color="auto" w:sz="4" w:space="0"/>
            </w:tcBorders>
            <w:noWrap w:val="0"/>
            <w:vAlign w:val="top"/>
          </w:tcPr>
          <w:p w14:paraId="67ABF055">
            <w:pPr>
              <w:kinsoku w:val="0"/>
              <w:overflowPunct w:val="0"/>
              <w:autoSpaceDE w:val="0"/>
              <w:autoSpaceDN w:val="0"/>
              <w:adjustRightInd w:val="0"/>
              <w:spacing w:before="165"/>
              <w:ind w:left="56"/>
              <w:jc w:val="center"/>
              <w:rPr>
                <w:rFonts w:hint="eastAsia" w:ascii="宋体" w:hAnsi="宋体" w:eastAsia="宋体" w:cs="宋体"/>
                <w:color w:val="auto"/>
                <w:highlight w:val="none"/>
              </w:rPr>
            </w:pPr>
            <w:r>
              <w:rPr>
                <w:rFonts w:hint="eastAsia" w:ascii="宋体" w:hAnsi="宋体" w:eastAsia="宋体" w:cs="宋体"/>
                <w:color w:val="auto"/>
                <w:highlight w:val="none"/>
              </w:rPr>
              <w:t>货物名称</w:t>
            </w:r>
          </w:p>
        </w:tc>
        <w:tc>
          <w:tcPr>
            <w:tcW w:w="2043" w:type="dxa"/>
            <w:tcBorders>
              <w:top w:val="single" w:color="auto" w:sz="4" w:space="0"/>
              <w:left w:val="single" w:color="auto" w:sz="4" w:space="0"/>
              <w:bottom w:val="single" w:color="auto" w:sz="4" w:space="0"/>
              <w:right w:val="single" w:color="auto" w:sz="4" w:space="0"/>
            </w:tcBorders>
            <w:noWrap w:val="0"/>
            <w:vAlign w:val="top"/>
          </w:tcPr>
          <w:p w14:paraId="64DAE75E">
            <w:pPr>
              <w:kinsoku w:val="0"/>
              <w:overflowPunct w:val="0"/>
              <w:autoSpaceDE w:val="0"/>
              <w:autoSpaceDN w:val="0"/>
              <w:adjustRightInd w:val="0"/>
              <w:spacing w:before="165"/>
              <w:ind w:left="171"/>
              <w:jc w:val="center"/>
              <w:rPr>
                <w:rFonts w:hint="eastAsia" w:ascii="宋体" w:hAnsi="宋体" w:eastAsia="宋体" w:cs="宋体"/>
                <w:color w:val="auto"/>
                <w:highlight w:val="none"/>
              </w:rPr>
            </w:pPr>
            <w:r>
              <w:rPr>
                <w:rFonts w:hint="eastAsia" w:ascii="宋体" w:hAnsi="宋体" w:eastAsia="宋体" w:cs="宋体"/>
                <w:color w:val="auto"/>
                <w:highlight w:val="none"/>
              </w:rPr>
              <w:t>招标文件技术要求</w:t>
            </w:r>
          </w:p>
        </w:tc>
        <w:tc>
          <w:tcPr>
            <w:tcW w:w="2143" w:type="dxa"/>
            <w:tcBorders>
              <w:top w:val="single" w:color="auto" w:sz="4" w:space="0"/>
              <w:left w:val="single" w:color="auto" w:sz="4" w:space="0"/>
              <w:bottom w:val="single" w:color="auto" w:sz="4" w:space="0"/>
              <w:right w:val="single" w:color="auto" w:sz="4" w:space="0"/>
            </w:tcBorders>
            <w:noWrap w:val="0"/>
            <w:vAlign w:val="top"/>
          </w:tcPr>
          <w:p w14:paraId="546B3444">
            <w:pPr>
              <w:kinsoku w:val="0"/>
              <w:overflowPunct w:val="0"/>
              <w:autoSpaceDE w:val="0"/>
              <w:autoSpaceDN w:val="0"/>
              <w:adjustRightInd w:val="0"/>
              <w:spacing w:before="165"/>
              <w:jc w:val="center"/>
              <w:rPr>
                <w:rFonts w:hint="eastAsia" w:ascii="宋体" w:hAnsi="宋体" w:eastAsia="宋体" w:cs="宋体"/>
                <w:color w:val="auto"/>
                <w:highlight w:val="none"/>
              </w:rPr>
            </w:pPr>
            <w:r>
              <w:rPr>
                <w:rFonts w:hint="eastAsia" w:ascii="宋体" w:hAnsi="宋体" w:eastAsia="宋体" w:cs="宋体"/>
                <w:color w:val="auto"/>
                <w:highlight w:val="none"/>
              </w:rPr>
              <w:t>供应商响应内容</w:t>
            </w:r>
          </w:p>
        </w:tc>
        <w:tc>
          <w:tcPr>
            <w:tcW w:w="2304" w:type="dxa"/>
            <w:tcBorders>
              <w:top w:val="single" w:color="auto" w:sz="4" w:space="0"/>
              <w:left w:val="single" w:color="auto" w:sz="4" w:space="0"/>
              <w:bottom w:val="single" w:color="auto" w:sz="4" w:space="0"/>
              <w:right w:val="single" w:color="auto" w:sz="4" w:space="0"/>
            </w:tcBorders>
            <w:noWrap w:val="0"/>
            <w:vAlign w:val="top"/>
          </w:tcPr>
          <w:p w14:paraId="1E69643F">
            <w:pPr>
              <w:kinsoku w:val="0"/>
              <w:overflowPunct w:val="0"/>
              <w:autoSpaceDE w:val="0"/>
              <w:autoSpaceDN w:val="0"/>
              <w:adjustRightInd w:val="0"/>
              <w:spacing w:before="165"/>
              <w:ind w:left="206"/>
              <w:jc w:val="center"/>
              <w:rPr>
                <w:rFonts w:hint="eastAsia" w:ascii="宋体" w:hAnsi="宋体" w:eastAsia="宋体" w:cs="宋体"/>
                <w:color w:val="auto"/>
                <w:highlight w:val="none"/>
              </w:rPr>
            </w:pPr>
            <w:r>
              <w:rPr>
                <w:rFonts w:hint="eastAsia" w:ascii="宋体" w:hAnsi="宋体" w:eastAsia="宋体" w:cs="宋体"/>
                <w:color w:val="auto"/>
                <w:highlight w:val="none"/>
              </w:rPr>
              <w:t>偏离说明</w:t>
            </w:r>
          </w:p>
        </w:tc>
      </w:tr>
      <w:tr w14:paraId="5D15D949">
        <w:tblPrEx>
          <w:tblCellMar>
            <w:top w:w="0" w:type="dxa"/>
            <w:left w:w="108" w:type="dxa"/>
            <w:bottom w:w="0" w:type="dxa"/>
            <w:right w:w="108" w:type="dxa"/>
          </w:tblCellMar>
        </w:tblPrEx>
        <w:trPr>
          <w:trHeight w:val="446"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13EE6FC3">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p>
        </w:tc>
        <w:tc>
          <w:tcPr>
            <w:tcW w:w="1658" w:type="dxa"/>
            <w:tcBorders>
              <w:top w:val="single" w:color="auto" w:sz="4" w:space="0"/>
              <w:left w:val="single" w:color="auto" w:sz="4" w:space="0"/>
              <w:bottom w:val="single" w:color="auto" w:sz="4" w:space="0"/>
              <w:right w:val="single" w:color="auto" w:sz="4" w:space="0"/>
            </w:tcBorders>
            <w:noWrap w:val="0"/>
            <w:vAlign w:val="top"/>
          </w:tcPr>
          <w:p w14:paraId="0190145F">
            <w:pPr>
              <w:kinsoku w:val="0"/>
              <w:overflowPunct w:val="0"/>
              <w:autoSpaceDE w:val="0"/>
              <w:autoSpaceDN w:val="0"/>
              <w:adjustRightInd w:val="0"/>
              <w:rPr>
                <w:rFonts w:hint="eastAsia" w:ascii="宋体" w:hAnsi="宋体" w:eastAsia="宋体" w:cs="宋体"/>
                <w:color w:val="auto"/>
                <w:sz w:val="22"/>
                <w:highlight w:val="none"/>
              </w:rPr>
            </w:pPr>
          </w:p>
        </w:tc>
        <w:tc>
          <w:tcPr>
            <w:tcW w:w="2043" w:type="dxa"/>
            <w:tcBorders>
              <w:top w:val="single" w:color="auto" w:sz="4" w:space="0"/>
              <w:left w:val="single" w:color="auto" w:sz="4" w:space="0"/>
              <w:bottom w:val="single" w:color="auto" w:sz="4" w:space="0"/>
              <w:right w:val="single" w:color="auto" w:sz="4" w:space="0"/>
            </w:tcBorders>
            <w:noWrap w:val="0"/>
            <w:vAlign w:val="top"/>
          </w:tcPr>
          <w:p w14:paraId="274C70D8">
            <w:pPr>
              <w:kinsoku w:val="0"/>
              <w:overflowPunct w:val="0"/>
              <w:autoSpaceDE w:val="0"/>
              <w:autoSpaceDN w:val="0"/>
              <w:adjustRightInd w:val="0"/>
              <w:rPr>
                <w:rFonts w:hint="eastAsia" w:ascii="宋体" w:hAnsi="宋体" w:eastAsia="宋体" w:cs="宋体"/>
                <w:color w:val="auto"/>
                <w:sz w:val="22"/>
                <w:highlight w:val="none"/>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0AD98699">
            <w:pPr>
              <w:kinsoku w:val="0"/>
              <w:overflowPunct w:val="0"/>
              <w:autoSpaceDE w:val="0"/>
              <w:autoSpaceDN w:val="0"/>
              <w:adjustRightInd w:val="0"/>
              <w:rPr>
                <w:rFonts w:hint="eastAsia" w:ascii="宋体" w:hAnsi="宋体" w:eastAsia="宋体" w:cs="宋体"/>
                <w:color w:val="auto"/>
                <w:sz w:val="22"/>
                <w:highlight w:val="none"/>
              </w:rPr>
            </w:pPr>
          </w:p>
        </w:tc>
        <w:tc>
          <w:tcPr>
            <w:tcW w:w="2304" w:type="dxa"/>
            <w:tcBorders>
              <w:top w:val="single" w:color="auto" w:sz="4" w:space="0"/>
              <w:left w:val="single" w:color="auto" w:sz="4" w:space="0"/>
              <w:bottom w:val="single" w:color="auto" w:sz="4" w:space="0"/>
              <w:right w:val="single" w:color="auto" w:sz="4" w:space="0"/>
            </w:tcBorders>
            <w:noWrap w:val="0"/>
            <w:vAlign w:val="top"/>
          </w:tcPr>
          <w:p w14:paraId="5D37C55A">
            <w:pPr>
              <w:kinsoku w:val="0"/>
              <w:overflowPunct w:val="0"/>
              <w:autoSpaceDE w:val="0"/>
              <w:autoSpaceDN w:val="0"/>
              <w:adjustRightInd w:val="0"/>
              <w:rPr>
                <w:rFonts w:hint="eastAsia" w:ascii="宋体" w:hAnsi="宋体" w:eastAsia="宋体" w:cs="宋体"/>
                <w:color w:val="auto"/>
                <w:sz w:val="22"/>
                <w:highlight w:val="none"/>
              </w:rPr>
            </w:pPr>
          </w:p>
        </w:tc>
      </w:tr>
      <w:tr w14:paraId="0E89B705">
        <w:tblPrEx>
          <w:tblCellMar>
            <w:top w:w="0" w:type="dxa"/>
            <w:left w:w="108" w:type="dxa"/>
            <w:bottom w:w="0" w:type="dxa"/>
            <w:right w:w="108" w:type="dxa"/>
          </w:tblCellMar>
        </w:tblPrEx>
        <w:trPr>
          <w:trHeight w:val="446"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65B21A05">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2</w:t>
            </w:r>
          </w:p>
        </w:tc>
        <w:tc>
          <w:tcPr>
            <w:tcW w:w="1658" w:type="dxa"/>
            <w:tcBorders>
              <w:top w:val="single" w:color="auto" w:sz="4" w:space="0"/>
              <w:left w:val="single" w:color="auto" w:sz="4" w:space="0"/>
              <w:bottom w:val="single" w:color="auto" w:sz="4" w:space="0"/>
              <w:right w:val="single" w:color="auto" w:sz="4" w:space="0"/>
            </w:tcBorders>
            <w:noWrap w:val="0"/>
            <w:vAlign w:val="top"/>
          </w:tcPr>
          <w:p w14:paraId="543D6107">
            <w:pPr>
              <w:kinsoku w:val="0"/>
              <w:overflowPunct w:val="0"/>
              <w:autoSpaceDE w:val="0"/>
              <w:autoSpaceDN w:val="0"/>
              <w:adjustRightInd w:val="0"/>
              <w:rPr>
                <w:rFonts w:hint="eastAsia" w:ascii="宋体" w:hAnsi="宋体" w:eastAsia="宋体" w:cs="宋体"/>
                <w:color w:val="auto"/>
                <w:sz w:val="22"/>
                <w:highlight w:val="none"/>
              </w:rPr>
            </w:pPr>
          </w:p>
        </w:tc>
        <w:tc>
          <w:tcPr>
            <w:tcW w:w="2043" w:type="dxa"/>
            <w:tcBorders>
              <w:top w:val="single" w:color="auto" w:sz="4" w:space="0"/>
              <w:left w:val="single" w:color="auto" w:sz="4" w:space="0"/>
              <w:bottom w:val="single" w:color="auto" w:sz="4" w:space="0"/>
              <w:right w:val="single" w:color="auto" w:sz="4" w:space="0"/>
            </w:tcBorders>
            <w:noWrap w:val="0"/>
            <w:vAlign w:val="top"/>
          </w:tcPr>
          <w:p w14:paraId="5F5265BD">
            <w:pPr>
              <w:kinsoku w:val="0"/>
              <w:overflowPunct w:val="0"/>
              <w:autoSpaceDE w:val="0"/>
              <w:autoSpaceDN w:val="0"/>
              <w:adjustRightInd w:val="0"/>
              <w:rPr>
                <w:rFonts w:hint="eastAsia" w:ascii="宋体" w:hAnsi="宋体" w:eastAsia="宋体" w:cs="宋体"/>
                <w:color w:val="auto"/>
                <w:sz w:val="22"/>
                <w:highlight w:val="none"/>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9DE1783">
            <w:pPr>
              <w:kinsoku w:val="0"/>
              <w:overflowPunct w:val="0"/>
              <w:autoSpaceDE w:val="0"/>
              <w:autoSpaceDN w:val="0"/>
              <w:adjustRightInd w:val="0"/>
              <w:rPr>
                <w:rFonts w:hint="eastAsia" w:ascii="宋体" w:hAnsi="宋体" w:eastAsia="宋体" w:cs="宋体"/>
                <w:color w:val="auto"/>
                <w:sz w:val="22"/>
                <w:highlight w:val="none"/>
              </w:rPr>
            </w:pPr>
          </w:p>
        </w:tc>
        <w:tc>
          <w:tcPr>
            <w:tcW w:w="2304" w:type="dxa"/>
            <w:tcBorders>
              <w:top w:val="single" w:color="auto" w:sz="4" w:space="0"/>
              <w:left w:val="single" w:color="auto" w:sz="4" w:space="0"/>
              <w:bottom w:val="single" w:color="auto" w:sz="4" w:space="0"/>
              <w:right w:val="single" w:color="auto" w:sz="4" w:space="0"/>
            </w:tcBorders>
            <w:noWrap w:val="0"/>
            <w:vAlign w:val="top"/>
          </w:tcPr>
          <w:p w14:paraId="62399DEA">
            <w:pPr>
              <w:kinsoku w:val="0"/>
              <w:overflowPunct w:val="0"/>
              <w:autoSpaceDE w:val="0"/>
              <w:autoSpaceDN w:val="0"/>
              <w:adjustRightInd w:val="0"/>
              <w:rPr>
                <w:rFonts w:hint="eastAsia" w:ascii="宋体" w:hAnsi="宋体" w:eastAsia="宋体" w:cs="宋体"/>
                <w:color w:val="auto"/>
                <w:sz w:val="22"/>
                <w:highlight w:val="none"/>
              </w:rPr>
            </w:pPr>
          </w:p>
        </w:tc>
      </w:tr>
      <w:tr w14:paraId="63A972AC">
        <w:tblPrEx>
          <w:tblCellMar>
            <w:top w:w="0" w:type="dxa"/>
            <w:left w:w="108" w:type="dxa"/>
            <w:bottom w:w="0" w:type="dxa"/>
            <w:right w:w="108" w:type="dxa"/>
          </w:tblCellMar>
        </w:tblPrEx>
        <w:trPr>
          <w:trHeight w:val="446"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4E0E2443">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3</w:t>
            </w:r>
          </w:p>
        </w:tc>
        <w:tc>
          <w:tcPr>
            <w:tcW w:w="1658" w:type="dxa"/>
            <w:tcBorders>
              <w:top w:val="single" w:color="auto" w:sz="4" w:space="0"/>
              <w:left w:val="single" w:color="auto" w:sz="4" w:space="0"/>
              <w:bottom w:val="single" w:color="auto" w:sz="4" w:space="0"/>
              <w:right w:val="single" w:color="auto" w:sz="4" w:space="0"/>
            </w:tcBorders>
            <w:noWrap w:val="0"/>
            <w:vAlign w:val="top"/>
          </w:tcPr>
          <w:p w14:paraId="6FC65048">
            <w:pPr>
              <w:kinsoku w:val="0"/>
              <w:overflowPunct w:val="0"/>
              <w:autoSpaceDE w:val="0"/>
              <w:autoSpaceDN w:val="0"/>
              <w:adjustRightInd w:val="0"/>
              <w:rPr>
                <w:rFonts w:hint="eastAsia" w:ascii="宋体" w:hAnsi="宋体" w:eastAsia="宋体" w:cs="宋体"/>
                <w:color w:val="auto"/>
                <w:sz w:val="22"/>
                <w:highlight w:val="none"/>
              </w:rPr>
            </w:pPr>
          </w:p>
        </w:tc>
        <w:tc>
          <w:tcPr>
            <w:tcW w:w="2043" w:type="dxa"/>
            <w:tcBorders>
              <w:top w:val="single" w:color="auto" w:sz="4" w:space="0"/>
              <w:left w:val="single" w:color="auto" w:sz="4" w:space="0"/>
              <w:bottom w:val="single" w:color="auto" w:sz="4" w:space="0"/>
              <w:right w:val="single" w:color="auto" w:sz="4" w:space="0"/>
            </w:tcBorders>
            <w:noWrap w:val="0"/>
            <w:vAlign w:val="top"/>
          </w:tcPr>
          <w:p w14:paraId="7E012D7D">
            <w:pPr>
              <w:kinsoku w:val="0"/>
              <w:overflowPunct w:val="0"/>
              <w:autoSpaceDE w:val="0"/>
              <w:autoSpaceDN w:val="0"/>
              <w:adjustRightInd w:val="0"/>
              <w:rPr>
                <w:rFonts w:hint="eastAsia" w:ascii="宋体" w:hAnsi="宋体" w:eastAsia="宋体" w:cs="宋体"/>
                <w:color w:val="auto"/>
                <w:sz w:val="22"/>
                <w:highlight w:val="none"/>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669AAEB2">
            <w:pPr>
              <w:kinsoku w:val="0"/>
              <w:overflowPunct w:val="0"/>
              <w:autoSpaceDE w:val="0"/>
              <w:autoSpaceDN w:val="0"/>
              <w:adjustRightInd w:val="0"/>
              <w:rPr>
                <w:rFonts w:hint="eastAsia" w:ascii="宋体" w:hAnsi="宋体" w:eastAsia="宋体" w:cs="宋体"/>
                <w:color w:val="auto"/>
                <w:sz w:val="22"/>
                <w:highlight w:val="none"/>
              </w:rPr>
            </w:pPr>
          </w:p>
        </w:tc>
        <w:tc>
          <w:tcPr>
            <w:tcW w:w="2304" w:type="dxa"/>
            <w:tcBorders>
              <w:top w:val="single" w:color="auto" w:sz="4" w:space="0"/>
              <w:left w:val="single" w:color="auto" w:sz="4" w:space="0"/>
              <w:bottom w:val="single" w:color="auto" w:sz="4" w:space="0"/>
              <w:right w:val="single" w:color="auto" w:sz="4" w:space="0"/>
            </w:tcBorders>
            <w:noWrap w:val="0"/>
            <w:vAlign w:val="top"/>
          </w:tcPr>
          <w:p w14:paraId="458B0F81">
            <w:pPr>
              <w:kinsoku w:val="0"/>
              <w:overflowPunct w:val="0"/>
              <w:autoSpaceDE w:val="0"/>
              <w:autoSpaceDN w:val="0"/>
              <w:adjustRightInd w:val="0"/>
              <w:rPr>
                <w:rFonts w:hint="eastAsia" w:ascii="宋体" w:hAnsi="宋体" w:eastAsia="宋体" w:cs="宋体"/>
                <w:color w:val="auto"/>
                <w:sz w:val="22"/>
                <w:highlight w:val="none"/>
              </w:rPr>
            </w:pPr>
          </w:p>
        </w:tc>
      </w:tr>
      <w:tr w14:paraId="31A87204">
        <w:tblPrEx>
          <w:tblCellMar>
            <w:top w:w="0" w:type="dxa"/>
            <w:left w:w="108" w:type="dxa"/>
            <w:bottom w:w="0" w:type="dxa"/>
            <w:right w:w="108" w:type="dxa"/>
          </w:tblCellMar>
        </w:tblPrEx>
        <w:trPr>
          <w:trHeight w:val="446"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54161CD2">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4</w:t>
            </w:r>
          </w:p>
        </w:tc>
        <w:tc>
          <w:tcPr>
            <w:tcW w:w="1658" w:type="dxa"/>
            <w:tcBorders>
              <w:top w:val="single" w:color="auto" w:sz="4" w:space="0"/>
              <w:left w:val="single" w:color="auto" w:sz="4" w:space="0"/>
              <w:bottom w:val="single" w:color="auto" w:sz="4" w:space="0"/>
              <w:right w:val="single" w:color="auto" w:sz="4" w:space="0"/>
            </w:tcBorders>
            <w:noWrap w:val="0"/>
            <w:vAlign w:val="top"/>
          </w:tcPr>
          <w:p w14:paraId="31738F44">
            <w:pPr>
              <w:kinsoku w:val="0"/>
              <w:overflowPunct w:val="0"/>
              <w:autoSpaceDE w:val="0"/>
              <w:autoSpaceDN w:val="0"/>
              <w:adjustRightInd w:val="0"/>
              <w:rPr>
                <w:rFonts w:hint="eastAsia" w:ascii="宋体" w:hAnsi="宋体" w:eastAsia="宋体" w:cs="宋体"/>
                <w:color w:val="auto"/>
                <w:sz w:val="22"/>
                <w:highlight w:val="none"/>
              </w:rPr>
            </w:pPr>
          </w:p>
        </w:tc>
        <w:tc>
          <w:tcPr>
            <w:tcW w:w="2043" w:type="dxa"/>
            <w:tcBorders>
              <w:top w:val="single" w:color="auto" w:sz="4" w:space="0"/>
              <w:left w:val="single" w:color="auto" w:sz="4" w:space="0"/>
              <w:bottom w:val="single" w:color="auto" w:sz="4" w:space="0"/>
              <w:right w:val="single" w:color="auto" w:sz="4" w:space="0"/>
            </w:tcBorders>
            <w:noWrap w:val="0"/>
            <w:vAlign w:val="top"/>
          </w:tcPr>
          <w:p w14:paraId="4445A39C">
            <w:pPr>
              <w:kinsoku w:val="0"/>
              <w:overflowPunct w:val="0"/>
              <w:autoSpaceDE w:val="0"/>
              <w:autoSpaceDN w:val="0"/>
              <w:adjustRightInd w:val="0"/>
              <w:rPr>
                <w:rFonts w:hint="eastAsia" w:ascii="宋体" w:hAnsi="宋体" w:eastAsia="宋体" w:cs="宋体"/>
                <w:color w:val="auto"/>
                <w:sz w:val="22"/>
                <w:highlight w:val="none"/>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A8EEC07">
            <w:pPr>
              <w:kinsoku w:val="0"/>
              <w:overflowPunct w:val="0"/>
              <w:autoSpaceDE w:val="0"/>
              <w:autoSpaceDN w:val="0"/>
              <w:adjustRightInd w:val="0"/>
              <w:rPr>
                <w:rFonts w:hint="eastAsia" w:ascii="宋体" w:hAnsi="宋体" w:eastAsia="宋体" w:cs="宋体"/>
                <w:color w:val="auto"/>
                <w:sz w:val="22"/>
                <w:highlight w:val="none"/>
              </w:rPr>
            </w:pPr>
          </w:p>
        </w:tc>
        <w:tc>
          <w:tcPr>
            <w:tcW w:w="2304" w:type="dxa"/>
            <w:tcBorders>
              <w:top w:val="single" w:color="auto" w:sz="4" w:space="0"/>
              <w:left w:val="single" w:color="auto" w:sz="4" w:space="0"/>
              <w:bottom w:val="single" w:color="auto" w:sz="4" w:space="0"/>
              <w:right w:val="single" w:color="auto" w:sz="4" w:space="0"/>
            </w:tcBorders>
            <w:noWrap w:val="0"/>
            <w:vAlign w:val="top"/>
          </w:tcPr>
          <w:p w14:paraId="212DB53F">
            <w:pPr>
              <w:kinsoku w:val="0"/>
              <w:overflowPunct w:val="0"/>
              <w:autoSpaceDE w:val="0"/>
              <w:autoSpaceDN w:val="0"/>
              <w:adjustRightInd w:val="0"/>
              <w:rPr>
                <w:rFonts w:hint="eastAsia" w:ascii="宋体" w:hAnsi="宋体" w:eastAsia="宋体" w:cs="宋体"/>
                <w:color w:val="auto"/>
                <w:sz w:val="22"/>
                <w:highlight w:val="none"/>
              </w:rPr>
            </w:pPr>
          </w:p>
        </w:tc>
      </w:tr>
      <w:tr w14:paraId="64CD9FC9">
        <w:tblPrEx>
          <w:tblCellMar>
            <w:top w:w="0" w:type="dxa"/>
            <w:left w:w="108" w:type="dxa"/>
            <w:bottom w:w="0" w:type="dxa"/>
            <w:right w:w="108" w:type="dxa"/>
          </w:tblCellMar>
        </w:tblPrEx>
        <w:trPr>
          <w:trHeight w:val="446"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2D091BF9">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5</w:t>
            </w:r>
          </w:p>
        </w:tc>
        <w:tc>
          <w:tcPr>
            <w:tcW w:w="1658" w:type="dxa"/>
            <w:tcBorders>
              <w:top w:val="single" w:color="auto" w:sz="4" w:space="0"/>
              <w:left w:val="single" w:color="auto" w:sz="4" w:space="0"/>
              <w:bottom w:val="single" w:color="auto" w:sz="4" w:space="0"/>
              <w:right w:val="single" w:color="auto" w:sz="4" w:space="0"/>
            </w:tcBorders>
            <w:noWrap w:val="0"/>
            <w:vAlign w:val="top"/>
          </w:tcPr>
          <w:p w14:paraId="3FFFFA33">
            <w:pPr>
              <w:kinsoku w:val="0"/>
              <w:overflowPunct w:val="0"/>
              <w:autoSpaceDE w:val="0"/>
              <w:autoSpaceDN w:val="0"/>
              <w:adjustRightInd w:val="0"/>
              <w:rPr>
                <w:rFonts w:hint="eastAsia" w:ascii="宋体" w:hAnsi="宋体" w:eastAsia="宋体" w:cs="宋体"/>
                <w:color w:val="auto"/>
                <w:sz w:val="22"/>
                <w:highlight w:val="none"/>
              </w:rPr>
            </w:pPr>
          </w:p>
        </w:tc>
        <w:tc>
          <w:tcPr>
            <w:tcW w:w="2043" w:type="dxa"/>
            <w:tcBorders>
              <w:top w:val="single" w:color="auto" w:sz="4" w:space="0"/>
              <w:left w:val="single" w:color="auto" w:sz="4" w:space="0"/>
              <w:bottom w:val="single" w:color="auto" w:sz="4" w:space="0"/>
              <w:right w:val="single" w:color="auto" w:sz="4" w:space="0"/>
            </w:tcBorders>
            <w:noWrap w:val="0"/>
            <w:vAlign w:val="top"/>
          </w:tcPr>
          <w:p w14:paraId="019183BE">
            <w:pPr>
              <w:kinsoku w:val="0"/>
              <w:overflowPunct w:val="0"/>
              <w:autoSpaceDE w:val="0"/>
              <w:autoSpaceDN w:val="0"/>
              <w:adjustRightInd w:val="0"/>
              <w:rPr>
                <w:rFonts w:hint="eastAsia" w:ascii="宋体" w:hAnsi="宋体" w:eastAsia="宋体" w:cs="宋体"/>
                <w:color w:val="auto"/>
                <w:sz w:val="22"/>
                <w:highlight w:val="none"/>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2CEDA9A0">
            <w:pPr>
              <w:kinsoku w:val="0"/>
              <w:overflowPunct w:val="0"/>
              <w:autoSpaceDE w:val="0"/>
              <w:autoSpaceDN w:val="0"/>
              <w:adjustRightInd w:val="0"/>
              <w:rPr>
                <w:rFonts w:hint="eastAsia" w:ascii="宋体" w:hAnsi="宋体" w:eastAsia="宋体" w:cs="宋体"/>
                <w:color w:val="auto"/>
                <w:sz w:val="22"/>
                <w:highlight w:val="none"/>
              </w:rPr>
            </w:pPr>
          </w:p>
        </w:tc>
        <w:tc>
          <w:tcPr>
            <w:tcW w:w="2304" w:type="dxa"/>
            <w:tcBorders>
              <w:top w:val="single" w:color="auto" w:sz="4" w:space="0"/>
              <w:left w:val="single" w:color="auto" w:sz="4" w:space="0"/>
              <w:bottom w:val="single" w:color="auto" w:sz="4" w:space="0"/>
              <w:right w:val="single" w:color="auto" w:sz="4" w:space="0"/>
            </w:tcBorders>
            <w:noWrap w:val="0"/>
            <w:vAlign w:val="top"/>
          </w:tcPr>
          <w:p w14:paraId="28D2F67D">
            <w:pPr>
              <w:kinsoku w:val="0"/>
              <w:overflowPunct w:val="0"/>
              <w:autoSpaceDE w:val="0"/>
              <w:autoSpaceDN w:val="0"/>
              <w:adjustRightInd w:val="0"/>
              <w:rPr>
                <w:rFonts w:hint="eastAsia" w:ascii="宋体" w:hAnsi="宋体" w:eastAsia="宋体" w:cs="宋体"/>
                <w:color w:val="auto"/>
                <w:sz w:val="22"/>
                <w:highlight w:val="none"/>
              </w:rPr>
            </w:pPr>
          </w:p>
        </w:tc>
      </w:tr>
      <w:tr w14:paraId="6AF15A76">
        <w:tblPrEx>
          <w:tblCellMar>
            <w:top w:w="0" w:type="dxa"/>
            <w:left w:w="108" w:type="dxa"/>
            <w:bottom w:w="0" w:type="dxa"/>
            <w:right w:w="108" w:type="dxa"/>
          </w:tblCellMar>
        </w:tblPrEx>
        <w:trPr>
          <w:trHeight w:val="446"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7D4D9107">
            <w:pPr>
              <w:kinsoku w:val="0"/>
              <w:overflowPunct w:val="0"/>
              <w:autoSpaceDE w:val="0"/>
              <w:autoSpaceDN w:val="0"/>
              <w:adjustRightInd w:val="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6</w:t>
            </w:r>
          </w:p>
        </w:tc>
        <w:tc>
          <w:tcPr>
            <w:tcW w:w="1658" w:type="dxa"/>
            <w:tcBorders>
              <w:top w:val="single" w:color="auto" w:sz="4" w:space="0"/>
              <w:left w:val="single" w:color="auto" w:sz="4" w:space="0"/>
              <w:bottom w:val="single" w:color="auto" w:sz="4" w:space="0"/>
              <w:right w:val="single" w:color="auto" w:sz="4" w:space="0"/>
            </w:tcBorders>
            <w:noWrap w:val="0"/>
            <w:vAlign w:val="top"/>
          </w:tcPr>
          <w:p w14:paraId="05EB273D">
            <w:pPr>
              <w:kinsoku w:val="0"/>
              <w:overflowPunct w:val="0"/>
              <w:autoSpaceDE w:val="0"/>
              <w:autoSpaceDN w:val="0"/>
              <w:adjustRightInd w:val="0"/>
              <w:rPr>
                <w:rFonts w:hint="eastAsia" w:ascii="宋体" w:hAnsi="宋体" w:eastAsia="宋体" w:cs="宋体"/>
                <w:color w:val="auto"/>
                <w:sz w:val="22"/>
                <w:highlight w:val="none"/>
              </w:rPr>
            </w:pPr>
          </w:p>
        </w:tc>
        <w:tc>
          <w:tcPr>
            <w:tcW w:w="2043" w:type="dxa"/>
            <w:tcBorders>
              <w:top w:val="single" w:color="auto" w:sz="4" w:space="0"/>
              <w:left w:val="single" w:color="auto" w:sz="4" w:space="0"/>
              <w:bottom w:val="single" w:color="auto" w:sz="4" w:space="0"/>
              <w:right w:val="single" w:color="auto" w:sz="4" w:space="0"/>
            </w:tcBorders>
            <w:noWrap w:val="0"/>
            <w:vAlign w:val="top"/>
          </w:tcPr>
          <w:p w14:paraId="0C8D424F">
            <w:pPr>
              <w:kinsoku w:val="0"/>
              <w:overflowPunct w:val="0"/>
              <w:autoSpaceDE w:val="0"/>
              <w:autoSpaceDN w:val="0"/>
              <w:adjustRightInd w:val="0"/>
              <w:rPr>
                <w:rFonts w:hint="eastAsia" w:ascii="宋体" w:hAnsi="宋体" w:eastAsia="宋体" w:cs="宋体"/>
                <w:color w:val="auto"/>
                <w:sz w:val="22"/>
                <w:highlight w:val="none"/>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AA166DC">
            <w:pPr>
              <w:kinsoku w:val="0"/>
              <w:overflowPunct w:val="0"/>
              <w:autoSpaceDE w:val="0"/>
              <w:autoSpaceDN w:val="0"/>
              <w:adjustRightInd w:val="0"/>
              <w:rPr>
                <w:rFonts w:hint="eastAsia" w:ascii="宋体" w:hAnsi="宋体" w:eastAsia="宋体" w:cs="宋体"/>
                <w:color w:val="auto"/>
                <w:sz w:val="22"/>
                <w:highlight w:val="none"/>
              </w:rPr>
            </w:pPr>
          </w:p>
        </w:tc>
        <w:tc>
          <w:tcPr>
            <w:tcW w:w="2304" w:type="dxa"/>
            <w:tcBorders>
              <w:top w:val="single" w:color="auto" w:sz="4" w:space="0"/>
              <w:left w:val="single" w:color="auto" w:sz="4" w:space="0"/>
              <w:bottom w:val="single" w:color="auto" w:sz="4" w:space="0"/>
              <w:right w:val="single" w:color="auto" w:sz="4" w:space="0"/>
            </w:tcBorders>
            <w:noWrap w:val="0"/>
            <w:vAlign w:val="top"/>
          </w:tcPr>
          <w:p w14:paraId="485ED861">
            <w:pPr>
              <w:kinsoku w:val="0"/>
              <w:overflowPunct w:val="0"/>
              <w:autoSpaceDE w:val="0"/>
              <w:autoSpaceDN w:val="0"/>
              <w:adjustRightInd w:val="0"/>
              <w:rPr>
                <w:rFonts w:hint="eastAsia" w:ascii="宋体" w:hAnsi="宋体" w:eastAsia="宋体" w:cs="宋体"/>
                <w:color w:val="auto"/>
                <w:sz w:val="22"/>
                <w:highlight w:val="none"/>
              </w:rPr>
            </w:pPr>
          </w:p>
        </w:tc>
      </w:tr>
      <w:tr w14:paraId="3DB83CBD">
        <w:tblPrEx>
          <w:tblCellMar>
            <w:top w:w="0" w:type="dxa"/>
            <w:left w:w="108" w:type="dxa"/>
            <w:bottom w:w="0" w:type="dxa"/>
            <w:right w:w="108" w:type="dxa"/>
          </w:tblCellMar>
        </w:tblPrEx>
        <w:trPr>
          <w:trHeight w:val="466"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4311A7C5">
            <w:pPr>
              <w:kinsoku w:val="0"/>
              <w:overflowPunct w:val="0"/>
              <w:autoSpaceDE w:val="0"/>
              <w:autoSpaceDN w:val="0"/>
              <w:adjustRightInd w:val="0"/>
              <w:jc w:val="center"/>
              <w:rPr>
                <w:rFonts w:hint="eastAsia" w:ascii="宋体" w:hAnsi="宋体" w:eastAsia="宋体" w:cs="宋体"/>
                <w:color w:val="auto"/>
                <w:sz w:val="22"/>
                <w:highlight w:val="none"/>
              </w:rPr>
            </w:pPr>
          </w:p>
        </w:tc>
        <w:tc>
          <w:tcPr>
            <w:tcW w:w="1658" w:type="dxa"/>
            <w:tcBorders>
              <w:top w:val="single" w:color="auto" w:sz="4" w:space="0"/>
              <w:left w:val="single" w:color="auto" w:sz="4" w:space="0"/>
              <w:bottom w:val="single" w:color="auto" w:sz="4" w:space="0"/>
              <w:right w:val="single" w:color="auto" w:sz="4" w:space="0"/>
            </w:tcBorders>
            <w:noWrap w:val="0"/>
            <w:vAlign w:val="top"/>
          </w:tcPr>
          <w:p w14:paraId="314CAFF5">
            <w:pPr>
              <w:kinsoku w:val="0"/>
              <w:overflowPunct w:val="0"/>
              <w:autoSpaceDE w:val="0"/>
              <w:autoSpaceDN w:val="0"/>
              <w:adjustRightInd w:val="0"/>
              <w:rPr>
                <w:rFonts w:hint="eastAsia" w:ascii="宋体" w:hAnsi="宋体" w:eastAsia="宋体" w:cs="宋体"/>
                <w:color w:val="auto"/>
                <w:sz w:val="22"/>
                <w:highlight w:val="none"/>
              </w:rPr>
            </w:pPr>
          </w:p>
        </w:tc>
        <w:tc>
          <w:tcPr>
            <w:tcW w:w="2043" w:type="dxa"/>
            <w:tcBorders>
              <w:top w:val="single" w:color="auto" w:sz="4" w:space="0"/>
              <w:left w:val="single" w:color="auto" w:sz="4" w:space="0"/>
              <w:bottom w:val="single" w:color="auto" w:sz="4" w:space="0"/>
              <w:right w:val="single" w:color="auto" w:sz="4" w:space="0"/>
            </w:tcBorders>
            <w:noWrap w:val="0"/>
            <w:vAlign w:val="top"/>
          </w:tcPr>
          <w:p w14:paraId="1BE2FFDF">
            <w:pPr>
              <w:kinsoku w:val="0"/>
              <w:overflowPunct w:val="0"/>
              <w:autoSpaceDE w:val="0"/>
              <w:autoSpaceDN w:val="0"/>
              <w:adjustRightInd w:val="0"/>
              <w:rPr>
                <w:rFonts w:hint="eastAsia" w:ascii="宋体" w:hAnsi="宋体" w:eastAsia="宋体" w:cs="宋体"/>
                <w:color w:val="auto"/>
                <w:sz w:val="22"/>
                <w:highlight w:val="none"/>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3D2096A">
            <w:pPr>
              <w:kinsoku w:val="0"/>
              <w:overflowPunct w:val="0"/>
              <w:autoSpaceDE w:val="0"/>
              <w:autoSpaceDN w:val="0"/>
              <w:adjustRightInd w:val="0"/>
              <w:rPr>
                <w:rFonts w:hint="eastAsia" w:ascii="宋体" w:hAnsi="宋体" w:eastAsia="宋体" w:cs="宋体"/>
                <w:color w:val="auto"/>
                <w:sz w:val="22"/>
                <w:highlight w:val="none"/>
              </w:rPr>
            </w:pPr>
          </w:p>
        </w:tc>
        <w:tc>
          <w:tcPr>
            <w:tcW w:w="2304" w:type="dxa"/>
            <w:tcBorders>
              <w:top w:val="single" w:color="auto" w:sz="4" w:space="0"/>
              <w:left w:val="single" w:color="auto" w:sz="4" w:space="0"/>
              <w:bottom w:val="single" w:color="auto" w:sz="4" w:space="0"/>
              <w:right w:val="single" w:color="auto" w:sz="4" w:space="0"/>
            </w:tcBorders>
            <w:noWrap w:val="0"/>
            <w:vAlign w:val="top"/>
          </w:tcPr>
          <w:p w14:paraId="06B0F088">
            <w:pPr>
              <w:kinsoku w:val="0"/>
              <w:overflowPunct w:val="0"/>
              <w:autoSpaceDE w:val="0"/>
              <w:autoSpaceDN w:val="0"/>
              <w:adjustRightInd w:val="0"/>
              <w:rPr>
                <w:rFonts w:hint="eastAsia" w:ascii="宋体" w:hAnsi="宋体" w:eastAsia="宋体" w:cs="宋体"/>
                <w:color w:val="auto"/>
                <w:sz w:val="22"/>
                <w:highlight w:val="none"/>
              </w:rPr>
            </w:pPr>
          </w:p>
        </w:tc>
      </w:tr>
    </w:tbl>
    <w:p w14:paraId="68829E08">
      <w:pPr>
        <w:spacing w:line="480" w:lineRule="exact"/>
        <w:ind w:firstLine="480" w:firstLineChars="200"/>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rPr>
        <w:t>注：供应商需对</w:t>
      </w:r>
      <w:r>
        <w:rPr>
          <w:rFonts w:hint="eastAsia" w:ascii="宋体" w:hAnsi="宋体" w:eastAsia="宋体" w:cs="宋体"/>
          <w:color w:val="auto"/>
          <w:kern w:val="2"/>
          <w:sz w:val="24"/>
          <w:szCs w:val="24"/>
          <w:lang w:eastAsia="zh-CN"/>
        </w:rPr>
        <w:t>招标</w:t>
      </w:r>
      <w:r>
        <w:rPr>
          <w:rFonts w:hint="eastAsia" w:ascii="宋体" w:hAnsi="宋体" w:eastAsia="宋体" w:cs="宋体"/>
          <w:color w:val="auto"/>
          <w:kern w:val="2"/>
          <w:sz w:val="24"/>
          <w:szCs w:val="24"/>
        </w:rPr>
        <w:t>文件所要求技术参数逐条进行响应说明</w:t>
      </w:r>
      <w:r>
        <w:rPr>
          <w:rFonts w:hint="eastAsia" w:ascii="宋体" w:hAnsi="宋体" w:eastAsia="宋体" w:cs="宋体"/>
          <w:color w:val="auto"/>
          <w:kern w:val="2"/>
          <w:sz w:val="24"/>
          <w:szCs w:val="24"/>
          <w:lang w:eastAsia="zh-CN"/>
        </w:rPr>
        <w:t>，</w:t>
      </w:r>
      <w:r>
        <w:rPr>
          <w:rFonts w:hint="eastAsia" w:ascii="宋体" w:hAnsi="宋体" w:eastAsia="宋体" w:cs="宋体"/>
          <w:b/>
          <w:bCs/>
          <w:color w:val="auto"/>
          <w:kern w:val="2"/>
          <w:sz w:val="24"/>
          <w:szCs w:val="24"/>
          <w:lang w:eastAsia="zh-CN"/>
        </w:rPr>
        <w:t>后附佐证材料</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rPr>
        <w:t>如有漏报、瞒报</w:t>
      </w:r>
      <w:r>
        <w:rPr>
          <w:rFonts w:hint="eastAsia" w:ascii="宋体" w:hAnsi="宋体" w:eastAsia="宋体" w:cs="宋体"/>
          <w:color w:val="auto"/>
          <w:kern w:val="2"/>
          <w:sz w:val="24"/>
          <w:szCs w:val="24"/>
          <w:lang w:eastAsia="zh-CN"/>
        </w:rPr>
        <w:t>招标文件</w:t>
      </w:r>
      <w:r>
        <w:rPr>
          <w:rFonts w:hint="eastAsia" w:ascii="宋体" w:hAnsi="宋体" w:eastAsia="宋体" w:cs="宋体"/>
          <w:color w:val="auto"/>
          <w:kern w:val="2"/>
          <w:sz w:val="24"/>
          <w:szCs w:val="24"/>
        </w:rPr>
        <w:t>所要求的性能指标等将视为没有实质性响应</w:t>
      </w:r>
      <w:r>
        <w:rPr>
          <w:rFonts w:hint="eastAsia" w:ascii="宋体" w:hAnsi="宋体" w:eastAsia="宋体" w:cs="宋体"/>
          <w:color w:val="auto"/>
          <w:kern w:val="2"/>
          <w:sz w:val="24"/>
          <w:szCs w:val="24"/>
          <w:lang w:eastAsia="zh-CN"/>
        </w:rPr>
        <w:t>招标文件</w:t>
      </w:r>
      <w:r>
        <w:rPr>
          <w:rFonts w:hint="eastAsia" w:ascii="宋体" w:hAnsi="宋体" w:eastAsia="宋体" w:cs="宋体"/>
          <w:color w:val="auto"/>
          <w:kern w:val="2"/>
          <w:sz w:val="24"/>
          <w:szCs w:val="24"/>
        </w:rPr>
        <w:t>。</w:t>
      </w:r>
      <w:r>
        <w:rPr>
          <w:rFonts w:hint="eastAsia" w:ascii="宋体" w:hAnsi="宋体" w:eastAsia="宋体" w:cs="宋体"/>
          <w:color w:val="auto"/>
          <w:kern w:val="2"/>
          <w:sz w:val="24"/>
          <w:szCs w:val="24"/>
          <w:lang w:val="en-US" w:eastAsia="zh-CN"/>
        </w:rPr>
        <w:t>“偏离情况”一栏应如实填写“正偏离”、“负偏离”或“无偏离”。</w:t>
      </w:r>
    </w:p>
    <w:p w14:paraId="469F152A">
      <w:pPr>
        <w:tabs>
          <w:tab w:val="left" w:pos="8125"/>
        </w:tabs>
        <w:kinsoku w:val="0"/>
        <w:overflowPunct w:val="0"/>
        <w:autoSpaceDE w:val="0"/>
        <w:autoSpaceDN w:val="0"/>
        <w:adjustRightInd w:val="0"/>
        <w:spacing w:before="176"/>
        <w:rPr>
          <w:rFonts w:hint="eastAsia" w:ascii="宋体" w:hAnsi="宋体" w:eastAsia="宋体" w:cs="宋体"/>
          <w:color w:val="auto"/>
          <w:spacing w:val="-1"/>
          <w:highlight w:val="none"/>
          <w:lang w:eastAsia="zh-CN"/>
        </w:rPr>
      </w:pPr>
    </w:p>
    <w:p w14:paraId="669C18F1">
      <w:pPr>
        <w:tabs>
          <w:tab w:val="left" w:pos="8125"/>
        </w:tabs>
        <w:kinsoku w:val="0"/>
        <w:overflowPunct w:val="0"/>
        <w:autoSpaceDE w:val="0"/>
        <w:autoSpaceDN w:val="0"/>
        <w:adjustRightInd w:val="0"/>
        <w:spacing w:before="176"/>
        <w:ind w:left="3026"/>
        <w:rPr>
          <w:rFonts w:hint="eastAsia" w:ascii="宋体" w:hAnsi="宋体" w:eastAsia="宋体" w:cs="宋体"/>
          <w:color w:val="auto"/>
          <w:spacing w:val="-1"/>
          <w:highlight w:val="none"/>
        </w:rPr>
      </w:pPr>
    </w:p>
    <w:p w14:paraId="72AF107D">
      <w:pPr>
        <w:tabs>
          <w:tab w:val="left" w:pos="8125"/>
        </w:tabs>
        <w:kinsoku w:val="0"/>
        <w:overflowPunct w:val="0"/>
        <w:autoSpaceDE w:val="0"/>
        <w:autoSpaceDN w:val="0"/>
        <w:adjustRightInd w:val="0"/>
        <w:spacing w:before="176"/>
        <w:ind w:left="3026"/>
        <w:rPr>
          <w:rFonts w:hint="eastAsia" w:ascii="宋体" w:hAnsi="宋体" w:eastAsia="宋体" w:cs="宋体"/>
          <w:color w:val="auto"/>
          <w:spacing w:val="-1"/>
          <w:highlight w:val="none"/>
        </w:rPr>
      </w:pPr>
    </w:p>
    <w:p w14:paraId="255DF9A1">
      <w:pPr>
        <w:tabs>
          <w:tab w:val="left" w:pos="8125"/>
        </w:tabs>
        <w:kinsoku w:val="0"/>
        <w:overflowPunct w:val="0"/>
        <w:autoSpaceDE w:val="0"/>
        <w:autoSpaceDN w:val="0"/>
        <w:adjustRightInd w:val="0"/>
        <w:spacing w:before="176"/>
        <w:ind w:left="3026"/>
        <w:rPr>
          <w:rFonts w:hint="eastAsia" w:ascii="宋体" w:hAnsi="宋体" w:eastAsia="宋体" w:cs="宋体"/>
          <w:color w:val="auto"/>
          <w:spacing w:val="-1"/>
          <w:highlight w:val="none"/>
        </w:rPr>
      </w:pPr>
    </w:p>
    <w:p w14:paraId="37815230">
      <w:pPr>
        <w:tabs>
          <w:tab w:val="left" w:pos="8125"/>
        </w:tabs>
        <w:kinsoku w:val="0"/>
        <w:overflowPunct w:val="0"/>
        <w:autoSpaceDE w:val="0"/>
        <w:autoSpaceDN w:val="0"/>
        <w:adjustRightInd w:val="0"/>
        <w:spacing w:before="176"/>
        <w:ind w:left="3026"/>
        <w:rPr>
          <w:rFonts w:hint="eastAsia" w:ascii="宋体" w:hAnsi="宋体" w:eastAsia="宋体" w:cs="宋体"/>
          <w:color w:val="auto"/>
          <w:spacing w:val="-1"/>
          <w:highlight w:val="none"/>
        </w:rPr>
      </w:pPr>
    </w:p>
    <w:p w14:paraId="0287F8CB">
      <w:pPr>
        <w:tabs>
          <w:tab w:val="left" w:pos="8125"/>
        </w:tabs>
        <w:kinsoku w:val="0"/>
        <w:overflowPunct w:val="0"/>
        <w:autoSpaceDE w:val="0"/>
        <w:autoSpaceDN w:val="0"/>
        <w:adjustRightInd w:val="0"/>
        <w:spacing w:before="176"/>
        <w:ind w:left="3026"/>
        <w:rPr>
          <w:rFonts w:hint="eastAsia" w:ascii="宋体" w:hAnsi="宋体" w:eastAsia="宋体" w:cs="宋体"/>
          <w:color w:val="auto"/>
          <w:spacing w:val="-1"/>
          <w:highlight w:val="none"/>
        </w:rPr>
      </w:pPr>
    </w:p>
    <w:p w14:paraId="78A0B486">
      <w:pPr>
        <w:tabs>
          <w:tab w:val="left" w:pos="8125"/>
        </w:tabs>
        <w:kinsoku w:val="0"/>
        <w:overflowPunct w:val="0"/>
        <w:autoSpaceDE w:val="0"/>
        <w:autoSpaceDN w:val="0"/>
        <w:adjustRightInd w:val="0"/>
        <w:spacing w:before="176"/>
        <w:ind w:left="3026"/>
        <w:rPr>
          <w:rFonts w:hint="eastAsia" w:ascii="宋体" w:hAnsi="宋体" w:eastAsia="宋体" w:cs="宋体"/>
          <w:color w:val="auto"/>
          <w:highlight w:val="none"/>
        </w:rPr>
      </w:pPr>
      <w:r>
        <w:rPr>
          <w:rFonts w:hint="eastAsia" w:ascii="宋体" w:hAnsi="宋体" w:eastAsia="宋体" w:cs="宋体"/>
          <w:color w:val="auto"/>
          <w:spacing w:val="-1"/>
          <w:highlight w:val="none"/>
        </w:rPr>
        <w:t>供应商</w:t>
      </w:r>
      <w:r>
        <w:rPr>
          <w:rFonts w:hint="eastAsia" w:ascii="宋体" w:hAnsi="宋体" w:eastAsia="宋体" w:cs="宋体"/>
          <w:color w:val="auto"/>
          <w:highlight w:val="none"/>
        </w:rPr>
        <w:t>（单位公章）：</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p>
    <w:p w14:paraId="56F3F452">
      <w:pPr>
        <w:kinsoku w:val="0"/>
        <w:overflowPunct w:val="0"/>
        <w:autoSpaceDE w:val="0"/>
        <w:autoSpaceDN w:val="0"/>
        <w:adjustRightInd w:val="0"/>
        <w:rPr>
          <w:rFonts w:hint="eastAsia" w:ascii="宋体" w:hAnsi="宋体" w:eastAsia="宋体" w:cs="宋体"/>
          <w:color w:val="auto"/>
          <w:sz w:val="20"/>
          <w:highlight w:val="none"/>
        </w:rPr>
      </w:pPr>
    </w:p>
    <w:p w14:paraId="3379DB67">
      <w:pPr>
        <w:kinsoku w:val="0"/>
        <w:overflowPunct w:val="0"/>
        <w:autoSpaceDE w:val="0"/>
        <w:autoSpaceDN w:val="0"/>
        <w:adjustRightInd w:val="0"/>
        <w:rPr>
          <w:rFonts w:hint="eastAsia" w:ascii="宋体" w:hAnsi="宋体" w:eastAsia="宋体" w:cs="宋体"/>
          <w:color w:val="auto"/>
          <w:sz w:val="20"/>
          <w:highlight w:val="none"/>
        </w:rPr>
      </w:pPr>
    </w:p>
    <w:p w14:paraId="209F88B5">
      <w:pPr>
        <w:tabs>
          <w:tab w:val="left" w:pos="9179"/>
        </w:tabs>
        <w:kinsoku w:val="0"/>
        <w:overflowPunct w:val="0"/>
        <w:autoSpaceDE w:val="0"/>
        <w:autoSpaceDN w:val="0"/>
        <w:adjustRightInd w:val="0"/>
        <w:spacing w:before="214"/>
        <w:ind w:left="3026"/>
        <w:rPr>
          <w:rFonts w:hint="eastAsia" w:ascii="宋体" w:hAnsi="宋体" w:eastAsia="宋体" w:cs="宋体"/>
          <w:color w:val="auto"/>
          <w:highlight w:val="none"/>
        </w:rPr>
      </w:pPr>
      <w:r>
        <w:rPr>
          <w:rFonts w:hint="eastAsia" w:ascii="宋体" w:hAnsi="宋体" w:eastAsia="宋体" w:cs="宋体"/>
          <w:color w:val="auto"/>
          <w:spacing w:val="-1"/>
          <w:highlight w:val="none"/>
        </w:rPr>
        <w:t>法</w:t>
      </w:r>
      <w:r>
        <w:rPr>
          <w:rFonts w:hint="eastAsia" w:ascii="宋体" w:hAnsi="宋体" w:eastAsia="宋体" w:cs="宋体"/>
          <w:color w:val="auto"/>
          <w:highlight w:val="none"/>
        </w:rPr>
        <w:t>定代表人或其授权委托人（签字或盖章）：</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p>
    <w:p w14:paraId="4BFB97F5">
      <w:pPr>
        <w:kinsoku w:val="0"/>
        <w:overflowPunct w:val="0"/>
        <w:autoSpaceDE w:val="0"/>
        <w:autoSpaceDN w:val="0"/>
        <w:adjustRightInd w:val="0"/>
        <w:rPr>
          <w:rFonts w:hint="eastAsia" w:ascii="宋体" w:hAnsi="宋体" w:eastAsia="宋体" w:cs="宋体"/>
          <w:color w:val="auto"/>
          <w:sz w:val="20"/>
          <w:highlight w:val="none"/>
        </w:rPr>
      </w:pPr>
    </w:p>
    <w:p w14:paraId="58CB9FD0">
      <w:pPr>
        <w:kinsoku w:val="0"/>
        <w:overflowPunct w:val="0"/>
        <w:autoSpaceDE w:val="0"/>
        <w:autoSpaceDN w:val="0"/>
        <w:adjustRightInd w:val="0"/>
        <w:spacing w:before="10"/>
        <w:rPr>
          <w:rFonts w:hint="eastAsia" w:ascii="宋体" w:hAnsi="宋体" w:eastAsia="宋体" w:cs="宋体"/>
          <w:color w:val="auto"/>
          <w:sz w:val="22"/>
          <w:highlight w:val="none"/>
        </w:rPr>
      </w:pPr>
    </w:p>
    <w:p w14:paraId="3EB6BDC4">
      <w:pPr>
        <w:pStyle w:val="16"/>
        <w:ind w:left="480"/>
        <w:jc w:val="righ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日</w:t>
      </w:r>
      <w:r>
        <w:rPr>
          <w:rFonts w:hint="eastAsia" w:ascii="宋体" w:hAnsi="宋体" w:eastAsia="宋体" w:cs="宋体"/>
          <w:color w:val="auto"/>
          <w:highlight w:val="none"/>
          <w:lang w:val="en-US" w:eastAsia="zh-CN"/>
        </w:rPr>
        <w:t xml:space="preserve">  </w:t>
      </w:r>
    </w:p>
    <w:p w14:paraId="3F00D3D4">
      <w:pPr>
        <w:pStyle w:val="16"/>
        <w:ind w:left="0" w:lef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r>
        <w:rPr>
          <w:rFonts w:hint="eastAsia" w:ascii="宋体" w:hAnsi="宋体" w:eastAsia="宋体" w:cs="宋体"/>
          <w:b/>
          <w:bCs/>
          <w:color w:val="auto"/>
          <w:kern w:val="2"/>
          <w:sz w:val="32"/>
          <w:szCs w:val="32"/>
          <w:highlight w:val="none"/>
          <w:lang w:val="en-US" w:eastAsia="zh-CN" w:bidi="ar-SA"/>
        </w:rPr>
        <w:t>八、售后服务及承诺</w:t>
      </w:r>
    </w:p>
    <w:p w14:paraId="1D6502DE">
      <w:pPr>
        <w:pStyle w:val="16"/>
        <w:ind w:left="0" w:leftChars="0" w:firstLine="24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注：供应商应根据招标文件要求及评审要素自行编制，格式自拟。</w:t>
      </w:r>
    </w:p>
    <w:p w14:paraId="3D1A6726">
      <w:pPr>
        <w:keepNext w:val="0"/>
        <w:keepLines w:val="0"/>
        <w:widowControl/>
        <w:suppressLineNumbers w:val="0"/>
        <w:jc w:val="center"/>
        <w:rPr>
          <w:rFonts w:hint="eastAsia" w:ascii="宋体" w:hAnsi="宋体" w:eastAsia="宋体" w:cs="宋体"/>
          <w:color w:val="auto"/>
          <w:sz w:val="32"/>
          <w:szCs w:val="32"/>
          <w:highlight w:val="none"/>
        </w:rPr>
      </w:pPr>
      <w:r>
        <w:rPr>
          <w:rFonts w:hint="eastAsia" w:ascii="宋体" w:hAnsi="宋体" w:eastAsia="宋体" w:cs="宋体"/>
          <w:color w:val="auto"/>
          <w:highlight w:val="none"/>
          <w:lang w:val="en-US" w:eastAsia="zh-CN"/>
        </w:rPr>
        <w:br w:type="page"/>
      </w:r>
      <w:r>
        <w:rPr>
          <w:rFonts w:hint="eastAsia" w:ascii="宋体" w:hAnsi="宋体" w:eastAsia="宋体" w:cs="宋体"/>
          <w:b/>
          <w:bCs/>
          <w:color w:val="auto"/>
          <w:kern w:val="2"/>
          <w:sz w:val="32"/>
          <w:szCs w:val="32"/>
          <w:highlight w:val="none"/>
          <w:lang w:val="en-US" w:eastAsia="zh-CN" w:bidi="ar-SA"/>
        </w:rPr>
        <w:t>九、业绩</w:t>
      </w:r>
    </w:p>
    <w:p w14:paraId="551ED5A7">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2B0EA97E">
      <w:pPr>
        <w:keepNext w:val="0"/>
        <w:keepLines w:val="0"/>
        <w:widowControl/>
        <w:suppressLineNumbers w:val="0"/>
        <w:spacing w:line="360" w:lineRule="auto"/>
        <w:jc w:val="left"/>
        <w:rPr>
          <w:rFonts w:hint="eastAsia" w:ascii="宋体" w:hAnsi="宋体" w:eastAsia="宋体" w:cs="宋体"/>
          <w:color w:val="auto"/>
          <w:highlight w:val="none"/>
          <w:lang w:val="en-US" w:eastAsia="zh-CN"/>
        </w:rPr>
        <w:sectPr>
          <w:pgSz w:w="11906" w:h="16838"/>
          <w:pgMar w:top="1440" w:right="1080" w:bottom="1440" w:left="1080" w:header="851" w:footer="992" w:gutter="0"/>
          <w:pgNumType w:fmt="decimal"/>
          <w:cols w:space="425" w:num="1"/>
          <w:docGrid w:type="lines" w:linePitch="312" w:charSpace="0"/>
        </w:sectPr>
      </w:pPr>
      <w:r>
        <w:rPr>
          <w:rFonts w:hint="eastAsia" w:ascii="宋体" w:hAnsi="宋体" w:eastAsia="宋体" w:cs="宋体"/>
          <w:color w:val="auto"/>
          <w:sz w:val="24"/>
          <w:highlight w:val="none"/>
          <w:lang w:val="en-US" w:eastAsia="zh-CN" w:bidi="ar-SA"/>
        </w:rPr>
        <w:t>注：</w:t>
      </w:r>
      <w:r>
        <w:rPr>
          <w:rFonts w:hint="eastAsia" w:ascii="宋体" w:hAnsi="宋体" w:eastAsia="宋体" w:cs="宋体"/>
          <w:color w:val="auto"/>
          <w:kern w:val="2"/>
          <w:sz w:val="22"/>
          <w:szCs w:val="24"/>
          <w:highlight w:val="none"/>
          <w:lang w:val="en-US" w:eastAsia="zh-CN" w:bidi="ar-SA"/>
        </w:rPr>
        <w:t>提供所投产品202</w:t>
      </w:r>
      <w:r>
        <w:rPr>
          <w:rFonts w:hint="eastAsia" w:hAnsi="宋体" w:cs="宋体"/>
          <w:color w:val="auto"/>
          <w:kern w:val="2"/>
          <w:sz w:val="22"/>
          <w:szCs w:val="24"/>
          <w:highlight w:val="none"/>
          <w:lang w:val="en-US" w:eastAsia="zh-CN" w:bidi="ar-SA"/>
        </w:rPr>
        <w:t>1</w:t>
      </w:r>
      <w:r>
        <w:rPr>
          <w:rFonts w:hint="eastAsia" w:ascii="宋体" w:hAnsi="宋体" w:eastAsia="宋体" w:cs="宋体"/>
          <w:color w:val="auto"/>
          <w:kern w:val="2"/>
          <w:sz w:val="22"/>
          <w:szCs w:val="24"/>
          <w:highlight w:val="none"/>
          <w:lang w:val="en-US" w:eastAsia="zh-CN" w:bidi="ar-SA"/>
        </w:rPr>
        <w:t>年1月以来的业绩证明</w:t>
      </w:r>
      <w:r>
        <w:rPr>
          <w:rFonts w:hint="eastAsia" w:hAnsi="宋体" w:cs="宋体"/>
          <w:color w:val="auto"/>
          <w:kern w:val="2"/>
          <w:sz w:val="22"/>
          <w:szCs w:val="24"/>
          <w:highlight w:val="none"/>
          <w:lang w:val="en-US" w:eastAsia="zh-CN" w:bidi="ar-SA"/>
        </w:rPr>
        <w:t>，</w:t>
      </w:r>
      <w:r>
        <w:rPr>
          <w:rFonts w:hint="eastAsia" w:ascii="宋体" w:hAnsi="宋体" w:eastAsia="宋体" w:cs="宋体"/>
          <w:color w:val="auto"/>
          <w:kern w:val="2"/>
          <w:sz w:val="22"/>
          <w:szCs w:val="24"/>
          <w:highlight w:val="none"/>
          <w:lang w:val="en-US" w:eastAsia="zh-CN" w:bidi="ar-SA"/>
        </w:rPr>
        <w:t>需提供采购合同。</w:t>
      </w:r>
    </w:p>
    <w:p w14:paraId="2E223B95">
      <w:pPr>
        <w:numPr>
          <w:ilvl w:val="0"/>
          <w:numId w:val="8"/>
        </w:numPr>
        <w:jc w:val="center"/>
        <w:rPr>
          <w:rFonts w:hint="eastAsia" w:ascii="宋体" w:hAnsi="宋体" w:eastAsia="宋体" w:cs="宋体"/>
          <w:b/>
          <w:bCs/>
          <w:color w:val="auto"/>
          <w:sz w:val="36"/>
          <w:szCs w:val="24"/>
          <w:lang w:val="en-US" w:eastAsia="zh-CN"/>
        </w:rPr>
      </w:pPr>
      <w:r>
        <w:rPr>
          <w:rFonts w:hint="eastAsia" w:ascii="宋体" w:hAnsi="宋体" w:eastAsia="宋体" w:cs="宋体"/>
          <w:b/>
          <w:bCs/>
          <w:color w:val="auto"/>
          <w:sz w:val="36"/>
          <w:szCs w:val="24"/>
          <w:lang w:val="en-US" w:eastAsia="zh-CN"/>
        </w:rPr>
        <w:t>其  他</w:t>
      </w:r>
    </w:p>
    <w:p w14:paraId="327208CE">
      <w:pPr>
        <w:pStyle w:val="36"/>
        <w:widowControl w:val="0"/>
        <w:numPr>
          <w:ilvl w:val="0"/>
          <w:numId w:val="0"/>
        </w:numPr>
        <w:jc w:val="both"/>
        <w:rPr>
          <w:rFonts w:hint="eastAsia" w:ascii="宋体" w:hAnsi="宋体" w:eastAsia="宋体" w:cs="宋体"/>
          <w:color w:val="auto"/>
          <w:lang w:val="en-US" w:eastAsia="zh-CN"/>
        </w:rPr>
      </w:pPr>
    </w:p>
    <w:p w14:paraId="1E4C6955">
      <w:pPr>
        <w:pStyle w:val="36"/>
        <w:widowControl w:val="0"/>
        <w:numPr>
          <w:ilvl w:val="0"/>
          <w:numId w:val="0"/>
        </w:numPr>
        <w:jc w:val="center"/>
        <w:rPr>
          <w:rFonts w:hint="eastAsia" w:ascii="宋体" w:hAnsi="宋体" w:eastAsia="宋体" w:cs="宋体"/>
          <w:color w:val="auto"/>
          <w:sz w:val="24"/>
          <w:szCs w:val="28"/>
          <w:lang w:val="en-US" w:eastAsia="zh-CN"/>
        </w:rPr>
        <w:sectPr>
          <w:pgSz w:w="11906" w:h="16838"/>
          <w:pgMar w:top="1440" w:right="1080" w:bottom="1440" w:left="1080" w:header="851" w:footer="992" w:gutter="0"/>
          <w:pgNumType w:fmt="decimal"/>
          <w:cols w:space="425" w:num="1"/>
          <w:docGrid w:type="lines" w:linePitch="312" w:charSpace="0"/>
        </w:sectPr>
      </w:pPr>
      <w:r>
        <w:rPr>
          <w:rFonts w:hint="eastAsia" w:ascii="宋体" w:hAnsi="宋体" w:eastAsia="宋体" w:cs="宋体"/>
          <w:color w:val="auto"/>
          <w:sz w:val="24"/>
          <w:szCs w:val="28"/>
          <w:lang w:val="en-US" w:eastAsia="zh-CN"/>
        </w:rPr>
        <w:t>（供应商认为其他有必要的说明）</w:t>
      </w:r>
    </w:p>
    <w:p w14:paraId="50EAF064">
      <w:pPr>
        <w:spacing w:after="190" w:afterLines="50" w:line="480" w:lineRule="exact"/>
        <w:ind w:firstLine="482" w:firstLineChars="200"/>
        <w:jc w:val="left"/>
        <w:rPr>
          <w:rFonts w:hint="eastAsia" w:ascii="宋体" w:hAnsi="宋体" w:eastAsia="宋体" w:cs="宋体"/>
          <w:b/>
          <w:color w:val="auto"/>
          <w:highlight w:val="none"/>
          <w:lang w:val="en-US" w:eastAsia="zh-CN"/>
        </w:rPr>
      </w:pPr>
      <w:r>
        <w:rPr>
          <w:rFonts w:hint="eastAsia" w:ascii="宋体" w:hAnsi="宋体" w:eastAsia="宋体" w:cs="宋体"/>
          <w:b/>
          <w:color w:val="auto"/>
          <w:highlight w:val="none"/>
          <w:lang w:val="en-US" w:eastAsia="zh-CN"/>
        </w:rPr>
        <w:t>附表1：</w:t>
      </w:r>
    </w:p>
    <w:p w14:paraId="351D0BD6">
      <w:pPr>
        <w:spacing w:after="190" w:afterLines="50" w:line="480" w:lineRule="exact"/>
        <w:ind w:firstLine="482" w:firstLineChars="200"/>
        <w:jc w:val="center"/>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 xml:space="preserve">中小企业声明函（货物） </w:t>
      </w:r>
    </w:p>
    <w:p w14:paraId="7FA6CB1A">
      <w:pPr>
        <w:spacing w:after="190" w:afterLines="50" w:line="480" w:lineRule="exact"/>
        <w:ind w:firstLine="480" w:firstLineChars="200"/>
        <w:jc w:val="both"/>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本公司（联合体）郑重声明，根据《政府采购促进中小企业发展管理办法》（财库﹝2020﹞46 号）的规定，本公司（联合体）参加</w:t>
      </w:r>
      <w:r>
        <w:rPr>
          <w:rFonts w:hint="eastAsia" w:ascii="宋体" w:hAnsi="宋体" w:eastAsia="宋体" w:cs="宋体"/>
          <w:b w:val="0"/>
          <w:bCs/>
          <w:color w:val="auto"/>
          <w:highlight w:val="none"/>
          <w:u w:val="single"/>
          <w:lang w:val="en-US" w:eastAsia="zh-CN"/>
        </w:rPr>
        <w:t>（单位名称）</w:t>
      </w:r>
      <w:r>
        <w:rPr>
          <w:rFonts w:hint="eastAsia" w:ascii="宋体" w:hAnsi="宋体" w:eastAsia="宋体" w:cs="宋体"/>
          <w:b w:val="0"/>
          <w:bCs/>
          <w:color w:val="auto"/>
          <w:highlight w:val="none"/>
          <w:lang w:val="en-US" w:eastAsia="zh-CN"/>
        </w:rPr>
        <w:t>的</w:t>
      </w:r>
      <w:r>
        <w:rPr>
          <w:rFonts w:hint="eastAsia" w:ascii="宋体" w:hAnsi="宋体" w:eastAsia="宋体" w:cs="宋体"/>
          <w:b w:val="0"/>
          <w:bCs/>
          <w:color w:val="auto"/>
          <w:highlight w:val="none"/>
          <w:u w:val="single"/>
          <w:lang w:val="en-US" w:eastAsia="zh-CN"/>
        </w:rPr>
        <w:t>（项目名称）</w:t>
      </w:r>
      <w:r>
        <w:rPr>
          <w:rFonts w:hint="eastAsia" w:ascii="宋体" w:hAnsi="宋体" w:eastAsia="宋体" w:cs="宋体"/>
          <w:b w:val="0"/>
          <w:bCs/>
          <w:color w:val="auto"/>
          <w:highlight w:val="none"/>
          <w:lang w:val="en-US" w:eastAsia="zh-CN"/>
        </w:rPr>
        <w:t xml:space="preserve">采购活动，提供的货物全部由符合政策要求的中小企业制造。相关企业（含联合体中的中小企业、签订分包意向协议的中小企业）的具体情况如下： </w:t>
      </w:r>
    </w:p>
    <w:p w14:paraId="1894B350">
      <w:pPr>
        <w:spacing w:after="190" w:afterLines="50" w:line="480" w:lineRule="exact"/>
        <w:ind w:firstLine="480" w:firstLineChars="200"/>
        <w:jc w:val="both"/>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1.</w:t>
      </w:r>
      <w:r>
        <w:rPr>
          <w:rFonts w:hint="eastAsia" w:ascii="宋体" w:hAnsi="宋体" w:eastAsia="宋体" w:cs="宋体"/>
          <w:b w:val="0"/>
          <w:bCs/>
          <w:color w:val="auto"/>
          <w:highlight w:val="none"/>
          <w:u w:val="single"/>
          <w:lang w:val="en-US" w:eastAsia="zh-CN"/>
        </w:rPr>
        <w:t xml:space="preserve"> （标的名称） </w:t>
      </w:r>
      <w:r>
        <w:rPr>
          <w:rFonts w:hint="eastAsia" w:ascii="宋体" w:hAnsi="宋体" w:eastAsia="宋体" w:cs="宋体"/>
          <w:b w:val="0"/>
          <w:bCs/>
          <w:color w:val="auto"/>
          <w:highlight w:val="none"/>
          <w:lang w:val="en-US" w:eastAsia="zh-CN"/>
        </w:rPr>
        <w:t>，属于</w:t>
      </w:r>
      <w:r>
        <w:rPr>
          <w:rFonts w:hint="eastAsia" w:ascii="宋体" w:hAnsi="宋体" w:eastAsia="宋体" w:cs="宋体"/>
          <w:b w:val="0"/>
          <w:bCs/>
          <w:color w:val="auto"/>
          <w:highlight w:val="none"/>
          <w:u w:val="single"/>
          <w:lang w:val="en-US" w:eastAsia="zh-CN"/>
        </w:rPr>
        <w:t>（采购文件中明确的所属行业）</w:t>
      </w:r>
      <w:r>
        <w:rPr>
          <w:rFonts w:hint="eastAsia" w:ascii="宋体" w:hAnsi="宋体" w:eastAsia="宋体" w:cs="宋体"/>
          <w:b w:val="0"/>
          <w:bCs/>
          <w:color w:val="auto"/>
          <w:highlight w:val="none"/>
          <w:lang w:val="en-US" w:eastAsia="zh-CN"/>
        </w:rPr>
        <w:t>行业；制造商为</w:t>
      </w:r>
      <w:r>
        <w:rPr>
          <w:rFonts w:hint="eastAsia" w:ascii="宋体" w:hAnsi="宋体" w:eastAsia="宋体" w:cs="宋体"/>
          <w:b w:val="0"/>
          <w:bCs/>
          <w:color w:val="auto"/>
          <w:highlight w:val="none"/>
          <w:u w:val="single"/>
          <w:lang w:val="en-US" w:eastAsia="zh-CN"/>
        </w:rPr>
        <w:t>（企业名称）</w:t>
      </w:r>
      <w:r>
        <w:rPr>
          <w:rFonts w:hint="eastAsia" w:ascii="宋体" w:hAnsi="宋体" w:eastAsia="宋体" w:cs="宋体"/>
          <w:b w:val="0"/>
          <w:bCs/>
          <w:color w:val="auto"/>
          <w:highlight w:val="none"/>
          <w:lang w:val="en-US" w:eastAsia="zh-CN"/>
        </w:rPr>
        <w:t>，从业人员</w:t>
      </w:r>
      <w:r>
        <w:rPr>
          <w:rFonts w:hint="eastAsia" w:ascii="宋体" w:hAnsi="宋体" w:eastAsia="宋体" w:cs="宋体"/>
          <w:b w:val="0"/>
          <w:bCs/>
          <w:color w:val="auto"/>
          <w:highlight w:val="none"/>
          <w:u w:val="single"/>
          <w:lang w:val="en-US" w:eastAsia="zh-CN"/>
        </w:rPr>
        <w:t xml:space="preserve">      </w:t>
      </w:r>
      <w:r>
        <w:rPr>
          <w:rFonts w:hint="eastAsia" w:ascii="宋体" w:hAnsi="宋体" w:eastAsia="宋体" w:cs="宋体"/>
          <w:b w:val="0"/>
          <w:bCs/>
          <w:color w:val="auto"/>
          <w:highlight w:val="none"/>
          <w:lang w:val="en-US" w:eastAsia="zh-CN"/>
        </w:rPr>
        <w:t>人，营业收入为</w:t>
      </w:r>
      <w:r>
        <w:rPr>
          <w:rFonts w:hint="eastAsia" w:ascii="宋体" w:hAnsi="宋体" w:eastAsia="宋体" w:cs="宋体"/>
          <w:b w:val="0"/>
          <w:bCs/>
          <w:color w:val="auto"/>
          <w:highlight w:val="none"/>
          <w:u w:val="single"/>
          <w:lang w:val="en-US" w:eastAsia="zh-CN"/>
        </w:rPr>
        <w:t xml:space="preserve">        </w:t>
      </w:r>
      <w:r>
        <w:rPr>
          <w:rFonts w:hint="eastAsia" w:ascii="宋体" w:hAnsi="宋体" w:eastAsia="宋体" w:cs="宋体"/>
          <w:b w:val="0"/>
          <w:bCs/>
          <w:color w:val="auto"/>
          <w:highlight w:val="none"/>
          <w:lang w:val="en-US" w:eastAsia="zh-CN"/>
        </w:rPr>
        <w:t>万元，资产总额为</w:t>
      </w:r>
      <w:r>
        <w:rPr>
          <w:rFonts w:hint="eastAsia" w:ascii="宋体" w:hAnsi="宋体" w:eastAsia="宋体" w:cs="宋体"/>
          <w:b w:val="0"/>
          <w:bCs/>
          <w:color w:val="auto"/>
          <w:highlight w:val="none"/>
          <w:u w:val="single"/>
          <w:lang w:val="en-US" w:eastAsia="zh-CN"/>
        </w:rPr>
        <w:t xml:space="preserve">      </w:t>
      </w:r>
      <w:r>
        <w:rPr>
          <w:rFonts w:hint="eastAsia" w:ascii="宋体" w:hAnsi="宋体" w:eastAsia="宋体" w:cs="宋体"/>
          <w:b w:val="0"/>
          <w:bCs/>
          <w:color w:val="auto"/>
          <w:highlight w:val="none"/>
          <w:lang w:val="en-US" w:eastAsia="zh-CN"/>
        </w:rPr>
        <w:t>万元¹，属于</w:t>
      </w:r>
      <w:r>
        <w:rPr>
          <w:rFonts w:hint="eastAsia" w:ascii="宋体" w:hAnsi="宋体" w:eastAsia="宋体" w:cs="宋体"/>
          <w:b w:val="0"/>
          <w:bCs/>
          <w:color w:val="auto"/>
          <w:highlight w:val="none"/>
          <w:u w:val="single"/>
          <w:lang w:val="en-US" w:eastAsia="zh-CN"/>
        </w:rPr>
        <w:t>（中型企业、小型企业、微型企业）</w:t>
      </w:r>
      <w:r>
        <w:rPr>
          <w:rFonts w:hint="eastAsia" w:ascii="宋体" w:hAnsi="宋体" w:eastAsia="宋体" w:cs="宋体"/>
          <w:b w:val="0"/>
          <w:bCs/>
          <w:color w:val="auto"/>
          <w:highlight w:val="none"/>
          <w:lang w:val="en-US" w:eastAsia="zh-CN"/>
        </w:rPr>
        <w:t xml:space="preserve">； </w:t>
      </w:r>
    </w:p>
    <w:p w14:paraId="775D7D21">
      <w:pPr>
        <w:spacing w:after="190" w:afterLines="50" w:line="480" w:lineRule="exact"/>
        <w:ind w:firstLine="480" w:firstLineChars="200"/>
        <w:jc w:val="both"/>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 xml:space="preserve">2. </w:t>
      </w:r>
      <w:r>
        <w:rPr>
          <w:rFonts w:hint="eastAsia" w:ascii="宋体" w:hAnsi="宋体" w:eastAsia="宋体" w:cs="宋体"/>
          <w:b w:val="0"/>
          <w:bCs/>
          <w:color w:val="auto"/>
          <w:highlight w:val="none"/>
          <w:u w:val="single"/>
          <w:lang w:val="en-US" w:eastAsia="zh-CN"/>
        </w:rPr>
        <w:t xml:space="preserve">（标的名称） </w:t>
      </w:r>
      <w:r>
        <w:rPr>
          <w:rFonts w:hint="eastAsia" w:ascii="宋体" w:hAnsi="宋体" w:eastAsia="宋体" w:cs="宋体"/>
          <w:b w:val="0"/>
          <w:bCs/>
          <w:color w:val="auto"/>
          <w:highlight w:val="none"/>
          <w:lang w:val="en-US" w:eastAsia="zh-CN"/>
        </w:rPr>
        <w:t>，属于</w:t>
      </w:r>
      <w:r>
        <w:rPr>
          <w:rFonts w:hint="eastAsia" w:ascii="宋体" w:hAnsi="宋体" w:eastAsia="宋体" w:cs="宋体"/>
          <w:b w:val="0"/>
          <w:bCs/>
          <w:color w:val="auto"/>
          <w:highlight w:val="none"/>
          <w:u w:val="single"/>
          <w:lang w:val="en-US" w:eastAsia="zh-CN"/>
        </w:rPr>
        <w:t>（采购文件中明确的所属行业）</w:t>
      </w:r>
      <w:r>
        <w:rPr>
          <w:rFonts w:hint="eastAsia" w:ascii="宋体" w:hAnsi="宋体" w:eastAsia="宋体" w:cs="宋体"/>
          <w:b w:val="0"/>
          <w:bCs/>
          <w:color w:val="auto"/>
          <w:highlight w:val="none"/>
          <w:lang w:val="en-US" w:eastAsia="zh-CN"/>
        </w:rPr>
        <w:t>行业；制造商为（企业名称），从业人员</w:t>
      </w:r>
      <w:r>
        <w:rPr>
          <w:rFonts w:hint="eastAsia" w:ascii="宋体" w:hAnsi="宋体" w:eastAsia="宋体" w:cs="宋体"/>
          <w:b w:val="0"/>
          <w:bCs/>
          <w:color w:val="auto"/>
          <w:highlight w:val="none"/>
          <w:u w:val="single"/>
          <w:lang w:val="en-US" w:eastAsia="zh-CN"/>
        </w:rPr>
        <w:t xml:space="preserve">      </w:t>
      </w:r>
      <w:r>
        <w:rPr>
          <w:rFonts w:hint="eastAsia" w:ascii="宋体" w:hAnsi="宋体" w:eastAsia="宋体" w:cs="宋体"/>
          <w:b w:val="0"/>
          <w:bCs/>
          <w:color w:val="auto"/>
          <w:highlight w:val="none"/>
          <w:lang w:val="en-US" w:eastAsia="zh-CN"/>
        </w:rPr>
        <w:t>人，营业收入为</w:t>
      </w:r>
      <w:r>
        <w:rPr>
          <w:rFonts w:hint="eastAsia" w:ascii="宋体" w:hAnsi="宋体" w:eastAsia="宋体" w:cs="宋体"/>
          <w:b w:val="0"/>
          <w:bCs/>
          <w:color w:val="auto"/>
          <w:highlight w:val="none"/>
          <w:u w:val="single"/>
          <w:lang w:val="en-US" w:eastAsia="zh-CN"/>
        </w:rPr>
        <w:t xml:space="preserve">        </w:t>
      </w:r>
      <w:r>
        <w:rPr>
          <w:rFonts w:hint="eastAsia" w:ascii="宋体" w:hAnsi="宋体" w:eastAsia="宋体" w:cs="宋体"/>
          <w:b w:val="0"/>
          <w:bCs/>
          <w:color w:val="auto"/>
          <w:highlight w:val="none"/>
          <w:lang w:val="en-US" w:eastAsia="zh-CN"/>
        </w:rPr>
        <w:t>万元，资产总额为</w:t>
      </w:r>
      <w:r>
        <w:rPr>
          <w:rFonts w:hint="eastAsia" w:ascii="宋体" w:hAnsi="宋体" w:eastAsia="宋体" w:cs="宋体"/>
          <w:b w:val="0"/>
          <w:bCs/>
          <w:color w:val="auto"/>
          <w:highlight w:val="none"/>
          <w:u w:val="single"/>
          <w:lang w:val="en-US" w:eastAsia="zh-CN"/>
        </w:rPr>
        <w:t xml:space="preserve">       </w:t>
      </w:r>
      <w:r>
        <w:rPr>
          <w:rFonts w:hint="eastAsia" w:ascii="宋体" w:hAnsi="宋体" w:eastAsia="宋体" w:cs="宋体"/>
          <w:b w:val="0"/>
          <w:bCs/>
          <w:color w:val="auto"/>
          <w:highlight w:val="none"/>
          <w:lang w:val="en-US" w:eastAsia="zh-CN"/>
        </w:rPr>
        <w:t>万元，属于</w:t>
      </w:r>
      <w:r>
        <w:rPr>
          <w:rFonts w:hint="eastAsia" w:ascii="宋体" w:hAnsi="宋体" w:eastAsia="宋体" w:cs="宋体"/>
          <w:b w:val="0"/>
          <w:bCs/>
          <w:color w:val="auto"/>
          <w:highlight w:val="none"/>
          <w:u w:val="single"/>
          <w:lang w:val="en-US" w:eastAsia="zh-CN"/>
        </w:rPr>
        <w:t xml:space="preserve">                </w:t>
      </w:r>
      <w:r>
        <w:rPr>
          <w:rFonts w:hint="eastAsia" w:ascii="宋体" w:hAnsi="宋体" w:eastAsia="宋体" w:cs="宋体"/>
          <w:b w:val="0"/>
          <w:bCs/>
          <w:color w:val="auto"/>
          <w:highlight w:val="none"/>
          <w:u w:val="none"/>
          <w:lang w:val="en-US" w:eastAsia="zh-CN"/>
        </w:rPr>
        <w:t>（中型企业、小型企业、微型企业）</w:t>
      </w:r>
      <w:r>
        <w:rPr>
          <w:rFonts w:hint="eastAsia" w:ascii="宋体" w:hAnsi="宋体" w:eastAsia="宋体" w:cs="宋体"/>
          <w:b w:val="0"/>
          <w:bCs/>
          <w:color w:val="auto"/>
          <w:highlight w:val="none"/>
          <w:lang w:val="en-US" w:eastAsia="zh-CN"/>
        </w:rPr>
        <w:t xml:space="preserve">； </w:t>
      </w:r>
    </w:p>
    <w:p w14:paraId="2F57133E">
      <w:pPr>
        <w:spacing w:after="190" w:afterLines="50" w:line="480" w:lineRule="exact"/>
        <w:ind w:firstLine="480" w:firstLineChars="200"/>
        <w:jc w:val="both"/>
        <w:rPr>
          <w:rFonts w:hint="eastAsia"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w:t>
      </w:r>
    </w:p>
    <w:p w14:paraId="368283EF">
      <w:pPr>
        <w:spacing w:after="190" w:afterLines="50" w:line="480" w:lineRule="exact"/>
        <w:ind w:firstLine="480" w:firstLineChars="200"/>
        <w:jc w:val="both"/>
        <w:rPr>
          <w:rFonts w:hint="eastAsia"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以上企业，不属于大企业的分支机构，不存在控股股东为大企业的情形，也不存在与大企业的负责人为同一人的情形。</w:t>
      </w:r>
    </w:p>
    <w:p w14:paraId="55A2E8B0">
      <w:pPr>
        <w:spacing w:after="190" w:afterLines="50" w:line="480" w:lineRule="exact"/>
        <w:ind w:firstLine="480" w:firstLineChars="200"/>
        <w:jc w:val="both"/>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 xml:space="preserve">本企业对上述声明内容的真实性负责。如有虚假，将依法承担相应责任。 </w:t>
      </w:r>
    </w:p>
    <w:p w14:paraId="36146D6F">
      <w:pPr>
        <w:spacing w:after="190" w:afterLines="50" w:line="480" w:lineRule="exact"/>
        <w:ind w:firstLine="480" w:firstLineChars="200"/>
        <w:jc w:val="center"/>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 xml:space="preserve">              企业名称（盖章）： </w:t>
      </w:r>
    </w:p>
    <w:p w14:paraId="20E25862">
      <w:pPr>
        <w:spacing w:after="190" w:afterLines="50" w:line="480" w:lineRule="exact"/>
        <w:ind w:firstLine="480" w:firstLineChars="200"/>
        <w:jc w:val="center"/>
        <w:rPr>
          <w:rFonts w:hint="eastAsia"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 xml:space="preserve">   日 期：</w:t>
      </w:r>
    </w:p>
    <w:p w14:paraId="044CC125">
      <w:pPr>
        <w:widowControl w:val="0"/>
        <w:spacing w:after="120" w:afterLines="0" w:line="312" w:lineRule="auto"/>
        <w:ind w:firstLine="420"/>
        <w:jc w:val="both"/>
        <w:rPr>
          <w:rFonts w:hint="eastAsia" w:ascii="宋体" w:hAnsi="宋体" w:eastAsia="宋体" w:cs="宋体"/>
          <w:b w:val="0"/>
          <w:bCs/>
          <w:color w:val="auto"/>
          <w:kern w:val="2"/>
          <w:sz w:val="28"/>
          <w:szCs w:val="28"/>
          <w:highlight w:val="none"/>
          <w:lang w:val="en-US" w:eastAsia="zh-CN" w:bidi="ar-SA"/>
        </w:rPr>
      </w:pPr>
      <w:r>
        <w:rPr>
          <w:rFonts w:hint="eastAsia" w:ascii="宋体" w:hAnsi="宋体" w:eastAsia="宋体" w:cs="宋体"/>
          <w:b w:val="0"/>
          <w:bCs/>
          <w:color w:val="auto"/>
          <w:kern w:val="2"/>
          <w:sz w:val="28"/>
          <w:szCs w:val="28"/>
          <w:highlight w:val="none"/>
          <w:lang w:val="en-US" w:eastAsia="zh-CN" w:bidi="ar-SA"/>
        </w:rPr>
        <w:t>注：¹从业人员、营业收入、资产总额填报上一年度数据，无上一年度数据的新成立企业可不填报。</w:t>
      </w:r>
    </w:p>
    <w:p w14:paraId="59769011">
      <w:pPr>
        <w:spacing w:after="190" w:afterLines="50" w:line="480" w:lineRule="exact"/>
        <w:ind w:firstLine="482" w:firstLineChars="200"/>
        <w:jc w:val="center"/>
        <w:rPr>
          <w:rFonts w:hint="eastAsia" w:ascii="宋体" w:hAnsi="宋体" w:eastAsia="宋体" w:cs="宋体"/>
          <w:b/>
          <w:bCs w:val="0"/>
          <w:color w:val="auto"/>
          <w:highlight w:val="none"/>
          <w:lang w:val="en-US" w:eastAsia="zh-CN"/>
        </w:rPr>
      </w:pPr>
    </w:p>
    <w:p w14:paraId="6BF4085C">
      <w:pPr>
        <w:spacing w:after="190" w:afterLines="50" w:line="480" w:lineRule="exact"/>
        <w:ind w:firstLine="482" w:firstLineChars="200"/>
        <w:jc w:val="center"/>
        <w:rPr>
          <w:rFonts w:hint="eastAsia" w:ascii="宋体" w:hAnsi="宋体" w:eastAsia="宋体" w:cs="宋体"/>
          <w:b/>
          <w:bCs w:val="0"/>
          <w:color w:val="auto"/>
          <w:highlight w:val="none"/>
          <w:lang w:val="en-US" w:eastAsia="zh-CN"/>
        </w:rPr>
      </w:pPr>
    </w:p>
    <w:p w14:paraId="05A84466">
      <w:pPr>
        <w:widowControl w:val="0"/>
        <w:spacing w:after="120" w:afterLines="0" w:line="312" w:lineRule="auto"/>
        <w:ind w:left="0" w:leftChars="0" w:firstLine="0" w:firstLineChars="0"/>
        <w:jc w:val="both"/>
        <w:rPr>
          <w:rFonts w:hint="eastAsia" w:ascii="宋体" w:hAnsi="宋体" w:eastAsia="宋体" w:cs="宋体"/>
          <w:b/>
          <w:color w:val="auto"/>
          <w:kern w:val="2"/>
          <w:sz w:val="21"/>
          <w:highlight w:val="none"/>
          <w:lang w:val="en-US" w:eastAsia="zh-CN" w:bidi="ar-SA"/>
        </w:rPr>
      </w:pPr>
    </w:p>
    <w:p w14:paraId="507D16D9">
      <w:pPr>
        <w:spacing w:after="190" w:afterLines="50" w:line="480" w:lineRule="exact"/>
        <w:ind w:firstLine="482" w:firstLineChars="200"/>
        <w:jc w:val="center"/>
        <w:rPr>
          <w:rFonts w:hint="eastAsia" w:ascii="宋体" w:hAnsi="宋体" w:eastAsia="宋体" w:cs="宋体"/>
          <w:b/>
          <w:color w:val="auto"/>
          <w:highlight w:val="none"/>
        </w:rPr>
      </w:pPr>
      <w:r>
        <w:rPr>
          <w:rFonts w:hint="eastAsia" w:ascii="宋体" w:hAnsi="宋体" w:eastAsia="宋体" w:cs="宋体"/>
          <w:b/>
          <w:color w:val="auto"/>
          <w:highlight w:val="none"/>
        </w:rPr>
        <w:br w:type="page"/>
      </w:r>
    </w:p>
    <w:p w14:paraId="1E05A6F2">
      <w:pPr>
        <w:spacing w:after="190" w:afterLines="50" w:line="480" w:lineRule="exact"/>
        <w:ind w:firstLine="482" w:firstLineChars="200"/>
        <w:jc w:val="left"/>
        <w:rPr>
          <w:rFonts w:hint="eastAsia" w:ascii="宋体" w:hAnsi="宋体" w:eastAsia="宋体" w:cs="宋体"/>
          <w:b/>
          <w:color w:val="auto"/>
          <w:highlight w:val="none"/>
          <w:lang w:val="en-US" w:eastAsia="zh-CN"/>
        </w:rPr>
      </w:pPr>
      <w:r>
        <w:rPr>
          <w:rFonts w:hint="eastAsia" w:ascii="宋体" w:hAnsi="宋体" w:eastAsia="宋体" w:cs="宋体"/>
          <w:b/>
          <w:color w:val="auto"/>
          <w:highlight w:val="none"/>
          <w:lang w:eastAsia="zh-CN"/>
        </w:rPr>
        <w:t>附表</w:t>
      </w:r>
      <w:r>
        <w:rPr>
          <w:rFonts w:hint="eastAsia" w:ascii="宋体" w:hAnsi="宋体" w:eastAsia="宋体" w:cs="宋体"/>
          <w:b/>
          <w:color w:val="auto"/>
          <w:highlight w:val="none"/>
          <w:lang w:val="en-US" w:eastAsia="zh-CN"/>
        </w:rPr>
        <w:t>2：</w:t>
      </w:r>
    </w:p>
    <w:p w14:paraId="1EC28B9A">
      <w:pPr>
        <w:spacing w:after="190" w:afterLines="50" w:line="480" w:lineRule="exact"/>
        <w:ind w:firstLine="482" w:firstLineChars="200"/>
        <w:jc w:val="center"/>
        <w:rPr>
          <w:rFonts w:hint="eastAsia" w:ascii="宋体" w:hAnsi="宋体" w:eastAsia="宋体" w:cs="宋体"/>
          <w:b/>
          <w:color w:val="auto"/>
          <w:highlight w:val="none"/>
        </w:rPr>
      </w:pPr>
      <w:r>
        <w:rPr>
          <w:rFonts w:hint="eastAsia" w:ascii="宋体" w:hAnsi="宋体" w:eastAsia="宋体" w:cs="宋体"/>
          <w:b/>
          <w:color w:val="auto"/>
          <w:highlight w:val="none"/>
        </w:rPr>
        <w:t>残疾人福利性单位声明函（格式）</w:t>
      </w:r>
    </w:p>
    <w:p w14:paraId="42FF41C5">
      <w:pPr>
        <w:spacing w:after="190" w:afterLines="50" w:line="4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（项目编号：           ）采购活动提供本单位制造的货物（由本单位承担工程/提供服务），或者提供其他残疾人福利性单位制造的货物（不包括使用非残疾人福利性单位注册商标的货物）。</w:t>
      </w:r>
    </w:p>
    <w:p w14:paraId="6FBE8A7E">
      <w:pPr>
        <w:spacing w:after="190" w:afterLines="50" w:line="4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本单位对上述声明的真实性负责。如有虚假，将依法承担相应责任。</w:t>
      </w:r>
    </w:p>
    <w:p w14:paraId="7E0CED69">
      <w:pPr>
        <w:spacing w:after="190" w:afterLines="50" w:line="480" w:lineRule="exact"/>
        <w:ind w:firstLine="4080" w:firstLineChars="1700"/>
        <w:rPr>
          <w:rFonts w:hint="eastAsia" w:ascii="宋体" w:hAnsi="宋体" w:eastAsia="宋体" w:cs="宋体"/>
          <w:color w:val="auto"/>
          <w:highlight w:val="none"/>
        </w:rPr>
      </w:pPr>
      <w:r>
        <w:rPr>
          <w:rFonts w:hint="eastAsia" w:ascii="宋体" w:hAnsi="宋体" w:eastAsia="宋体" w:cs="宋体"/>
          <w:color w:val="auto"/>
          <w:highlight w:val="none"/>
        </w:rPr>
        <w:t>供应商：（加盖</w:t>
      </w:r>
      <w:r>
        <w:rPr>
          <w:rFonts w:hint="eastAsia" w:ascii="宋体" w:hAnsi="宋体" w:eastAsia="宋体" w:cs="宋体"/>
          <w:color w:val="auto"/>
          <w:highlight w:val="none"/>
          <w:lang w:eastAsia="zh-CN"/>
        </w:rPr>
        <w:t>鲜章</w:t>
      </w:r>
      <w:r>
        <w:rPr>
          <w:rFonts w:hint="eastAsia" w:ascii="宋体" w:hAnsi="宋体" w:eastAsia="宋体" w:cs="宋体"/>
          <w:color w:val="auto"/>
          <w:highlight w:val="none"/>
        </w:rPr>
        <w:t>）</w:t>
      </w:r>
    </w:p>
    <w:p w14:paraId="0F99086B">
      <w:pPr>
        <w:spacing w:after="190" w:afterLines="50" w:line="480" w:lineRule="exact"/>
        <w:ind w:firstLine="2400" w:firstLineChars="1000"/>
        <w:rPr>
          <w:rFonts w:hint="eastAsia" w:ascii="宋体" w:hAnsi="宋体" w:eastAsia="宋体" w:cs="宋体"/>
          <w:color w:val="auto"/>
          <w:highlight w:val="none"/>
        </w:rPr>
      </w:pPr>
      <w:r>
        <w:rPr>
          <w:rFonts w:hint="eastAsia" w:ascii="宋体" w:hAnsi="宋体" w:eastAsia="宋体" w:cs="宋体"/>
          <w:color w:val="auto"/>
          <w:highlight w:val="none"/>
        </w:rPr>
        <w:t>法定代表人或被授权人：（签字或盖章）</w:t>
      </w:r>
    </w:p>
    <w:p w14:paraId="652BE6D5">
      <w:pPr>
        <w:spacing w:after="190" w:afterLines="50" w:line="480" w:lineRule="exact"/>
        <w:ind w:firstLine="4080" w:firstLineChars="1700"/>
        <w:rPr>
          <w:rFonts w:hint="eastAsia" w:ascii="宋体" w:hAnsi="宋体" w:eastAsia="宋体" w:cs="宋体"/>
          <w:color w:val="auto"/>
          <w:highlight w:val="none"/>
        </w:rPr>
      </w:pPr>
      <w:r>
        <w:rPr>
          <w:rFonts w:hint="eastAsia" w:ascii="宋体" w:hAnsi="宋体" w:eastAsia="宋体" w:cs="宋体"/>
          <w:color w:val="auto"/>
          <w:highlight w:val="none"/>
        </w:rPr>
        <w:t>日　期：　年　月　日</w:t>
      </w:r>
    </w:p>
    <w:p w14:paraId="59DF74B4">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4BD88379">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6A866F2B">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4BFAEC94">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45A6A4EE">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6A061DAC">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5F57DAE4">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560CAD1E">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2060A1F7">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5DD9D0E1">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3F0A01A6">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p>
    <w:p w14:paraId="3A9B96AC">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br w:type="page"/>
      </w:r>
    </w:p>
    <w:p w14:paraId="54002E37">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left"/>
        <w:textAlignment w:val="auto"/>
        <w:rPr>
          <w:rFonts w:hint="eastAsia" w:ascii="宋体" w:hAnsi="宋体" w:eastAsia="宋体" w:cs="宋体"/>
          <w:b/>
          <w:color w:val="auto"/>
          <w:highlight w:val="none"/>
          <w:lang w:val="en-US" w:eastAsia="zh-CN"/>
        </w:rPr>
      </w:pPr>
      <w:r>
        <w:rPr>
          <w:rFonts w:hint="eastAsia" w:ascii="宋体" w:hAnsi="宋体" w:eastAsia="宋体" w:cs="宋体"/>
          <w:b/>
          <w:color w:val="auto"/>
          <w:highlight w:val="none"/>
          <w:lang w:eastAsia="zh-CN"/>
        </w:rPr>
        <w:t>附表</w:t>
      </w:r>
      <w:r>
        <w:rPr>
          <w:rFonts w:hint="eastAsia" w:ascii="宋体" w:hAnsi="宋体" w:eastAsia="宋体" w:cs="宋体"/>
          <w:b/>
          <w:color w:val="auto"/>
          <w:highlight w:val="none"/>
          <w:lang w:val="en-US" w:eastAsia="zh-CN"/>
        </w:rPr>
        <w:t>3：</w:t>
      </w:r>
    </w:p>
    <w:p w14:paraId="7A559E4A">
      <w:pPr>
        <w:keepNext w:val="0"/>
        <w:keepLines w:val="0"/>
        <w:pageBreakBefore w:val="0"/>
        <w:widowControl/>
        <w:kinsoku/>
        <w:wordWrap/>
        <w:overflowPunct/>
        <w:topLinePunct w:val="0"/>
        <w:autoSpaceDE/>
        <w:autoSpaceDN/>
        <w:bidi w:val="0"/>
        <w:adjustRightInd/>
        <w:snapToGrid/>
        <w:spacing w:after="190" w:afterLines="50" w:line="480" w:lineRule="exact"/>
        <w:ind w:firstLine="0" w:firstLineChars="0"/>
        <w:jc w:val="center"/>
        <w:textAlignment w:val="auto"/>
        <w:rPr>
          <w:rFonts w:hint="eastAsia" w:ascii="宋体" w:hAnsi="宋体" w:eastAsia="宋体" w:cs="宋体"/>
          <w:b/>
          <w:color w:val="auto"/>
          <w:highlight w:val="none"/>
        </w:rPr>
      </w:pPr>
      <w:r>
        <w:rPr>
          <w:rFonts w:hint="eastAsia" w:ascii="宋体" w:hAnsi="宋体" w:eastAsia="宋体" w:cs="宋体"/>
          <w:b/>
          <w:color w:val="auto"/>
          <w:sz w:val="28"/>
          <w:szCs w:val="21"/>
          <w:highlight w:val="none"/>
        </w:rPr>
        <w:t>监狱企业证明函</w:t>
      </w:r>
    </w:p>
    <w:p w14:paraId="3EB4CF74">
      <w:pPr>
        <w:spacing w:after="190" w:afterLines="50" w:line="4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CB4696F">
      <w:pPr>
        <w:spacing w:after="190" w:afterLines="50" w:line="48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监狱企业参加政府采购活动时，应当提供由省级以上监狱管理局、戒毒管理局（含新疆生产建设兵团）出具的属于监狱企业的证明文件。</w:t>
      </w:r>
    </w:p>
    <w:p w14:paraId="12140F00">
      <w:pPr>
        <w:spacing w:after="190" w:afterLines="50" w:line="480" w:lineRule="exact"/>
        <w:ind w:firstLine="4080" w:firstLineChars="1700"/>
        <w:rPr>
          <w:rFonts w:hint="eastAsia" w:ascii="宋体" w:hAnsi="宋体" w:eastAsia="宋体" w:cs="宋体"/>
          <w:color w:val="auto"/>
          <w:highlight w:val="none"/>
        </w:rPr>
      </w:pPr>
      <w:r>
        <w:rPr>
          <w:rFonts w:hint="eastAsia" w:ascii="宋体" w:hAnsi="宋体" w:eastAsia="宋体" w:cs="宋体"/>
          <w:color w:val="auto"/>
          <w:highlight w:val="none"/>
        </w:rPr>
        <w:t>供应商：（加盖</w:t>
      </w:r>
      <w:r>
        <w:rPr>
          <w:rFonts w:hint="eastAsia" w:ascii="宋体" w:hAnsi="宋体" w:eastAsia="宋体" w:cs="宋体"/>
          <w:color w:val="auto"/>
          <w:highlight w:val="none"/>
          <w:lang w:eastAsia="zh-CN"/>
        </w:rPr>
        <w:t>鲜章</w:t>
      </w:r>
      <w:r>
        <w:rPr>
          <w:rFonts w:hint="eastAsia" w:ascii="宋体" w:hAnsi="宋体" w:eastAsia="宋体" w:cs="宋体"/>
          <w:color w:val="auto"/>
          <w:highlight w:val="none"/>
        </w:rPr>
        <w:t>）</w:t>
      </w:r>
    </w:p>
    <w:p w14:paraId="4A49483A">
      <w:pPr>
        <w:spacing w:after="190" w:afterLines="50" w:line="480" w:lineRule="exact"/>
        <w:ind w:firstLine="2400" w:firstLineChars="1000"/>
        <w:rPr>
          <w:rFonts w:hint="eastAsia" w:ascii="宋体" w:hAnsi="宋体" w:eastAsia="宋体" w:cs="宋体"/>
          <w:color w:val="auto"/>
          <w:highlight w:val="none"/>
        </w:rPr>
      </w:pPr>
      <w:r>
        <w:rPr>
          <w:rFonts w:hint="eastAsia" w:ascii="宋体" w:hAnsi="宋体" w:eastAsia="宋体" w:cs="宋体"/>
          <w:color w:val="auto"/>
          <w:highlight w:val="none"/>
        </w:rPr>
        <w:t>法定代表人或被授权人：（签字或盖章）</w:t>
      </w:r>
    </w:p>
    <w:p w14:paraId="493A5A82">
      <w:pPr>
        <w:bidi w:val="0"/>
        <w:ind w:firstLine="3840" w:firstLineChars="1600"/>
        <w:rPr>
          <w:rFonts w:hint="eastAsia" w:ascii="宋体" w:hAnsi="宋体" w:eastAsia="宋体" w:cs="宋体"/>
          <w:color w:val="auto"/>
          <w:sz w:val="32"/>
          <w:szCs w:val="32"/>
          <w:highlight w:val="none"/>
        </w:rPr>
      </w:pPr>
      <w:r>
        <w:rPr>
          <w:rFonts w:hint="eastAsia" w:ascii="宋体" w:hAnsi="宋体" w:eastAsia="宋体" w:cs="宋体"/>
          <w:color w:val="auto"/>
          <w:highlight w:val="none"/>
        </w:rPr>
        <w:t>日　期：　年　月　日</w:t>
      </w:r>
    </w:p>
    <w:p w14:paraId="137CB7C5">
      <w:pPr>
        <w:pStyle w:val="36"/>
        <w:rPr>
          <w:rFonts w:hint="eastAsia" w:ascii="宋体" w:hAnsi="宋体" w:eastAsia="宋体" w:cs="宋体"/>
          <w:color w:val="auto"/>
          <w:lang w:val="en-US" w:eastAsia="zh-CN"/>
        </w:rPr>
      </w:pPr>
    </w:p>
    <w:p w14:paraId="63EDF3F9">
      <w:pPr>
        <w:bidi w:val="0"/>
        <w:rPr>
          <w:rFonts w:hint="eastAsia" w:ascii="宋体" w:hAnsi="宋体" w:eastAsia="宋体" w:cs="宋体"/>
          <w:color w:val="auto"/>
          <w:highlight w:val="none"/>
          <w:lang w:val="en-US" w:eastAsia="zh-CN"/>
        </w:rPr>
      </w:pPr>
    </w:p>
    <w:p w14:paraId="49EF3CAA">
      <w:pPr>
        <w:bidi w:val="0"/>
        <w:rPr>
          <w:rFonts w:hint="eastAsia" w:ascii="宋体" w:hAnsi="宋体" w:eastAsia="宋体" w:cs="宋体"/>
          <w:color w:val="auto"/>
          <w:highlight w:val="none"/>
          <w:lang w:val="en-US" w:eastAsia="zh-CN"/>
        </w:rPr>
      </w:pPr>
    </w:p>
    <w:p w14:paraId="59476A69">
      <w:pPr>
        <w:tabs>
          <w:tab w:val="left" w:pos="5472"/>
        </w:tabs>
        <w:bidi w:val="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ab/>
      </w:r>
    </w:p>
    <w:p w14:paraId="0056942C">
      <w:pPr>
        <w:rPr>
          <w:rFonts w:hint="eastAsia" w:ascii="宋体" w:hAnsi="宋体" w:eastAsia="宋体" w:cs="宋体"/>
          <w:color w:val="auto"/>
          <w:highlight w:val="none"/>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ingFang SC Regular">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兰亭黑3_GBK">
    <w:altName w:val="黑体"/>
    <w:panose1 w:val="02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7ACA0">
    <w:pPr>
      <w:tabs>
        <w:tab w:val="left" w:pos="5646"/>
      </w:tabs>
      <w:rPr>
        <w:b/>
        <w:bCs/>
        <w:sz w:val="11"/>
        <w:szCs w:val="11"/>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10DE2">
    <w:pPr>
      <w:tabs>
        <w:tab w:val="left" w:pos="5646"/>
      </w:tabs>
      <w:rPr>
        <w:b/>
        <w:bCs/>
        <w:sz w:val="11"/>
        <w:szCs w:val="11"/>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55CBD">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555CBD">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76EBE">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A291C">
                          <w:pPr>
                            <w:pStyle w:val="14"/>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FEA291C">
                    <w:pPr>
                      <w:pStyle w:val="14"/>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0A88C">
    <w:pPr>
      <w:pStyle w:val="15"/>
      <w:pBdr>
        <w:bottom w:val="none" w:color="auto" w:sz="0" w:space="1"/>
      </w:pBdr>
      <w:jc w:val="left"/>
      <w:rPr>
        <w:rFonts w:hint="eastAsia"/>
        <w:sz w:val="11"/>
        <w:szCs w:val="11"/>
      </w:rPr>
    </w:pPr>
    <w:r>
      <w:rPr>
        <w:rFonts w:hint="eastAsia" w:hAnsi="宋体"/>
        <w:sz w:val="24"/>
        <w:szCs w:val="24"/>
      </w:rPr>
      <w:t xml:space="preserve">               </w:t>
    </w:r>
    <w:r>
      <w:rPr>
        <w:rFonts w:hint="eastAsia" w:hAnsi="宋体"/>
        <w:sz w:val="11"/>
        <w:szCs w:val="11"/>
      </w:rPr>
      <w:t xml:space="preserve">  </w:t>
    </w:r>
    <w:r>
      <w:rPr>
        <w:rFonts w:hint="eastAsia"/>
        <w:sz w:val="11"/>
        <w:szCs w:val="1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07E55">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EF8B3"/>
    <w:multiLevelType w:val="singleLevel"/>
    <w:tmpl w:val="DBCEF8B3"/>
    <w:lvl w:ilvl="0" w:tentative="0">
      <w:start w:val="1"/>
      <w:numFmt w:val="chineseCounting"/>
      <w:suff w:val="nothing"/>
      <w:lvlText w:val="（%1）"/>
      <w:lvlJc w:val="left"/>
      <w:pPr>
        <w:ind w:left="0" w:firstLine="420"/>
      </w:pPr>
      <w:rPr>
        <w:rFonts w:hint="eastAsia"/>
      </w:rPr>
    </w:lvl>
  </w:abstractNum>
  <w:abstractNum w:abstractNumId="1">
    <w:nsid w:val="27317F11"/>
    <w:multiLevelType w:val="singleLevel"/>
    <w:tmpl w:val="27317F11"/>
    <w:lvl w:ilvl="0" w:tentative="0">
      <w:start w:val="10"/>
      <w:numFmt w:val="chineseCounting"/>
      <w:suff w:val="nothing"/>
      <w:lvlText w:val="%1、"/>
      <w:lvlJc w:val="left"/>
      <w:rPr>
        <w:rFonts w:hint="eastAsia"/>
      </w:rPr>
    </w:lvl>
  </w:abstractNum>
  <w:abstractNum w:abstractNumId="2">
    <w:nsid w:val="53EC41AD"/>
    <w:multiLevelType w:val="singleLevel"/>
    <w:tmpl w:val="53EC41AD"/>
    <w:lvl w:ilvl="0" w:tentative="0">
      <w:start w:val="1"/>
      <w:numFmt w:val="decimal"/>
      <w:lvlText w:val="（%1）"/>
      <w:lvlJc w:val="left"/>
      <w:pPr>
        <w:tabs>
          <w:tab w:val="left" w:pos="720"/>
        </w:tabs>
        <w:ind w:left="720" w:hanging="720"/>
      </w:pPr>
      <w:rPr>
        <w:rFonts w:hint="eastAsia"/>
      </w:rPr>
    </w:lvl>
  </w:abstractNum>
  <w:abstractNum w:abstractNumId="3">
    <w:nsid w:val="59B5F382"/>
    <w:multiLevelType w:val="singleLevel"/>
    <w:tmpl w:val="59B5F382"/>
    <w:lvl w:ilvl="0" w:tentative="0">
      <w:start w:val="1"/>
      <w:numFmt w:val="decimal"/>
      <w:suff w:val="nothing"/>
      <w:lvlText w:val="%1、"/>
      <w:lvlJc w:val="left"/>
    </w:lvl>
  </w:abstractNum>
  <w:abstractNum w:abstractNumId="4">
    <w:nsid w:val="635A525F"/>
    <w:multiLevelType w:val="singleLevel"/>
    <w:tmpl w:val="635A525F"/>
    <w:lvl w:ilvl="0" w:tentative="0">
      <w:start w:val="1"/>
      <w:numFmt w:val="decimal"/>
      <w:suff w:val="nothing"/>
      <w:lvlText w:val="（%1）"/>
      <w:lvlJc w:val="left"/>
    </w:lvl>
  </w:abstractNum>
  <w:abstractNum w:abstractNumId="5">
    <w:nsid w:val="66E9E478"/>
    <w:multiLevelType w:val="singleLevel"/>
    <w:tmpl w:val="66E9E478"/>
    <w:lvl w:ilvl="0" w:tentative="0">
      <w:start w:val="1"/>
      <w:numFmt w:val="chineseCounting"/>
      <w:suff w:val="space"/>
      <w:lvlText w:val="第%1章"/>
      <w:lvlJc w:val="left"/>
      <w:rPr>
        <w:rFonts w:hint="eastAsia"/>
      </w:rPr>
    </w:lvl>
  </w:abstractNum>
  <w:abstractNum w:abstractNumId="6">
    <w:nsid w:val="68E2A7ED"/>
    <w:multiLevelType w:val="multilevel"/>
    <w:tmpl w:val="68E2A7ED"/>
    <w:lvl w:ilvl="0" w:tentative="0">
      <w:start w:val="1"/>
      <w:numFmt w:val="chineseCounting"/>
      <w:lvlText w:val="%1、"/>
      <w:lvlJc w:val="center"/>
      <w:pPr>
        <w:tabs>
          <w:tab w:val="left" w:pos="0"/>
        </w:tabs>
        <w:ind w:left="0" w:leftChars="0" w:firstLine="0" w:firstLineChars="0"/>
      </w:pPr>
      <w:rPr>
        <w:rFonts w:hint="eastAsia" w:ascii="宋体" w:hAnsi="宋体" w:eastAsia="宋体" w:cs="宋体"/>
      </w:rPr>
    </w:lvl>
    <w:lvl w:ilvl="1" w:tentative="0">
      <w:start w:val="1"/>
      <w:numFmt w:val="decimal"/>
      <w:isLgl/>
      <w:lvlText w:val="%1.%2."/>
      <w:lvlJc w:val="left"/>
      <w:pPr>
        <w:tabs>
          <w:tab w:val="left" w:pos="0"/>
        </w:tabs>
        <w:ind w:left="0" w:leftChars="0" w:firstLine="0" w:firstLineChars="0"/>
      </w:pPr>
      <w:rPr>
        <w:rFonts w:hint="eastAsia" w:ascii="宋体" w:hAnsi="宋体" w:eastAsia="宋体" w:cs="宋体"/>
      </w:rPr>
    </w:lvl>
    <w:lvl w:ilvl="2" w:tentative="0">
      <w:start w:val="1"/>
      <w:numFmt w:val="decimal"/>
      <w:isLgl/>
      <w:lvlText w:val="%1.%2.%3."/>
      <w:lvlJc w:val="left"/>
      <w:pPr>
        <w:tabs>
          <w:tab w:val="left" w:pos="0"/>
        </w:tabs>
        <w:ind w:left="0" w:leftChars="0" w:firstLine="0" w:firstLineChars="0"/>
      </w:pPr>
      <w:rPr>
        <w:rFonts w:hint="eastAsia" w:ascii="宋体" w:hAnsi="宋体" w:eastAsia="宋体" w:cs="宋体"/>
      </w:rPr>
    </w:lvl>
    <w:lvl w:ilvl="3" w:tentative="0">
      <w:start w:val="1"/>
      <w:numFmt w:val="decimal"/>
      <w:isLgl/>
      <w:lvlText w:val="%1.%2.%3.%4."/>
      <w:lvlJc w:val="left"/>
      <w:pPr>
        <w:tabs>
          <w:tab w:val="left" w:pos="0"/>
        </w:tabs>
        <w:ind w:left="0" w:leftChars="0" w:firstLine="0" w:firstLineChars="0"/>
      </w:pPr>
      <w:rPr>
        <w:rFonts w:hint="eastAsia" w:ascii="宋体" w:hAnsi="宋体" w:eastAsia="宋体" w:cs="宋体"/>
      </w:rPr>
    </w:lvl>
    <w:lvl w:ilvl="4" w:tentative="0">
      <w:start w:val="1"/>
      <w:numFmt w:val="decimal"/>
      <w:pStyle w:val="7"/>
      <w:isLgl/>
      <w:lvlText w:val="%1.%2.%3.%4.%5."/>
      <w:lvlJc w:val="left"/>
      <w:pPr>
        <w:tabs>
          <w:tab w:val="left" w:pos="0"/>
        </w:tabs>
        <w:ind w:left="0" w:leftChars="0" w:firstLine="0" w:firstLineChars="0"/>
      </w:pPr>
      <w:rPr>
        <w:rFonts w:hint="eastAsia" w:ascii="宋体" w:hAnsi="宋体" w:eastAsia="宋体" w:cs="宋体"/>
      </w:rPr>
    </w:lvl>
    <w:lvl w:ilvl="5" w:tentative="0">
      <w:start w:val="1"/>
      <w:numFmt w:val="decimal"/>
      <w:isLgl/>
      <w:lvlText w:val="%1.%2.%3.%4.%5.%6."/>
      <w:lvlJc w:val="left"/>
      <w:pPr>
        <w:tabs>
          <w:tab w:val="left" w:pos="0"/>
        </w:tabs>
        <w:ind w:left="0" w:leftChars="0" w:firstLine="0" w:firstLineChars="0"/>
      </w:pPr>
      <w:rPr>
        <w:rFonts w:hint="eastAsia" w:ascii="宋体" w:hAnsi="宋体" w:eastAsia="宋体" w:cs="宋体"/>
      </w:rPr>
    </w:lvl>
    <w:lvl w:ilvl="6" w:tentative="0">
      <w:start w:val="1"/>
      <w:numFmt w:val="decimal"/>
      <w:isLgl/>
      <w:lvlText w:val="%1.%2.%3.%4.%5.%6.%7."/>
      <w:lvlJc w:val="left"/>
      <w:pPr>
        <w:tabs>
          <w:tab w:val="left" w:pos="0"/>
        </w:tabs>
        <w:ind w:left="0" w:leftChars="0" w:firstLine="0" w:firstLineChars="0"/>
      </w:pPr>
      <w:rPr>
        <w:rFonts w:hint="eastAsia" w:ascii="宋体" w:hAnsi="宋体" w:eastAsia="宋体" w:cs="宋体"/>
      </w:rPr>
    </w:lvl>
    <w:lvl w:ilvl="7" w:tentative="0">
      <w:start w:val="1"/>
      <w:numFmt w:val="decimal"/>
      <w:isLgl/>
      <w:lvlText w:val="%1.%2.%3.%4.%5.%6.%7.%8."/>
      <w:lvlJc w:val="left"/>
      <w:pPr>
        <w:tabs>
          <w:tab w:val="left" w:pos="0"/>
        </w:tabs>
        <w:ind w:left="0" w:leftChars="0" w:firstLine="0" w:firstLineChars="0"/>
      </w:pPr>
      <w:rPr>
        <w:rFonts w:hint="eastAsia" w:ascii="宋体" w:hAnsi="宋体" w:eastAsia="宋体" w:cs="宋体"/>
      </w:rPr>
    </w:lvl>
    <w:lvl w:ilvl="8" w:tentative="0">
      <w:start w:val="1"/>
      <w:numFmt w:val="decimal"/>
      <w:isLgl/>
      <w:lvlText w:val="%1.%2.%3.%4.%5.%6.%7.%8.%9."/>
      <w:lvlJc w:val="left"/>
      <w:pPr>
        <w:tabs>
          <w:tab w:val="left" w:pos="0"/>
        </w:tabs>
        <w:ind w:left="0" w:leftChars="0" w:firstLine="0" w:firstLineChars="0"/>
      </w:pPr>
      <w:rPr>
        <w:rFonts w:hint="eastAsia" w:ascii="宋体" w:hAnsi="宋体" w:eastAsia="宋体" w:cs="宋体"/>
      </w:rPr>
    </w:lvl>
  </w:abstractNum>
  <w:abstractNum w:abstractNumId="7">
    <w:nsid w:val="7CF81029"/>
    <w:multiLevelType w:val="multilevel"/>
    <w:tmpl w:val="7CF81029"/>
    <w:lvl w:ilvl="0" w:tentative="0">
      <w:start w:val="1"/>
      <w:numFmt w:val="decimal"/>
      <w:lvlText w:val="%1)"/>
      <w:lvlJc w:val="left"/>
      <w:pPr>
        <w:ind w:left="1260" w:hanging="420"/>
      </w:pPr>
      <w:rPr>
        <w:color w:val="auto"/>
      </w:rPr>
    </w:lvl>
    <w:lvl w:ilvl="1" w:tentative="0">
      <w:start w:val="3"/>
      <w:numFmt w:val="bullet"/>
      <w:lvlText w:val="※"/>
      <w:lvlJc w:val="left"/>
      <w:pPr>
        <w:ind w:left="1620" w:hanging="360"/>
      </w:pPr>
      <w:rPr>
        <w:rFonts w:hint="eastAsia" w:ascii="宋体" w:hAnsi="宋体" w:eastAsia="宋体" w:cs="Times New Roman"/>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6"/>
  </w:num>
  <w:num w:numId="2">
    <w:abstractNumId w:val="5"/>
  </w:num>
  <w:num w:numId="3">
    <w:abstractNumId w:val="3"/>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hYLtxqteskXfbO3RJlrFs2tib74=" w:salt="K9RSnc3q6haMrqpPDSdNO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lNzNjYzZhMTI1ZDlmMjY3MzNjZDk2YmYzZDcxOTcifQ=="/>
  </w:docVars>
  <w:rsids>
    <w:rsidRoot w:val="00000000"/>
    <w:rsid w:val="00305CE7"/>
    <w:rsid w:val="00724552"/>
    <w:rsid w:val="00F8328E"/>
    <w:rsid w:val="010F7FF3"/>
    <w:rsid w:val="01611D08"/>
    <w:rsid w:val="01AC75F0"/>
    <w:rsid w:val="01F3521E"/>
    <w:rsid w:val="020531A4"/>
    <w:rsid w:val="02217FDE"/>
    <w:rsid w:val="028024DC"/>
    <w:rsid w:val="033B3CC3"/>
    <w:rsid w:val="033E696D"/>
    <w:rsid w:val="034F2B61"/>
    <w:rsid w:val="03716D43"/>
    <w:rsid w:val="037C7496"/>
    <w:rsid w:val="038A570F"/>
    <w:rsid w:val="03CD0BA3"/>
    <w:rsid w:val="03DF1EFE"/>
    <w:rsid w:val="03FB660C"/>
    <w:rsid w:val="03FE7EAB"/>
    <w:rsid w:val="04177516"/>
    <w:rsid w:val="041947EA"/>
    <w:rsid w:val="0433224A"/>
    <w:rsid w:val="0456571D"/>
    <w:rsid w:val="047A5783"/>
    <w:rsid w:val="04B8274F"/>
    <w:rsid w:val="05E97064"/>
    <w:rsid w:val="05EA6938"/>
    <w:rsid w:val="061B2F96"/>
    <w:rsid w:val="06224324"/>
    <w:rsid w:val="06386822"/>
    <w:rsid w:val="066C1A43"/>
    <w:rsid w:val="06744454"/>
    <w:rsid w:val="069F7723"/>
    <w:rsid w:val="06B546E4"/>
    <w:rsid w:val="06C929F2"/>
    <w:rsid w:val="06CE0008"/>
    <w:rsid w:val="07350087"/>
    <w:rsid w:val="075F7288"/>
    <w:rsid w:val="07E61381"/>
    <w:rsid w:val="081C3F2B"/>
    <w:rsid w:val="08206641"/>
    <w:rsid w:val="084F5179"/>
    <w:rsid w:val="08847F54"/>
    <w:rsid w:val="08987851"/>
    <w:rsid w:val="08B907F0"/>
    <w:rsid w:val="08BB280E"/>
    <w:rsid w:val="08C8716E"/>
    <w:rsid w:val="08F8136C"/>
    <w:rsid w:val="090C3711"/>
    <w:rsid w:val="09181A0E"/>
    <w:rsid w:val="09722ECD"/>
    <w:rsid w:val="0978425B"/>
    <w:rsid w:val="097F1A8E"/>
    <w:rsid w:val="09886B94"/>
    <w:rsid w:val="09D04097"/>
    <w:rsid w:val="0A165F4E"/>
    <w:rsid w:val="0A313C48"/>
    <w:rsid w:val="0A73514E"/>
    <w:rsid w:val="0A99092D"/>
    <w:rsid w:val="0AE72AE5"/>
    <w:rsid w:val="0B0154CD"/>
    <w:rsid w:val="0B3B3792"/>
    <w:rsid w:val="0B440899"/>
    <w:rsid w:val="0B7373D0"/>
    <w:rsid w:val="0B8733BF"/>
    <w:rsid w:val="0B884C29"/>
    <w:rsid w:val="0B8D2240"/>
    <w:rsid w:val="0BA805B6"/>
    <w:rsid w:val="0BA8707A"/>
    <w:rsid w:val="0BF25456"/>
    <w:rsid w:val="0C2318C0"/>
    <w:rsid w:val="0C5C1C12"/>
    <w:rsid w:val="0C680125"/>
    <w:rsid w:val="0C6A07D3"/>
    <w:rsid w:val="0C7B478E"/>
    <w:rsid w:val="0C7B653C"/>
    <w:rsid w:val="0CA25E47"/>
    <w:rsid w:val="0CF54541"/>
    <w:rsid w:val="0D5958FD"/>
    <w:rsid w:val="0D5B62AF"/>
    <w:rsid w:val="0D604CD8"/>
    <w:rsid w:val="0D6276FC"/>
    <w:rsid w:val="0D7511DD"/>
    <w:rsid w:val="0D7A67F4"/>
    <w:rsid w:val="0D8C6527"/>
    <w:rsid w:val="0D8E229F"/>
    <w:rsid w:val="0DA675E9"/>
    <w:rsid w:val="0DCB34F3"/>
    <w:rsid w:val="0DCE6B40"/>
    <w:rsid w:val="0DEB14A0"/>
    <w:rsid w:val="0E06277D"/>
    <w:rsid w:val="0E121122"/>
    <w:rsid w:val="0E2A1FC8"/>
    <w:rsid w:val="0E6D47F0"/>
    <w:rsid w:val="0E884F40"/>
    <w:rsid w:val="0EE664C2"/>
    <w:rsid w:val="0F225395"/>
    <w:rsid w:val="0F5D017B"/>
    <w:rsid w:val="0F704352"/>
    <w:rsid w:val="0F73352C"/>
    <w:rsid w:val="0F7F6343"/>
    <w:rsid w:val="0FCB1589"/>
    <w:rsid w:val="0FF00FEF"/>
    <w:rsid w:val="0FF97C5A"/>
    <w:rsid w:val="103510F8"/>
    <w:rsid w:val="104B611C"/>
    <w:rsid w:val="11987B90"/>
    <w:rsid w:val="11B807DC"/>
    <w:rsid w:val="11C10E95"/>
    <w:rsid w:val="11C664AC"/>
    <w:rsid w:val="11CE3A4B"/>
    <w:rsid w:val="11D02E86"/>
    <w:rsid w:val="11D0732A"/>
    <w:rsid w:val="120314AE"/>
    <w:rsid w:val="12064FAC"/>
    <w:rsid w:val="12863E8D"/>
    <w:rsid w:val="12977E48"/>
    <w:rsid w:val="129D5EFB"/>
    <w:rsid w:val="12D76496"/>
    <w:rsid w:val="12FE3A23"/>
    <w:rsid w:val="1312127D"/>
    <w:rsid w:val="136A2E67"/>
    <w:rsid w:val="137B5074"/>
    <w:rsid w:val="137D703E"/>
    <w:rsid w:val="13A32202"/>
    <w:rsid w:val="13E14DFF"/>
    <w:rsid w:val="141554C8"/>
    <w:rsid w:val="14663E36"/>
    <w:rsid w:val="14E32ED1"/>
    <w:rsid w:val="150D2643"/>
    <w:rsid w:val="15A5287C"/>
    <w:rsid w:val="16003B3A"/>
    <w:rsid w:val="164266D8"/>
    <w:rsid w:val="16442095"/>
    <w:rsid w:val="167A1613"/>
    <w:rsid w:val="167D30DC"/>
    <w:rsid w:val="16AB1E30"/>
    <w:rsid w:val="16F5338F"/>
    <w:rsid w:val="174379F2"/>
    <w:rsid w:val="177D585E"/>
    <w:rsid w:val="17FD074D"/>
    <w:rsid w:val="18167A61"/>
    <w:rsid w:val="18A312F5"/>
    <w:rsid w:val="18C272A1"/>
    <w:rsid w:val="18C33745"/>
    <w:rsid w:val="18EE62E8"/>
    <w:rsid w:val="193C34F7"/>
    <w:rsid w:val="19616ABA"/>
    <w:rsid w:val="196F567B"/>
    <w:rsid w:val="1A253F8B"/>
    <w:rsid w:val="1A6920CA"/>
    <w:rsid w:val="1A8E0D39"/>
    <w:rsid w:val="1A974E89"/>
    <w:rsid w:val="1AF5395E"/>
    <w:rsid w:val="1AFC6A9A"/>
    <w:rsid w:val="1B16120C"/>
    <w:rsid w:val="1B487F31"/>
    <w:rsid w:val="1BF46F59"/>
    <w:rsid w:val="1C063FC0"/>
    <w:rsid w:val="1C544EFF"/>
    <w:rsid w:val="1C654B13"/>
    <w:rsid w:val="1CAE357B"/>
    <w:rsid w:val="1CB6711D"/>
    <w:rsid w:val="1CF0262F"/>
    <w:rsid w:val="1CFC0FD3"/>
    <w:rsid w:val="1D5C7CC4"/>
    <w:rsid w:val="1D8965DF"/>
    <w:rsid w:val="1DD50EE3"/>
    <w:rsid w:val="1DF66931"/>
    <w:rsid w:val="1E114F52"/>
    <w:rsid w:val="1E2E3C5B"/>
    <w:rsid w:val="1E3824DF"/>
    <w:rsid w:val="1E4C1AE7"/>
    <w:rsid w:val="1E9B0CC0"/>
    <w:rsid w:val="1EE14925"/>
    <w:rsid w:val="1F3D5349"/>
    <w:rsid w:val="1FA871F0"/>
    <w:rsid w:val="1FAA740D"/>
    <w:rsid w:val="1FF16DE9"/>
    <w:rsid w:val="1FF93EF0"/>
    <w:rsid w:val="201F6892"/>
    <w:rsid w:val="20384A18"/>
    <w:rsid w:val="204809D3"/>
    <w:rsid w:val="207D242B"/>
    <w:rsid w:val="208714FC"/>
    <w:rsid w:val="20A976C4"/>
    <w:rsid w:val="20AF1DF1"/>
    <w:rsid w:val="20C20786"/>
    <w:rsid w:val="20E64474"/>
    <w:rsid w:val="20FA4ACC"/>
    <w:rsid w:val="210112AE"/>
    <w:rsid w:val="210B3EDB"/>
    <w:rsid w:val="211D7750"/>
    <w:rsid w:val="21AD4928"/>
    <w:rsid w:val="220628F4"/>
    <w:rsid w:val="220B7F0B"/>
    <w:rsid w:val="22140B6D"/>
    <w:rsid w:val="22237002"/>
    <w:rsid w:val="22743D02"/>
    <w:rsid w:val="22794E74"/>
    <w:rsid w:val="22827C08"/>
    <w:rsid w:val="22833F45"/>
    <w:rsid w:val="22BB723B"/>
    <w:rsid w:val="22C5455D"/>
    <w:rsid w:val="230518A8"/>
    <w:rsid w:val="233768F0"/>
    <w:rsid w:val="23867849"/>
    <w:rsid w:val="23C8659F"/>
    <w:rsid w:val="23F01166"/>
    <w:rsid w:val="24170DE9"/>
    <w:rsid w:val="24883A94"/>
    <w:rsid w:val="24E06336"/>
    <w:rsid w:val="24EE1B49"/>
    <w:rsid w:val="25020A0E"/>
    <w:rsid w:val="252A35C3"/>
    <w:rsid w:val="25311A36"/>
    <w:rsid w:val="255B2F57"/>
    <w:rsid w:val="262E41C8"/>
    <w:rsid w:val="26F03054"/>
    <w:rsid w:val="26FB67A0"/>
    <w:rsid w:val="272A0E33"/>
    <w:rsid w:val="27486F73"/>
    <w:rsid w:val="275E288B"/>
    <w:rsid w:val="276E51C4"/>
    <w:rsid w:val="27856069"/>
    <w:rsid w:val="27AC1848"/>
    <w:rsid w:val="28094EEC"/>
    <w:rsid w:val="280A725E"/>
    <w:rsid w:val="28180C8B"/>
    <w:rsid w:val="2818512F"/>
    <w:rsid w:val="284D4DD9"/>
    <w:rsid w:val="286040E3"/>
    <w:rsid w:val="286363AA"/>
    <w:rsid w:val="28681C7B"/>
    <w:rsid w:val="289B6953"/>
    <w:rsid w:val="28B766F6"/>
    <w:rsid w:val="28CC264B"/>
    <w:rsid w:val="28FC235B"/>
    <w:rsid w:val="294C75FF"/>
    <w:rsid w:val="296C5733"/>
    <w:rsid w:val="298A7967"/>
    <w:rsid w:val="298E4232"/>
    <w:rsid w:val="29F80D74"/>
    <w:rsid w:val="29FB5803"/>
    <w:rsid w:val="2A1A2F1D"/>
    <w:rsid w:val="2A2F0DAA"/>
    <w:rsid w:val="2A426494"/>
    <w:rsid w:val="2AB27175"/>
    <w:rsid w:val="2AD92954"/>
    <w:rsid w:val="2B193698"/>
    <w:rsid w:val="2B2142FB"/>
    <w:rsid w:val="2B326508"/>
    <w:rsid w:val="2B342280"/>
    <w:rsid w:val="2B3451FC"/>
    <w:rsid w:val="2B70070F"/>
    <w:rsid w:val="2BDB63C6"/>
    <w:rsid w:val="2C3164AB"/>
    <w:rsid w:val="2C8132A3"/>
    <w:rsid w:val="2CBE62A5"/>
    <w:rsid w:val="2CCD473A"/>
    <w:rsid w:val="2D070398"/>
    <w:rsid w:val="2D173C07"/>
    <w:rsid w:val="2D937732"/>
    <w:rsid w:val="2DA32DF9"/>
    <w:rsid w:val="2E02613F"/>
    <w:rsid w:val="2E7A61FC"/>
    <w:rsid w:val="2E873109"/>
    <w:rsid w:val="2ED05F2C"/>
    <w:rsid w:val="2F3E7229"/>
    <w:rsid w:val="2F425693"/>
    <w:rsid w:val="2FF87D20"/>
    <w:rsid w:val="307B625B"/>
    <w:rsid w:val="309C4B4F"/>
    <w:rsid w:val="30DD2A72"/>
    <w:rsid w:val="31705EE7"/>
    <w:rsid w:val="317A4765"/>
    <w:rsid w:val="3186135C"/>
    <w:rsid w:val="31927D00"/>
    <w:rsid w:val="31B47C77"/>
    <w:rsid w:val="320329AC"/>
    <w:rsid w:val="325A20DF"/>
    <w:rsid w:val="3273368E"/>
    <w:rsid w:val="33072028"/>
    <w:rsid w:val="331A1D5C"/>
    <w:rsid w:val="331D184C"/>
    <w:rsid w:val="332B21BB"/>
    <w:rsid w:val="334A1B75"/>
    <w:rsid w:val="33C10429"/>
    <w:rsid w:val="33D97E69"/>
    <w:rsid w:val="33FD38FD"/>
    <w:rsid w:val="347B0F20"/>
    <w:rsid w:val="34C35A8E"/>
    <w:rsid w:val="34D25F60"/>
    <w:rsid w:val="35252BA6"/>
    <w:rsid w:val="352670DE"/>
    <w:rsid w:val="35635C3C"/>
    <w:rsid w:val="35E0728C"/>
    <w:rsid w:val="3611150D"/>
    <w:rsid w:val="36716136"/>
    <w:rsid w:val="36767EFB"/>
    <w:rsid w:val="36D668E1"/>
    <w:rsid w:val="36F079A3"/>
    <w:rsid w:val="370451FC"/>
    <w:rsid w:val="373830F8"/>
    <w:rsid w:val="37737C8C"/>
    <w:rsid w:val="37781747"/>
    <w:rsid w:val="379876F3"/>
    <w:rsid w:val="379D4304"/>
    <w:rsid w:val="37DC1CD5"/>
    <w:rsid w:val="37F7266B"/>
    <w:rsid w:val="38003C16"/>
    <w:rsid w:val="38207E14"/>
    <w:rsid w:val="382A0C93"/>
    <w:rsid w:val="38685317"/>
    <w:rsid w:val="387E4B3B"/>
    <w:rsid w:val="388008B3"/>
    <w:rsid w:val="388365F5"/>
    <w:rsid w:val="389E342F"/>
    <w:rsid w:val="38B13162"/>
    <w:rsid w:val="38E47094"/>
    <w:rsid w:val="38E928FC"/>
    <w:rsid w:val="38EA6674"/>
    <w:rsid w:val="38F60B75"/>
    <w:rsid w:val="39033292"/>
    <w:rsid w:val="390C2146"/>
    <w:rsid w:val="39243934"/>
    <w:rsid w:val="397F6DBC"/>
    <w:rsid w:val="39AD1B7B"/>
    <w:rsid w:val="39B50A30"/>
    <w:rsid w:val="39C90037"/>
    <w:rsid w:val="3A013C75"/>
    <w:rsid w:val="3A727868"/>
    <w:rsid w:val="3AA36ADA"/>
    <w:rsid w:val="3ACF78CF"/>
    <w:rsid w:val="3B06357D"/>
    <w:rsid w:val="3B337E5E"/>
    <w:rsid w:val="3B4007CD"/>
    <w:rsid w:val="3B4F27BE"/>
    <w:rsid w:val="3B765F9D"/>
    <w:rsid w:val="3B9E5839"/>
    <w:rsid w:val="3BE86E9B"/>
    <w:rsid w:val="3BF33A92"/>
    <w:rsid w:val="3BF75330"/>
    <w:rsid w:val="3C277297"/>
    <w:rsid w:val="3C7A1ABD"/>
    <w:rsid w:val="3C9963E7"/>
    <w:rsid w:val="3CA54D8C"/>
    <w:rsid w:val="3CE84C78"/>
    <w:rsid w:val="3D6E1622"/>
    <w:rsid w:val="3D791D75"/>
    <w:rsid w:val="3DAA43B7"/>
    <w:rsid w:val="3DAB4624"/>
    <w:rsid w:val="3DB57251"/>
    <w:rsid w:val="3DEB4A20"/>
    <w:rsid w:val="3E00671B"/>
    <w:rsid w:val="3E5527E2"/>
    <w:rsid w:val="3E5B614E"/>
    <w:rsid w:val="3E78202C"/>
    <w:rsid w:val="3E8D5AD7"/>
    <w:rsid w:val="3EFA76FE"/>
    <w:rsid w:val="3F03223E"/>
    <w:rsid w:val="3F32662D"/>
    <w:rsid w:val="3F5D194E"/>
    <w:rsid w:val="3F7D78FA"/>
    <w:rsid w:val="3FC94F1E"/>
    <w:rsid w:val="401A339B"/>
    <w:rsid w:val="40520D87"/>
    <w:rsid w:val="40730C83"/>
    <w:rsid w:val="40980764"/>
    <w:rsid w:val="412D3E90"/>
    <w:rsid w:val="4142704D"/>
    <w:rsid w:val="41567D7D"/>
    <w:rsid w:val="41727207"/>
    <w:rsid w:val="417C1E33"/>
    <w:rsid w:val="41DB596A"/>
    <w:rsid w:val="41E73751"/>
    <w:rsid w:val="41EA3241"/>
    <w:rsid w:val="4202058A"/>
    <w:rsid w:val="424E557E"/>
    <w:rsid w:val="428A6FA4"/>
    <w:rsid w:val="43346E69"/>
    <w:rsid w:val="433A593F"/>
    <w:rsid w:val="433C187A"/>
    <w:rsid w:val="43B25C53"/>
    <w:rsid w:val="43B855F6"/>
    <w:rsid w:val="43F839F3"/>
    <w:rsid w:val="444B446B"/>
    <w:rsid w:val="44E64193"/>
    <w:rsid w:val="4504461A"/>
    <w:rsid w:val="457B0D80"/>
    <w:rsid w:val="45AD2F03"/>
    <w:rsid w:val="45C21796"/>
    <w:rsid w:val="45C45882"/>
    <w:rsid w:val="46222FA9"/>
    <w:rsid w:val="4654512D"/>
    <w:rsid w:val="46715CDF"/>
    <w:rsid w:val="46C202E8"/>
    <w:rsid w:val="46D06EA9"/>
    <w:rsid w:val="46D50EBD"/>
    <w:rsid w:val="471A1ED2"/>
    <w:rsid w:val="471B0C89"/>
    <w:rsid w:val="47417731"/>
    <w:rsid w:val="478072BA"/>
    <w:rsid w:val="47811F51"/>
    <w:rsid w:val="479B74B7"/>
    <w:rsid w:val="47A53E92"/>
    <w:rsid w:val="48013092"/>
    <w:rsid w:val="48025917"/>
    <w:rsid w:val="48294CD4"/>
    <w:rsid w:val="48E1539E"/>
    <w:rsid w:val="48F84495"/>
    <w:rsid w:val="49425710"/>
    <w:rsid w:val="496D6C31"/>
    <w:rsid w:val="49BA799D"/>
    <w:rsid w:val="49E60792"/>
    <w:rsid w:val="4A6022F2"/>
    <w:rsid w:val="4A6A3171"/>
    <w:rsid w:val="4A745D9D"/>
    <w:rsid w:val="4A833C1F"/>
    <w:rsid w:val="4A8835F7"/>
    <w:rsid w:val="4ABE526B"/>
    <w:rsid w:val="4AD625B4"/>
    <w:rsid w:val="4ADC673D"/>
    <w:rsid w:val="4B3A6FE7"/>
    <w:rsid w:val="4B683B54"/>
    <w:rsid w:val="4B781EE9"/>
    <w:rsid w:val="4B840262"/>
    <w:rsid w:val="4B8B339F"/>
    <w:rsid w:val="4BA91A77"/>
    <w:rsid w:val="4C212342"/>
    <w:rsid w:val="4C4F4B26"/>
    <w:rsid w:val="4C5440D8"/>
    <w:rsid w:val="4C6360CA"/>
    <w:rsid w:val="4C6D519A"/>
    <w:rsid w:val="4C787DC7"/>
    <w:rsid w:val="4C79769B"/>
    <w:rsid w:val="4CEF795D"/>
    <w:rsid w:val="4D445EFB"/>
    <w:rsid w:val="4DFE42FC"/>
    <w:rsid w:val="4E3929CE"/>
    <w:rsid w:val="4E3E0B9C"/>
    <w:rsid w:val="4E597784"/>
    <w:rsid w:val="4E740A62"/>
    <w:rsid w:val="4E8B4BD7"/>
    <w:rsid w:val="4E9609D8"/>
    <w:rsid w:val="4EAF077C"/>
    <w:rsid w:val="4EC015B1"/>
    <w:rsid w:val="4ECE0F7C"/>
    <w:rsid w:val="4EDB63EB"/>
    <w:rsid w:val="4EEF00E8"/>
    <w:rsid w:val="4F275AD4"/>
    <w:rsid w:val="4F302BDB"/>
    <w:rsid w:val="4F662AE3"/>
    <w:rsid w:val="4F734876"/>
    <w:rsid w:val="4F9A44F8"/>
    <w:rsid w:val="4FD23C92"/>
    <w:rsid w:val="4FEB3E89"/>
    <w:rsid w:val="501E2A33"/>
    <w:rsid w:val="50A15412"/>
    <w:rsid w:val="50BC224C"/>
    <w:rsid w:val="50CC32A3"/>
    <w:rsid w:val="510F181F"/>
    <w:rsid w:val="514E559A"/>
    <w:rsid w:val="51621046"/>
    <w:rsid w:val="519531C9"/>
    <w:rsid w:val="5209326F"/>
    <w:rsid w:val="5211631C"/>
    <w:rsid w:val="523B1EAA"/>
    <w:rsid w:val="52416EAD"/>
    <w:rsid w:val="528F19C6"/>
    <w:rsid w:val="52D27B05"/>
    <w:rsid w:val="530F2B07"/>
    <w:rsid w:val="531719BC"/>
    <w:rsid w:val="534E7AD3"/>
    <w:rsid w:val="53AF5EBB"/>
    <w:rsid w:val="53B611D5"/>
    <w:rsid w:val="53D45311"/>
    <w:rsid w:val="53D82745"/>
    <w:rsid w:val="54305510"/>
    <w:rsid w:val="54A46B3C"/>
    <w:rsid w:val="54FC355F"/>
    <w:rsid w:val="55937A20"/>
    <w:rsid w:val="55B31E70"/>
    <w:rsid w:val="561E3806"/>
    <w:rsid w:val="56516DB7"/>
    <w:rsid w:val="565D1DDC"/>
    <w:rsid w:val="56660C90"/>
    <w:rsid w:val="56737851"/>
    <w:rsid w:val="568E6439"/>
    <w:rsid w:val="56CC3411"/>
    <w:rsid w:val="56E74AFB"/>
    <w:rsid w:val="571050A0"/>
    <w:rsid w:val="57253698"/>
    <w:rsid w:val="574D1E50"/>
    <w:rsid w:val="57533E75"/>
    <w:rsid w:val="577675F9"/>
    <w:rsid w:val="577C4928"/>
    <w:rsid w:val="57931F59"/>
    <w:rsid w:val="57EE718F"/>
    <w:rsid w:val="57FB18AC"/>
    <w:rsid w:val="5827444F"/>
    <w:rsid w:val="584C2108"/>
    <w:rsid w:val="586B6A32"/>
    <w:rsid w:val="59123351"/>
    <w:rsid w:val="5947124D"/>
    <w:rsid w:val="595A2602"/>
    <w:rsid w:val="59853B23"/>
    <w:rsid w:val="599A162A"/>
    <w:rsid w:val="599E2E37"/>
    <w:rsid w:val="5A296BA4"/>
    <w:rsid w:val="5A407A4A"/>
    <w:rsid w:val="5AC31034"/>
    <w:rsid w:val="5AC93EE4"/>
    <w:rsid w:val="5AF2296E"/>
    <w:rsid w:val="5B812C58"/>
    <w:rsid w:val="5B9925C0"/>
    <w:rsid w:val="5BAF6C35"/>
    <w:rsid w:val="5BB029AE"/>
    <w:rsid w:val="5BBC75A4"/>
    <w:rsid w:val="5C5E09D8"/>
    <w:rsid w:val="5C69772C"/>
    <w:rsid w:val="5C775650"/>
    <w:rsid w:val="5C7E485A"/>
    <w:rsid w:val="5CBB0E30"/>
    <w:rsid w:val="5D577585"/>
    <w:rsid w:val="5D6A2609"/>
    <w:rsid w:val="5D883400"/>
    <w:rsid w:val="5DA54B05"/>
    <w:rsid w:val="5DAF116F"/>
    <w:rsid w:val="5DCE1DA6"/>
    <w:rsid w:val="5DD72473"/>
    <w:rsid w:val="5DE51034"/>
    <w:rsid w:val="5E0314BA"/>
    <w:rsid w:val="5ED13367"/>
    <w:rsid w:val="5EF159FF"/>
    <w:rsid w:val="5F08322C"/>
    <w:rsid w:val="5F443B39"/>
    <w:rsid w:val="5F7A57AC"/>
    <w:rsid w:val="5FEF7F48"/>
    <w:rsid w:val="600B5CEC"/>
    <w:rsid w:val="60340051"/>
    <w:rsid w:val="60467C23"/>
    <w:rsid w:val="60471B32"/>
    <w:rsid w:val="605F667C"/>
    <w:rsid w:val="60A9459B"/>
    <w:rsid w:val="60F5489D"/>
    <w:rsid w:val="611F485D"/>
    <w:rsid w:val="612C6F7A"/>
    <w:rsid w:val="6151253D"/>
    <w:rsid w:val="616563B2"/>
    <w:rsid w:val="617821BF"/>
    <w:rsid w:val="61937E32"/>
    <w:rsid w:val="619A28D1"/>
    <w:rsid w:val="61B74A96"/>
    <w:rsid w:val="6214325B"/>
    <w:rsid w:val="6226654A"/>
    <w:rsid w:val="622D4D58"/>
    <w:rsid w:val="624D227F"/>
    <w:rsid w:val="62755877"/>
    <w:rsid w:val="6280757E"/>
    <w:rsid w:val="62CE61AB"/>
    <w:rsid w:val="62DD22DA"/>
    <w:rsid w:val="62EE098B"/>
    <w:rsid w:val="62FA16F0"/>
    <w:rsid w:val="63071A4D"/>
    <w:rsid w:val="630B32EB"/>
    <w:rsid w:val="63293771"/>
    <w:rsid w:val="63AB79BE"/>
    <w:rsid w:val="63B55005"/>
    <w:rsid w:val="63D01E3F"/>
    <w:rsid w:val="63F0393F"/>
    <w:rsid w:val="63F7386F"/>
    <w:rsid w:val="63FA3360"/>
    <w:rsid w:val="642503DD"/>
    <w:rsid w:val="64496FC1"/>
    <w:rsid w:val="64B17EC2"/>
    <w:rsid w:val="64C753BA"/>
    <w:rsid w:val="64F0304B"/>
    <w:rsid w:val="650049A6"/>
    <w:rsid w:val="65031DA0"/>
    <w:rsid w:val="65951842"/>
    <w:rsid w:val="65A8699A"/>
    <w:rsid w:val="65AE7F5E"/>
    <w:rsid w:val="65F00576"/>
    <w:rsid w:val="65FE21FE"/>
    <w:rsid w:val="667338F1"/>
    <w:rsid w:val="66A15D14"/>
    <w:rsid w:val="66BA2932"/>
    <w:rsid w:val="66DB4D83"/>
    <w:rsid w:val="66E005EB"/>
    <w:rsid w:val="67177D85"/>
    <w:rsid w:val="671958AB"/>
    <w:rsid w:val="674B3444"/>
    <w:rsid w:val="676F3F5D"/>
    <w:rsid w:val="67780823"/>
    <w:rsid w:val="67874F0A"/>
    <w:rsid w:val="678C42CF"/>
    <w:rsid w:val="67AE299D"/>
    <w:rsid w:val="67C54002"/>
    <w:rsid w:val="67F24A7A"/>
    <w:rsid w:val="680B78E9"/>
    <w:rsid w:val="68863414"/>
    <w:rsid w:val="68AA7102"/>
    <w:rsid w:val="68B12F37"/>
    <w:rsid w:val="68BE495C"/>
    <w:rsid w:val="68F760C0"/>
    <w:rsid w:val="69034A64"/>
    <w:rsid w:val="69205616"/>
    <w:rsid w:val="692549DB"/>
    <w:rsid w:val="6937322A"/>
    <w:rsid w:val="698F1514"/>
    <w:rsid w:val="699D0A15"/>
    <w:rsid w:val="69AB1384"/>
    <w:rsid w:val="6A0171F6"/>
    <w:rsid w:val="6A331379"/>
    <w:rsid w:val="6A505A87"/>
    <w:rsid w:val="6A5C442C"/>
    <w:rsid w:val="6A5D1F52"/>
    <w:rsid w:val="6B0B19AE"/>
    <w:rsid w:val="6C16685D"/>
    <w:rsid w:val="6C296590"/>
    <w:rsid w:val="6C507FC1"/>
    <w:rsid w:val="6C6770B8"/>
    <w:rsid w:val="6CC62031"/>
    <w:rsid w:val="6D142D9C"/>
    <w:rsid w:val="6D25144D"/>
    <w:rsid w:val="6D2A25C0"/>
    <w:rsid w:val="6D34343E"/>
    <w:rsid w:val="6D4346F3"/>
    <w:rsid w:val="6D567859"/>
    <w:rsid w:val="6D613576"/>
    <w:rsid w:val="6DDF784E"/>
    <w:rsid w:val="6E526272"/>
    <w:rsid w:val="6E5E34C8"/>
    <w:rsid w:val="6E6733A0"/>
    <w:rsid w:val="6EB231C0"/>
    <w:rsid w:val="6EB81E4D"/>
    <w:rsid w:val="6EFC4430"/>
    <w:rsid w:val="6F0F5F11"/>
    <w:rsid w:val="6F347726"/>
    <w:rsid w:val="703B0F88"/>
    <w:rsid w:val="70983CE4"/>
    <w:rsid w:val="70DF1913"/>
    <w:rsid w:val="715141F0"/>
    <w:rsid w:val="717402AD"/>
    <w:rsid w:val="71D96456"/>
    <w:rsid w:val="723932A5"/>
    <w:rsid w:val="72473C14"/>
    <w:rsid w:val="725A3947"/>
    <w:rsid w:val="727F515C"/>
    <w:rsid w:val="72822E9E"/>
    <w:rsid w:val="72A11576"/>
    <w:rsid w:val="72C15774"/>
    <w:rsid w:val="72EB0A43"/>
    <w:rsid w:val="72F64F35"/>
    <w:rsid w:val="73124222"/>
    <w:rsid w:val="732775A1"/>
    <w:rsid w:val="7399049F"/>
    <w:rsid w:val="739D54EC"/>
    <w:rsid w:val="73EA2AA9"/>
    <w:rsid w:val="73EF5C5F"/>
    <w:rsid w:val="73F456D6"/>
    <w:rsid w:val="742064CB"/>
    <w:rsid w:val="745A3D0B"/>
    <w:rsid w:val="7463285B"/>
    <w:rsid w:val="74883837"/>
    <w:rsid w:val="74AB66DC"/>
    <w:rsid w:val="74BE7A92"/>
    <w:rsid w:val="74D15A17"/>
    <w:rsid w:val="750202C6"/>
    <w:rsid w:val="755D1755"/>
    <w:rsid w:val="755E51CC"/>
    <w:rsid w:val="75C64E50"/>
    <w:rsid w:val="75E12BAC"/>
    <w:rsid w:val="75E1612D"/>
    <w:rsid w:val="75EF43A6"/>
    <w:rsid w:val="75F61BD9"/>
    <w:rsid w:val="76037E52"/>
    <w:rsid w:val="765D3A06"/>
    <w:rsid w:val="76EA7B21"/>
    <w:rsid w:val="76EE28B0"/>
    <w:rsid w:val="77106CCA"/>
    <w:rsid w:val="77955421"/>
    <w:rsid w:val="77966E5F"/>
    <w:rsid w:val="77B3120C"/>
    <w:rsid w:val="77E93077"/>
    <w:rsid w:val="78054355"/>
    <w:rsid w:val="780B7492"/>
    <w:rsid w:val="78141133"/>
    <w:rsid w:val="781E0F73"/>
    <w:rsid w:val="785B21C7"/>
    <w:rsid w:val="786F5C73"/>
    <w:rsid w:val="787C3EEC"/>
    <w:rsid w:val="78A5551D"/>
    <w:rsid w:val="78B239AC"/>
    <w:rsid w:val="794744F9"/>
    <w:rsid w:val="79531B06"/>
    <w:rsid w:val="79B46E63"/>
    <w:rsid w:val="79B966E4"/>
    <w:rsid w:val="7A4F7B0A"/>
    <w:rsid w:val="7A7C217D"/>
    <w:rsid w:val="7AA02113"/>
    <w:rsid w:val="7AA41272"/>
    <w:rsid w:val="7AD95C9A"/>
    <w:rsid w:val="7ADE49EA"/>
    <w:rsid w:val="7B0326A2"/>
    <w:rsid w:val="7B407452"/>
    <w:rsid w:val="7B7B492E"/>
    <w:rsid w:val="7B937ECA"/>
    <w:rsid w:val="7BD7776E"/>
    <w:rsid w:val="7BF02C26"/>
    <w:rsid w:val="7C15268D"/>
    <w:rsid w:val="7C2E374F"/>
    <w:rsid w:val="7C3C2310"/>
    <w:rsid w:val="7C95557C"/>
    <w:rsid w:val="7CA73C2D"/>
    <w:rsid w:val="7DB83C18"/>
    <w:rsid w:val="7DE205FA"/>
    <w:rsid w:val="7E1370A0"/>
    <w:rsid w:val="7E9514BB"/>
    <w:rsid w:val="7EC107E4"/>
    <w:rsid w:val="7F0013D2"/>
    <w:rsid w:val="7F2826D7"/>
    <w:rsid w:val="7FBA3C77"/>
    <w:rsid w:val="7FC20D7E"/>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宋体" w:hAnsi="Times New Roman" w:eastAsia="宋体" w:cs="Times New Roman"/>
      <w:sz w:val="24"/>
      <w:lang w:val="en-US" w:eastAsia="zh-CN" w:bidi="ar-SA"/>
    </w:rPr>
  </w:style>
  <w:style w:type="paragraph" w:styleId="3">
    <w:name w:val="heading 1"/>
    <w:basedOn w:val="1"/>
    <w:next w:val="1"/>
    <w:link w:val="38"/>
    <w:autoRedefine/>
    <w:qFormat/>
    <w:uiPriority w:val="0"/>
    <w:pPr>
      <w:keepNext/>
      <w:outlineLvl w:val="0"/>
    </w:pPr>
    <w:rPr>
      <w:rFonts w:ascii="仿宋_GB2312" w:hAnsi="宋体" w:eastAsia="仿宋_GB2312"/>
      <w:b/>
      <w:kern w:val="2"/>
      <w:sz w:val="32"/>
    </w:rPr>
  </w:style>
  <w:style w:type="paragraph" w:styleId="4">
    <w:name w:val="heading 2"/>
    <w:basedOn w:val="1"/>
    <w:next w:val="1"/>
    <w:autoRedefine/>
    <w:qFormat/>
    <w:uiPriority w:val="9"/>
    <w:pPr>
      <w:keepNext/>
      <w:keepLines/>
      <w:widowControl/>
      <w:spacing w:before="260" w:beforeLines="0" w:after="260" w:afterLines="0"/>
      <w:ind w:left="284"/>
      <w:jc w:val="left"/>
      <w:outlineLvl w:val="1"/>
    </w:pPr>
    <w:rPr>
      <w:rFonts w:ascii="Arial" w:hAnsi="Arial"/>
      <w:b/>
      <w:bCs/>
      <w:sz w:val="28"/>
      <w:szCs w:val="32"/>
    </w:rPr>
  </w:style>
  <w:style w:type="paragraph" w:styleId="5">
    <w:name w:val="heading 3"/>
    <w:basedOn w:val="1"/>
    <w:next w:val="1"/>
    <w:autoRedefine/>
    <w:qFormat/>
    <w:uiPriority w:val="0"/>
    <w:pPr>
      <w:keepNext/>
      <w:spacing w:before="624" w:beforeLines="200" w:line="400" w:lineRule="exact"/>
      <w:jc w:val="center"/>
      <w:outlineLvl w:val="2"/>
    </w:pPr>
    <w:rPr>
      <w:rFonts w:ascii="Calibri"/>
      <w:b/>
      <w:bCs/>
      <w:kern w:val="2"/>
      <w:szCs w:val="24"/>
    </w:rPr>
  </w:style>
  <w:style w:type="paragraph" w:styleId="6">
    <w:name w:val="heading 4"/>
    <w:basedOn w:val="1"/>
    <w:next w:val="1"/>
    <w:autoRedefine/>
    <w:qFormat/>
    <w:uiPriority w:val="0"/>
    <w:pPr>
      <w:keepNext/>
      <w:keepLines/>
      <w:tabs>
        <w:tab w:val="left" w:pos="864"/>
      </w:tabs>
      <w:spacing w:before="120" w:beforeLines="0" w:line="360" w:lineRule="auto"/>
      <w:ind w:left="864" w:hanging="864"/>
      <w:outlineLvl w:val="3"/>
    </w:pPr>
    <w:rPr>
      <w:rFonts w:ascii="Arial" w:hAnsi="Arial"/>
      <w:bCs/>
      <w:kern w:val="2"/>
      <w:szCs w:val="28"/>
    </w:rPr>
  </w:style>
  <w:style w:type="paragraph" w:styleId="7">
    <w:name w:val="heading 5"/>
    <w:basedOn w:val="1"/>
    <w:next w:val="1"/>
    <w:autoRedefine/>
    <w:unhideWhenUsed/>
    <w:qFormat/>
    <w:uiPriority w:val="0"/>
    <w:pPr>
      <w:keepNext/>
      <w:keepLines/>
      <w:numPr>
        <w:ilvl w:val="4"/>
        <w:numId w:val="1"/>
      </w:numPr>
      <w:spacing w:beforeLines="0" w:beforeAutospacing="0" w:afterLines="0" w:afterAutospacing="0" w:line="240" w:lineRule="auto"/>
      <w:ind w:left="0"/>
      <w:outlineLvl w:val="4"/>
    </w:pPr>
    <w:rPr>
      <w:rFonts w:ascii="Times New Roman" w:hAnsi="Times New Roman" w:eastAsia="宋体" w:cs="Times New Roman"/>
      <w:b/>
      <w:sz w:val="28"/>
    </w:rPr>
  </w:style>
  <w:style w:type="paragraph" w:styleId="8">
    <w:name w:val="heading 6"/>
    <w:basedOn w:val="1"/>
    <w:next w:val="1"/>
    <w:link w:val="39"/>
    <w:autoRedefine/>
    <w:qFormat/>
    <w:uiPriority w:val="0"/>
    <w:pPr>
      <w:keepNext/>
      <w:keepLines/>
      <w:tabs>
        <w:tab w:val="left" w:pos="1152"/>
      </w:tabs>
      <w:spacing w:before="60" w:beforeLines="0" w:line="360" w:lineRule="auto"/>
      <w:ind w:left="1152" w:hanging="1152"/>
      <w:outlineLvl w:val="5"/>
    </w:pPr>
    <w:rPr>
      <w:rFonts w:ascii="Arial Unicode MS" w:hAnsi="Arial Unicode MS"/>
      <w:bCs/>
      <w:kern w:val="2"/>
      <w:szCs w:val="24"/>
    </w:rPr>
  </w:style>
  <w:style w:type="character" w:default="1" w:styleId="22">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afterLines="0"/>
    </w:pPr>
    <w:rPr>
      <w:rFonts w:ascii="Calibri"/>
      <w:kern w:val="2"/>
      <w:sz w:val="21"/>
    </w:rPr>
  </w:style>
  <w:style w:type="paragraph" w:styleId="9">
    <w:name w:val="toa heading"/>
    <w:basedOn w:val="1"/>
    <w:next w:val="1"/>
    <w:autoRedefine/>
    <w:qFormat/>
    <w:uiPriority w:val="0"/>
    <w:pPr>
      <w:spacing w:before="120"/>
    </w:pPr>
    <w:rPr>
      <w:rFonts w:ascii="Cambria" w:hAnsi="Cambria"/>
      <w:sz w:val="24"/>
    </w:rPr>
  </w:style>
  <w:style w:type="paragraph" w:styleId="10">
    <w:name w:val="annotation text"/>
    <w:basedOn w:val="1"/>
    <w:autoRedefine/>
    <w:qFormat/>
    <w:uiPriority w:val="0"/>
    <w:pPr>
      <w:jc w:val="left"/>
    </w:pPr>
    <w:rPr>
      <w:rFonts w:ascii="Calibri"/>
      <w:kern w:val="2"/>
      <w:sz w:val="21"/>
      <w:szCs w:val="24"/>
    </w:rPr>
  </w:style>
  <w:style w:type="paragraph" w:styleId="11">
    <w:name w:val="Body Text Indent"/>
    <w:basedOn w:val="1"/>
    <w:next w:val="1"/>
    <w:autoRedefine/>
    <w:qFormat/>
    <w:uiPriority w:val="0"/>
    <w:pPr>
      <w:ind w:firstLine="480"/>
    </w:pPr>
    <w:rPr>
      <w:rFonts w:ascii="宋体" w:hAnsi="宋体"/>
    </w:rPr>
  </w:style>
  <w:style w:type="paragraph" w:styleId="12">
    <w:name w:val="Plain Text"/>
    <w:basedOn w:val="1"/>
    <w:next w:val="1"/>
    <w:autoRedefine/>
    <w:qFormat/>
    <w:uiPriority w:val="0"/>
    <w:rPr>
      <w:rFonts w:hAnsi="Courier New"/>
      <w:kern w:val="2"/>
      <w:sz w:val="21"/>
    </w:rPr>
  </w:style>
  <w:style w:type="paragraph" w:styleId="13">
    <w:name w:val="Body Text Indent 2"/>
    <w:basedOn w:val="1"/>
    <w:autoRedefine/>
    <w:qFormat/>
    <w:uiPriority w:val="99"/>
    <w:pPr>
      <w:tabs>
        <w:tab w:val="left" w:pos="5625"/>
      </w:tabs>
      <w:ind w:left="1138" w:leftChars="542"/>
    </w:pPr>
    <w:rPr>
      <w:rFonts w:ascii="Calibri"/>
      <w:kern w:val="2"/>
    </w:rPr>
  </w:style>
  <w:style w:type="paragraph" w:styleId="14">
    <w:name w:val="footer"/>
    <w:basedOn w:val="1"/>
    <w:next w:val="1"/>
    <w:autoRedefine/>
    <w:qFormat/>
    <w:uiPriority w:val="99"/>
    <w:pPr>
      <w:tabs>
        <w:tab w:val="center" w:pos="4153"/>
        <w:tab w:val="right" w:pos="8306"/>
      </w:tabs>
      <w:snapToGrid w:val="0"/>
      <w:jc w:val="left"/>
    </w:pPr>
    <w:rPr>
      <w:rFonts w:ascii="Calibri"/>
      <w:kern w:val="2"/>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rFonts w:ascii="Calibri"/>
      <w:kern w:val="2"/>
      <w:sz w:val="18"/>
      <w:szCs w:val="18"/>
    </w:rPr>
  </w:style>
  <w:style w:type="paragraph" w:styleId="16">
    <w:name w:val="toc 2"/>
    <w:basedOn w:val="1"/>
    <w:next w:val="1"/>
    <w:autoRedefine/>
    <w:unhideWhenUsed/>
    <w:qFormat/>
    <w:uiPriority w:val="39"/>
    <w:pPr>
      <w:tabs>
        <w:tab w:val="right" w:leader="dot" w:pos="8302"/>
      </w:tabs>
      <w:spacing w:line="960" w:lineRule="auto"/>
      <w:ind w:left="420" w:leftChars="200"/>
    </w:pPr>
  </w:style>
  <w:style w:type="paragraph" w:styleId="17">
    <w:name w:val="Normal (Web)"/>
    <w:basedOn w:val="1"/>
    <w:next w:val="1"/>
    <w:autoRedefine/>
    <w:qFormat/>
    <w:uiPriority w:val="99"/>
    <w:pPr>
      <w:widowControl/>
      <w:spacing w:before="100" w:beforeLines="0" w:beforeAutospacing="1" w:after="100" w:afterLines="0" w:afterAutospacing="1"/>
      <w:jc w:val="left"/>
    </w:pPr>
    <w:rPr>
      <w:rFonts w:ascii="宋体" w:hAnsi="宋体"/>
      <w:kern w:val="0"/>
      <w:sz w:val="24"/>
      <w:szCs w:val="24"/>
    </w:rPr>
  </w:style>
  <w:style w:type="paragraph" w:styleId="18">
    <w:name w:val="Body Text First Indent"/>
    <w:basedOn w:val="2"/>
    <w:next w:val="19"/>
    <w:autoRedefine/>
    <w:qFormat/>
    <w:uiPriority w:val="0"/>
    <w:pPr>
      <w:spacing w:line="312" w:lineRule="auto"/>
      <w:ind w:firstLine="420"/>
    </w:pPr>
  </w:style>
  <w:style w:type="paragraph" w:styleId="19">
    <w:name w:val="Body Text First Indent 2"/>
    <w:basedOn w:val="11"/>
    <w:next w:val="16"/>
    <w:autoRedefine/>
    <w:qFormat/>
    <w:uiPriority w:val="0"/>
    <w:pPr>
      <w:ind w:firstLine="42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22"/>
    <w:rPr>
      <w:b/>
      <w:bCs/>
    </w:rPr>
  </w:style>
  <w:style w:type="character" w:styleId="24">
    <w:name w:val="FollowedHyperlink"/>
    <w:basedOn w:val="22"/>
    <w:autoRedefine/>
    <w:qFormat/>
    <w:uiPriority w:val="0"/>
    <w:rPr>
      <w:color w:val="800080"/>
      <w:u w:val="none"/>
    </w:rPr>
  </w:style>
  <w:style w:type="character" w:styleId="25">
    <w:name w:val="Emphasis"/>
    <w:basedOn w:val="22"/>
    <w:autoRedefine/>
    <w:qFormat/>
    <w:uiPriority w:val="0"/>
    <w:rPr>
      <w:color w:val="F73131"/>
    </w:rPr>
  </w:style>
  <w:style w:type="character" w:styleId="26">
    <w:name w:val="HTML Definition"/>
    <w:basedOn w:val="22"/>
    <w:autoRedefine/>
    <w:qFormat/>
    <w:uiPriority w:val="0"/>
  </w:style>
  <w:style w:type="character" w:styleId="27">
    <w:name w:val="HTML Typewriter"/>
    <w:basedOn w:val="22"/>
    <w:autoRedefine/>
    <w:qFormat/>
    <w:uiPriority w:val="0"/>
    <w:rPr>
      <w:rFonts w:hint="default" w:ascii="monospace" w:hAnsi="monospace" w:eastAsia="monospace" w:cs="monospace"/>
      <w:sz w:val="20"/>
    </w:rPr>
  </w:style>
  <w:style w:type="character" w:styleId="28">
    <w:name w:val="HTML Acronym"/>
    <w:basedOn w:val="22"/>
    <w:autoRedefine/>
    <w:qFormat/>
    <w:uiPriority w:val="0"/>
  </w:style>
  <w:style w:type="character" w:styleId="29">
    <w:name w:val="HTML Variable"/>
    <w:basedOn w:val="22"/>
    <w:autoRedefine/>
    <w:qFormat/>
    <w:uiPriority w:val="0"/>
  </w:style>
  <w:style w:type="character" w:styleId="30">
    <w:name w:val="Hyperlink"/>
    <w:basedOn w:val="22"/>
    <w:autoRedefine/>
    <w:qFormat/>
    <w:uiPriority w:val="99"/>
    <w:rPr>
      <w:rFonts w:hint="eastAsia" w:ascii="宋体" w:hAnsi="宋体" w:eastAsia="宋体" w:cs="宋体"/>
      <w:color w:val="000000"/>
      <w:sz w:val="18"/>
      <w:szCs w:val="18"/>
      <w:u w:val="none"/>
    </w:rPr>
  </w:style>
  <w:style w:type="character" w:styleId="31">
    <w:name w:val="HTML Code"/>
    <w:basedOn w:val="22"/>
    <w:autoRedefine/>
    <w:qFormat/>
    <w:uiPriority w:val="0"/>
    <w:rPr>
      <w:rFonts w:hint="default" w:ascii="monospace" w:hAnsi="monospace" w:eastAsia="monospace" w:cs="monospace"/>
      <w:sz w:val="20"/>
    </w:rPr>
  </w:style>
  <w:style w:type="character" w:styleId="32">
    <w:name w:val="HTML Cite"/>
    <w:basedOn w:val="22"/>
    <w:autoRedefine/>
    <w:qFormat/>
    <w:uiPriority w:val="0"/>
  </w:style>
  <w:style w:type="character" w:styleId="33">
    <w:name w:val="HTML Keyboard"/>
    <w:basedOn w:val="22"/>
    <w:autoRedefine/>
    <w:qFormat/>
    <w:uiPriority w:val="0"/>
    <w:rPr>
      <w:rFonts w:ascii="monospace" w:hAnsi="monospace" w:eastAsia="monospace" w:cs="monospace"/>
      <w:sz w:val="20"/>
    </w:rPr>
  </w:style>
  <w:style w:type="character" w:styleId="34">
    <w:name w:val="HTML Sample"/>
    <w:basedOn w:val="22"/>
    <w:qFormat/>
    <w:uiPriority w:val="0"/>
    <w:rPr>
      <w:rFonts w:hint="default" w:ascii="monospace" w:hAnsi="monospace" w:eastAsia="monospace" w:cs="monospace"/>
    </w:rPr>
  </w:style>
  <w:style w:type="paragraph" w:customStyle="1" w:styleId="35">
    <w:name w:val="正文缩进1"/>
    <w:basedOn w:val="1"/>
    <w:autoRedefine/>
    <w:qFormat/>
    <w:uiPriority w:val="0"/>
    <w:pPr>
      <w:ind w:firstLine="420" w:firstLineChars="200"/>
    </w:pPr>
  </w:style>
  <w:style w:type="paragraph" w:styleId="36">
    <w:name w:val="No Spacing"/>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7">
    <w:name w:val="TOC 标题1"/>
    <w:basedOn w:val="3"/>
    <w:next w:val="1"/>
    <w:autoRedefine/>
    <w:qFormat/>
    <w:uiPriority w:val="99"/>
    <w:pPr>
      <w:spacing w:before="480" w:beforeLines="0" w:line="276" w:lineRule="auto"/>
      <w:outlineLvl w:val="9"/>
    </w:pPr>
    <w:rPr>
      <w:rFonts w:ascii="仿宋" w:hAnsi="仿宋" w:eastAsia="仿宋"/>
      <w:color w:val="000000"/>
      <w:kern w:val="0"/>
      <w:szCs w:val="32"/>
    </w:rPr>
  </w:style>
  <w:style w:type="character" w:customStyle="1" w:styleId="38">
    <w:name w:val="标题 1 字符"/>
    <w:link w:val="3"/>
    <w:autoRedefine/>
    <w:qFormat/>
    <w:uiPriority w:val="0"/>
    <w:rPr>
      <w:rFonts w:ascii="仿宋_GB2312" w:hAnsi="宋体" w:eastAsia="仿宋_GB2312"/>
      <w:b/>
      <w:kern w:val="2"/>
      <w:sz w:val="32"/>
    </w:rPr>
  </w:style>
  <w:style w:type="character" w:customStyle="1" w:styleId="39">
    <w:name w:val="标题 6 Char"/>
    <w:link w:val="8"/>
    <w:autoRedefine/>
    <w:qFormat/>
    <w:uiPriority w:val="0"/>
    <w:rPr>
      <w:rFonts w:ascii="Arial Unicode MS" w:hAnsi="Arial Unicode MS"/>
      <w:bCs/>
      <w:kern w:val="2"/>
      <w:szCs w:val="24"/>
    </w:rPr>
  </w:style>
  <w:style w:type="paragraph" w:customStyle="1" w:styleId="40">
    <w:name w:val="正文格式"/>
    <w:basedOn w:val="1"/>
    <w:autoRedefine/>
    <w:qFormat/>
    <w:uiPriority w:val="0"/>
    <w:pPr>
      <w:adjustRightInd w:val="0"/>
      <w:snapToGrid w:val="0"/>
      <w:spacing w:line="400" w:lineRule="atLeast"/>
      <w:ind w:firstLine="482"/>
      <w:textAlignment w:val="baseline"/>
    </w:pPr>
  </w:style>
  <w:style w:type="paragraph" w:customStyle="1" w:styleId="41">
    <w:name w:val="Normal"/>
    <w:autoRedefine/>
    <w:qFormat/>
    <w:uiPriority w:val="0"/>
    <w:pPr>
      <w:widowControl w:val="0"/>
      <w:adjustRightInd w:val="0"/>
      <w:spacing w:line="315" w:lineRule="atLeast"/>
      <w:textAlignment w:val="baseline"/>
    </w:pPr>
    <w:rPr>
      <w:rFonts w:ascii="宋体" w:hAnsi="Times New Roman" w:eastAsia="宋体" w:cs="Times New Roman"/>
      <w:sz w:val="24"/>
      <w:lang w:val="en-US" w:eastAsia="zh-CN" w:bidi="ar-SA"/>
    </w:rPr>
  </w:style>
  <w:style w:type="paragraph" w:customStyle="1" w:styleId="42">
    <w:name w:val="首行缩进"/>
    <w:basedOn w:val="1"/>
    <w:autoRedefine/>
    <w:qFormat/>
    <w:uiPriority w:val="0"/>
    <w:pPr>
      <w:spacing w:line="360" w:lineRule="auto"/>
      <w:ind w:firstLine="420" w:firstLineChars="200"/>
    </w:pPr>
    <w:rPr>
      <w:sz w:val="21"/>
    </w:rPr>
  </w:style>
  <w:style w:type="paragraph" w:styleId="43">
    <w:name w:val="List Paragraph"/>
    <w:basedOn w:val="1"/>
    <w:autoRedefine/>
    <w:qFormat/>
    <w:uiPriority w:val="99"/>
    <w:pPr>
      <w:ind w:firstLine="420" w:firstLineChars="200"/>
    </w:pPr>
  </w:style>
  <w:style w:type="character" w:customStyle="1" w:styleId="44">
    <w:name w:val="font21"/>
    <w:basedOn w:val="22"/>
    <w:autoRedefine/>
    <w:qFormat/>
    <w:uiPriority w:val="0"/>
    <w:rPr>
      <w:rFonts w:hint="eastAsia" w:ascii="宋体" w:hAnsi="宋体" w:eastAsia="宋体" w:cs="宋体"/>
      <w:color w:val="000000"/>
      <w:sz w:val="20"/>
      <w:szCs w:val="20"/>
      <w:u w:val="none"/>
    </w:rPr>
  </w:style>
  <w:style w:type="character" w:customStyle="1" w:styleId="45">
    <w:name w:val="font81"/>
    <w:basedOn w:val="22"/>
    <w:autoRedefine/>
    <w:qFormat/>
    <w:uiPriority w:val="0"/>
    <w:rPr>
      <w:rFonts w:hint="default" w:ascii="Times New Roman" w:hAnsi="Times New Roman" w:cs="Times New Roman"/>
      <w:color w:val="000000"/>
      <w:sz w:val="22"/>
      <w:szCs w:val="22"/>
      <w:u w:val="none"/>
    </w:rPr>
  </w:style>
  <w:style w:type="character" w:customStyle="1" w:styleId="46">
    <w:name w:val="font01"/>
    <w:basedOn w:val="22"/>
    <w:qFormat/>
    <w:uiPriority w:val="0"/>
    <w:rPr>
      <w:rFonts w:hint="eastAsia" w:ascii="宋体" w:hAnsi="宋体" w:eastAsia="宋体" w:cs="宋体"/>
      <w:color w:val="000000"/>
      <w:sz w:val="22"/>
      <w:szCs w:val="22"/>
      <w:u w:val="none"/>
    </w:rPr>
  </w:style>
  <w:style w:type="character" w:customStyle="1" w:styleId="47">
    <w:name w:val="font71"/>
    <w:basedOn w:val="22"/>
    <w:autoRedefine/>
    <w:qFormat/>
    <w:uiPriority w:val="0"/>
    <w:rPr>
      <w:rFonts w:hint="eastAsia" w:ascii="宋体" w:hAnsi="宋体" w:eastAsia="宋体" w:cs="宋体"/>
      <w:color w:val="000000"/>
      <w:sz w:val="20"/>
      <w:szCs w:val="20"/>
      <w:u w:val="none"/>
    </w:rPr>
  </w:style>
  <w:style w:type="character" w:customStyle="1" w:styleId="48">
    <w:name w:val="NormalCharacter"/>
    <w:autoRedefine/>
    <w:qFormat/>
    <w:uiPriority w:val="0"/>
  </w:style>
  <w:style w:type="paragraph" w:customStyle="1" w:styleId="49">
    <w:name w:val="列出段落1"/>
    <w:basedOn w:val="1"/>
    <w:autoRedefine/>
    <w:qFormat/>
    <w:uiPriority w:val="0"/>
    <w:pPr>
      <w:keepNext w:val="0"/>
      <w:keepLines w:val="0"/>
      <w:widowControl w:val="0"/>
      <w:suppressLineNumbers w:val="0"/>
      <w:spacing w:before="0" w:beforeAutospacing="0" w:after="0" w:afterAutospacing="0"/>
      <w:ind w:left="0" w:right="0" w:firstLine="200" w:firstLineChars="200"/>
      <w:jc w:val="both"/>
    </w:pPr>
    <w:rPr>
      <w:rFonts w:ascii="Calibri" w:hAnsi="Calibri" w:eastAsia="宋体" w:cs="Times New Roman"/>
      <w:kern w:val="2"/>
      <w:sz w:val="21"/>
      <w:szCs w:val="24"/>
      <w:lang w:val="en-US" w:eastAsia="zh-CN"/>
    </w:rPr>
  </w:style>
  <w:style w:type="paragraph" w:customStyle="1" w:styleId="50">
    <w:name w:val="正文 A"/>
    <w:autoRedefine/>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shd w:val="clear" w:color="auto" w:fill="auto"/>
      <w:vertAlign w:val="baseline"/>
      <w:lang w:val="en-US"/>
    </w:rPr>
  </w:style>
  <w:style w:type="paragraph" w:customStyle="1" w:styleId="51">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4"/>
      <w:szCs w:val="24"/>
      <w:u w:val="none" w:color="auto"/>
      <w:shd w:val="clear" w:color="auto" w:fill="auto"/>
      <w:vertAlign w:val="baseline"/>
    </w:rPr>
  </w:style>
  <w:style w:type="character" w:customStyle="1" w:styleId="52">
    <w:name w:val="layui-layer-tabnow"/>
    <w:basedOn w:val="22"/>
    <w:autoRedefine/>
    <w:qFormat/>
    <w:uiPriority w:val="0"/>
    <w:rPr>
      <w:bdr w:val="single" w:color="CCCCCC" w:sz="6" w:space="0"/>
      <w:shd w:val="clear" w:fill="FFFFFF"/>
    </w:rPr>
  </w:style>
  <w:style w:type="character" w:customStyle="1" w:styleId="53">
    <w:name w:val="first-child"/>
    <w:basedOn w:val="22"/>
    <w:autoRedefine/>
    <w:qFormat/>
    <w:uiPriority w:val="0"/>
  </w:style>
  <w:style w:type="character" w:customStyle="1" w:styleId="54">
    <w:name w:val="hover25"/>
    <w:basedOn w:val="22"/>
    <w:autoRedefine/>
    <w:qFormat/>
    <w:uiPriority w:val="0"/>
  </w:style>
  <w:style w:type="character" w:customStyle="1" w:styleId="55">
    <w:name w:val="hover26"/>
    <w:basedOn w:val="22"/>
    <w:autoRedefine/>
    <w:qFormat/>
    <w:uiPriority w:val="0"/>
    <w:rPr>
      <w:color w:val="315EFB"/>
    </w:rPr>
  </w:style>
  <w:style w:type="character" w:customStyle="1" w:styleId="56">
    <w:name w:val="hover27"/>
    <w:basedOn w:val="22"/>
    <w:autoRedefine/>
    <w:qFormat/>
    <w:uiPriority w:val="0"/>
    <w:rPr>
      <w:color w:val="315EFB"/>
    </w:rPr>
  </w:style>
  <w:style w:type="character" w:customStyle="1" w:styleId="57">
    <w:name w:val="c-icon26"/>
    <w:basedOn w:val="2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21460</Words>
  <Characters>23654</Characters>
  <Lines>0</Lines>
  <Paragraphs>0</Paragraphs>
  <TotalTime>45</TotalTime>
  <ScaleCrop>false</ScaleCrop>
  <LinksUpToDate>false</LinksUpToDate>
  <CharactersWithSpaces>24521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 饮水思源</cp:lastModifiedBy>
  <cp:lastPrinted>2023-08-29T05:12:00Z</cp:lastPrinted>
  <dcterms:modified xsi:type="dcterms:W3CDTF">2024-11-21T07:47:01Z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F85D2C6F07114D328D43E31D0F938CC6_13</vt:lpwstr>
  </property>
</Properties>
</file>