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版本号：SXSL－2025－4420251010001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2025年普通国省道路网运行监测站点建设工程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SXSL－2025－44</w:t>
      </w:r>
      <w:r>
        <w:br/>
      </w:r>
      <w:r>
        <w:br/>
      </w:r>
      <w:r>
        <w:br/>
      </w:r>
    </w:p>
    <w:p>
      <w:pPr>
        <w:pStyle w:val="null3"/>
        <w:jc w:val="center"/>
        <w:outlineLvl w:val="2"/>
      </w:pPr>
      <w:r>
        <w:rPr>
          <w:rFonts w:ascii="仿宋_GB2312" w:hAnsi="仿宋_GB2312" w:cs="仿宋_GB2312" w:eastAsia="仿宋_GB2312"/>
          <w:sz w:val="28"/>
          <w:b/>
        </w:rPr>
        <w:t>商洛市公路局</w:t>
      </w:r>
    </w:p>
    <w:p>
      <w:pPr>
        <w:pStyle w:val="null3"/>
        <w:jc w:val="center"/>
        <w:outlineLvl w:val="2"/>
      </w:pPr>
      <w:r>
        <w:rPr>
          <w:rFonts w:ascii="仿宋_GB2312" w:hAnsi="仿宋_GB2312" w:cs="仿宋_GB2312" w:eastAsia="仿宋_GB2312"/>
          <w:sz w:val="28"/>
          <w:b/>
        </w:rPr>
        <w:t>陕西上洛管理咨询有限公司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2025年10月10日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陕西上洛管理咨询有限公司</w:t>
      </w:r>
      <w:r>
        <w:rPr>
          <w:rFonts w:ascii="仿宋_GB2312" w:hAnsi="仿宋_GB2312" w:cs="仿宋_GB2312" w:eastAsia="仿宋_GB2312"/>
        </w:rPr>
        <w:t>（以下简称“代理机构”）受</w:t>
      </w:r>
      <w:r>
        <w:rPr>
          <w:rFonts w:ascii="仿宋_GB2312" w:hAnsi="仿宋_GB2312" w:cs="仿宋_GB2312" w:eastAsia="仿宋_GB2312"/>
        </w:rPr>
        <w:t>商洛市公路局</w:t>
      </w:r>
      <w:r>
        <w:rPr>
          <w:rFonts w:ascii="仿宋_GB2312" w:hAnsi="仿宋_GB2312" w:cs="仿宋_GB2312" w:eastAsia="仿宋_GB2312"/>
        </w:rPr>
        <w:t>委托，拟对</w:t>
      </w:r>
      <w:r>
        <w:rPr>
          <w:rFonts w:ascii="仿宋_GB2312" w:hAnsi="仿宋_GB2312" w:cs="仿宋_GB2312" w:eastAsia="仿宋_GB2312"/>
        </w:rPr>
        <w:t>2025年普通国省道路网运行监测站点建设工程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SXSL－2025－44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2025年普通国省道路网运行监测站点建设工程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建设普通囯省道路网运行监测站点5个。每个站点含一体化云台摄像机 1 台，激光车辆检测器 1 套，视频服务器 1 台，网络交换机 1 台，设备机柜、单立柱、监控摄像机控制、UPS电源、防火墙、防雷模块等1 套，以及相关配套附属设施。</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商洛市公路局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商州区名人街20号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商洛市公路局经办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13209148029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陕西上洛管理咨询有限公司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陕西省商洛市商州区黄沙桥西北角交投公司6楼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726000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杨万青</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15229547755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商洛市财政局政府采购管理科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屈老师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0914-2330993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代理服务费收费标准：招标代理服务费按照《招标代理服务收费管理暂行办法》计价格 [2002]1980号文和发改价格[2011]534号文计取，基数不足100万按100万计算</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商洛市公路局</w:t>
      </w:r>
      <w:r>
        <w:rPr>
          <w:rFonts w:ascii="仿宋_GB2312" w:hAnsi="仿宋_GB2312" w:cs="仿宋_GB2312" w:eastAsia="仿宋_GB2312"/>
        </w:rPr>
        <w:t>和</w:t>
      </w:r>
      <w:r>
        <w:rPr>
          <w:rFonts w:ascii="仿宋_GB2312" w:hAnsi="仿宋_GB2312" w:cs="仿宋_GB2312" w:eastAsia="仿宋_GB2312"/>
        </w:rPr>
        <w:t>陕西上洛管理咨询有限公司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商洛市公路局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陕西上洛管理咨询有限公司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陕西上洛管理咨询有限公司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依据合同及技术协议约定，对交付成果的完整性、符合性、功能性能达标情况及商务条款履行情况进行全面核查，以确认承建方是否全面履行约定义务</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陕西上洛管理咨询有限公司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联系人：杨万青</w:t>
      </w:r>
    </w:p>
    <w:p>
      <w:pPr>
        <w:pStyle w:val="null3"/>
      </w:pPr>
      <w:r>
        <w:rPr>
          <w:rFonts w:ascii="仿宋_GB2312" w:hAnsi="仿宋_GB2312" w:cs="仿宋_GB2312" w:eastAsia="仿宋_GB2312"/>
        </w:rPr>
        <w:t>联系电话：15229547755</w:t>
      </w:r>
    </w:p>
    <w:p>
      <w:pPr>
        <w:pStyle w:val="null3"/>
      </w:pPr>
      <w:r>
        <w:rPr>
          <w:rFonts w:ascii="仿宋_GB2312" w:hAnsi="仿宋_GB2312" w:cs="仿宋_GB2312" w:eastAsia="仿宋_GB2312"/>
        </w:rPr>
        <w:t>地址：陕西省商洛市商州区黄沙桥西北角交投公司6楼</w:t>
      </w:r>
    </w:p>
    <w:p>
      <w:pPr>
        <w:pStyle w:val="null3"/>
      </w:pPr>
      <w:r>
        <w:rPr>
          <w:rFonts w:ascii="仿宋_GB2312" w:hAnsi="仿宋_GB2312" w:cs="仿宋_GB2312" w:eastAsia="仿宋_GB2312"/>
        </w:rPr>
        <w:t>邮编：726000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建设普通囯省道路网运行监测站点5个。每个站点含一体化云台摄像机 1 台，激光车辆检测器 1 套，视频服务器 1 台，网络交换机 1 台，设备机柜、单立柱、4G信息控制模块、监控摄像机控制、UPS电源、路由器、防火墙、防雷模块等1 套。</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w:t>
      </w:r>
    </w:p>
    <w:p>
      <w:pPr>
        <w:pStyle w:val="null3"/>
      </w:pPr>
      <w:r>
        <w:rPr>
          <w:rFonts w:ascii="仿宋_GB2312" w:hAnsi="仿宋_GB2312" w:cs="仿宋_GB2312" w:eastAsia="仿宋_GB2312"/>
        </w:rPr>
        <w:t>采购包最高限价（元）: 370,000.00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370000</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370,000.00</w:t>
            </w:r>
          </w:p>
        </w:tc>
        <w:tc>
          <w:tcPr>
            <w:tcW w:type="dxa" w:w="831"/>
          </w:tcPr>
          <w:p>
            <w:pPr>
              <w:pStyle w:val="null3"/>
            </w:pPr>
            <w:r>
              <w:rPr>
                <w:rFonts w:ascii="仿宋_GB2312" w:hAnsi="仿宋_GB2312" w:cs="仿宋_GB2312" w:eastAsia="仿宋_GB2312"/>
              </w:rPr>
              <w:t>个</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标的名称：370000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right="840" w:firstLine="480"/>
              <w:jc w:val="left"/>
            </w:pPr>
            <w:r>
              <w:rPr>
                <w:rFonts w:ascii="仿宋_GB2312" w:hAnsi="仿宋_GB2312" w:cs="仿宋_GB2312" w:eastAsia="仿宋_GB2312"/>
                <w:sz w:val="24"/>
              </w:rPr>
              <w:t>1、★</w:t>
            </w:r>
            <w:r>
              <w:rPr>
                <w:rFonts w:ascii="仿宋_GB2312" w:hAnsi="仿宋_GB2312" w:cs="仿宋_GB2312" w:eastAsia="仿宋_GB2312"/>
                <w:sz w:val="24"/>
              </w:rPr>
              <w:t>高清摄像机</w:t>
            </w:r>
            <w:r>
              <w:rPr>
                <w:rFonts w:ascii="仿宋_GB2312" w:hAnsi="仿宋_GB2312" w:cs="仿宋_GB2312" w:eastAsia="仿宋_GB2312"/>
                <w:sz w:val="24"/>
              </w:rPr>
              <w:t>5</w:t>
            </w:r>
            <w:r>
              <w:rPr>
                <w:rFonts w:ascii="仿宋_GB2312" w:hAnsi="仿宋_GB2312" w:cs="仿宋_GB2312" w:eastAsia="仿宋_GB2312"/>
                <w:sz w:val="21"/>
              </w:rPr>
              <w:t xml:space="preserve"> </w:t>
            </w:r>
            <w:r>
              <w:rPr>
                <w:rFonts w:ascii="仿宋_GB2312" w:hAnsi="仿宋_GB2312" w:cs="仿宋_GB2312" w:eastAsia="仿宋_GB2312"/>
                <w:sz w:val="24"/>
              </w:rPr>
              <w:t>套</w:t>
            </w:r>
            <w:r>
              <w:rPr>
                <w:rFonts w:ascii="仿宋_GB2312" w:hAnsi="仿宋_GB2312" w:cs="仿宋_GB2312" w:eastAsia="仿宋_GB2312"/>
                <w:sz w:val="24"/>
              </w:rPr>
              <w:t>，（此项为核心产品）</w:t>
            </w:r>
            <w:r>
              <w:rPr>
                <w:rFonts w:ascii="仿宋_GB2312" w:hAnsi="仿宋_GB2312" w:cs="仿宋_GB2312" w:eastAsia="仿宋_GB2312"/>
                <w:sz w:val="24"/>
              </w:rPr>
              <w:t>技术参数：合规性与安全性：支持《GB35114-2017 公共安全视频监控联网信息安全技术要求》中规定的A级或以上等级安全加密。支持授权的用户名和密码认证、MAC地址绑定、HTTPS加密、IEEE 802.1x网络访问控制、IP地址过滤等网络安全管理功能。</w:t>
            </w:r>
            <w:r>
              <w:br/>
            </w:r>
            <w:r>
              <w:rPr>
                <w:rFonts w:ascii="仿宋_GB2312" w:hAnsi="仿宋_GB2312" w:cs="仿宋_GB2312" w:eastAsia="仿宋_GB2312"/>
                <w:sz w:val="24"/>
              </w:rPr>
              <w:t xml:space="preserve"> 图像与处理性能：支持3D数字降噪、强光抑制、混合防抖技术。支持智能红外补光技术，能自动调节红外强度，防止夜间近距离目标过曝。最低照度要求：彩色模式不高于0.001 Lux，黑白模式不高于0.0001 Lux，支持红外夜视功能以实现0 Lux照度下有效监控。</w:t>
            </w:r>
            <w:r>
              <w:br/>
            </w:r>
            <w:r>
              <w:rPr>
                <w:rFonts w:ascii="仿宋_GB2312" w:hAnsi="仿宋_GB2312" w:cs="仿宋_GB2312" w:eastAsia="仿宋_GB2312"/>
                <w:sz w:val="24"/>
              </w:rPr>
              <w:t xml:space="preserve"> 智能分析功能：支持对监控场景中的人脸、人体、机动车目标进行自动检测、去重与同时抓拍。支持将同一目标捕获的人脸图片与人体图片进行关联输出。具备结构化信息提取能力，能对抓拍到的人脸、人体、车辆目标提取相应的属性特征（如人脸性别/年龄段、人体衣着颜色/体型、车辆品牌/颜色/车牌等）。支持智能跟踪功能，可对移动目标进行自动跟踪。</w:t>
            </w:r>
            <w:r>
              <w:br/>
            </w:r>
            <w:r>
              <w:rPr>
                <w:rFonts w:ascii="仿宋_GB2312" w:hAnsi="仿宋_GB2312" w:cs="仿宋_GB2312" w:eastAsia="仿宋_GB2312"/>
                <w:sz w:val="24"/>
              </w:rPr>
              <w:t xml:space="preserve"> 警戒与联动功能：具备声光报警功能，设备内置扬声器与白光警戒灯。支持报警联动，触发条件可设。报警时可联动白光灯闪烁、播放预设的警告音频或语音。支持通过监控中心进行远程实时语音喊话。支持预置点、巡航扫描、花样扫描等智能化功能。</w:t>
            </w:r>
            <w:r>
              <w:br/>
            </w:r>
            <w:r>
              <w:rPr>
                <w:rFonts w:ascii="仿宋_GB2312" w:hAnsi="仿宋_GB2312" w:cs="仿宋_GB2312" w:eastAsia="仿宋_GB2312"/>
                <w:sz w:val="24"/>
              </w:rPr>
              <w:t xml:space="preserve"> 安装与集成：采用一体化设计，设备应具备独立的AI分析能力，能够通过单一IP地址进行管理，并仅需单一网络电缆及电源供电，系统架构应简洁，以最大限度降低安装与部署复杂度。</w:t>
            </w:r>
            <w:r>
              <w:br/>
            </w:r>
            <w:r>
              <w:rPr>
                <w:rFonts w:ascii="仿宋_GB2312" w:hAnsi="仿宋_GB2312" w:cs="仿宋_GB2312" w:eastAsia="仿宋_GB2312"/>
                <w:sz w:val="24"/>
              </w:rPr>
              <w:t xml:space="preserve"> 防护与可靠性：防护等级不低于IP67，能适应恶劣户外环境。具备高效的防雷、防浪涌、防突波能力，防护等级不低于6kV，电磁兼容性应符合GB/T17626.2/3/4/5/6标准中规定的四级要求。</w:t>
            </w:r>
          </w:p>
          <w:p>
            <w:pPr>
              <w:pStyle w:val="null3"/>
              <w:ind w:right="840" w:firstLine="480"/>
              <w:jc w:val="left"/>
            </w:pPr>
            <w:r>
              <w:rPr>
                <w:rFonts w:ascii="仿宋_GB2312" w:hAnsi="仿宋_GB2312" w:cs="仿宋_GB2312" w:eastAsia="仿宋_GB2312"/>
                <w:sz w:val="24"/>
              </w:rPr>
              <w:t>2、</w:t>
            </w:r>
            <w:r>
              <w:rPr>
                <w:rFonts w:ascii="仿宋_GB2312" w:hAnsi="仿宋_GB2312" w:cs="仿宋_GB2312" w:eastAsia="仿宋_GB2312"/>
                <w:sz w:val="24"/>
              </w:rPr>
              <w:t>激光传感器</w:t>
            </w:r>
            <w:r>
              <w:rPr>
                <w:rFonts w:ascii="仿宋_GB2312" w:hAnsi="仿宋_GB2312" w:cs="仿宋_GB2312" w:eastAsia="仿宋_GB2312"/>
                <w:sz w:val="24"/>
              </w:rPr>
              <w:t>5套，技术参数：基本性能：类型：高速扫描式激光雷达。</w:t>
            </w:r>
            <w:r>
              <w:br/>
            </w:r>
            <w:r>
              <w:rPr>
                <w:rFonts w:ascii="仿宋_GB2312" w:hAnsi="仿宋_GB2312" w:cs="仿宋_GB2312" w:eastAsia="仿宋_GB2312"/>
                <w:sz w:val="24"/>
              </w:rPr>
              <w:t xml:space="preserve"> 扫描角度：≥ 180°。</w:t>
            </w:r>
            <w:r>
              <w:br/>
            </w:r>
            <w:r>
              <w:rPr>
                <w:rFonts w:ascii="仿宋_GB2312" w:hAnsi="仿宋_GB2312" w:cs="仿宋_GB2312" w:eastAsia="仿宋_GB2312"/>
                <w:sz w:val="24"/>
              </w:rPr>
              <w:t xml:space="preserve"> 角度分辨率：不劣于 0.5°。</w:t>
            </w:r>
            <w:r>
              <w:br/>
            </w:r>
            <w:r>
              <w:rPr>
                <w:rFonts w:ascii="仿宋_GB2312" w:hAnsi="仿宋_GB2312" w:cs="仿宋_GB2312" w:eastAsia="仿宋_GB2312"/>
                <w:sz w:val="24"/>
              </w:rPr>
              <w:t xml:space="preserve"> 测距范围：至少覆盖 0.5m 至 30m（对10%反射率标准测试板）。</w:t>
            </w:r>
            <w:r>
              <w:br/>
            </w:r>
            <w:r>
              <w:rPr>
                <w:rFonts w:ascii="仿宋_GB2312" w:hAnsi="仿宋_GB2312" w:cs="仿宋_GB2312" w:eastAsia="仿宋_GB2312"/>
                <w:sz w:val="24"/>
              </w:rPr>
              <w:t xml:space="preserve"> 测距误差：静态条件下，在有效量程内 ≤ 6cm。</w:t>
            </w:r>
            <w:r>
              <w:br/>
            </w:r>
            <w:r>
              <w:rPr>
                <w:rFonts w:ascii="仿宋_GB2312" w:hAnsi="仿宋_GB2312" w:cs="仿宋_GB2312" w:eastAsia="仿宋_GB2312"/>
                <w:sz w:val="24"/>
              </w:rPr>
              <w:t xml:space="preserve"> 激光安全等级：Ⅰ级（人眼安全）。</w:t>
            </w:r>
            <w:r>
              <w:br/>
            </w:r>
            <w:r>
              <w:rPr>
                <w:rFonts w:ascii="仿宋_GB2312" w:hAnsi="仿宋_GB2312" w:cs="仿宋_GB2312" w:eastAsia="仿宋_GB2312"/>
                <w:sz w:val="24"/>
              </w:rPr>
              <w:t xml:space="preserve"> 光源波长：905nm（不可见光）。</w:t>
            </w:r>
            <w:r>
              <w:br/>
            </w:r>
            <w:r>
              <w:rPr>
                <w:rFonts w:ascii="仿宋_GB2312" w:hAnsi="仿宋_GB2312" w:cs="仿宋_GB2312" w:eastAsia="仿宋_GB2312"/>
                <w:sz w:val="24"/>
              </w:rPr>
              <w:t xml:space="preserve"> 交通检测功能与精度：</w:t>
            </w:r>
            <w:r>
              <w:br/>
            </w:r>
            <w:r>
              <w:rPr>
                <w:rFonts w:ascii="仿宋_GB2312" w:hAnsi="仿宋_GB2312" w:cs="仿宋_GB2312" w:eastAsia="仿宋_GB2312"/>
                <w:sz w:val="24"/>
              </w:rPr>
              <w:t xml:space="preserve"> 交通流量统计精度：在标准交通场景下，车辆计数精度 ≥ 97%。</w:t>
            </w:r>
            <w:r>
              <w:br/>
            </w:r>
            <w:r>
              <w:rPr>
                <w:rFonts w:ascii="仿宋_GB2312" w:hAnsi="仿宋_GB2312" w:cs="仿宋_GB2312" w:eastAsia="仿宋_GB2312"/>
                <w:sz w:val="24"/>
              </w:rPr>
              <w:t xml:space="preserve"> 车型分类精度：能够区分小型客车、大型客车、货车等主要车型，综合分类精度 ≥ 90%。</w:t>
            </w:r>
            <w:r>
              <w:br/>
            </w:r>
            <w:r>
              <w:rPr>
                <w:rFonts w:ascii="仿宋_GB2312" w:hAnsi="仿宋_GB2312" w:cs="仿宋_GB2312" w:eastAsia="仿宋_GB2312"/>
                <w:sz w:val="24"/>
              </w:rPr>
              <w:t xml:space="preserve"> 速度检测：</w:t>
            </w:r>
            <w:r>
              <w:br/>
            </w:r>
            <w:r>
              <w:rPr>
                <w:rFonts w:ascii="仿宋_GB2312" w:hAnsi="仿宋_GB2312" w:cs="仿宋_GB2312" w:eastAsia="仿宋_GB2312"/>
                <w:sz w:val="24"/>
              </w:rPr>
              <w:t xml:space="preserve"> 检测范围：0 ～ 200 km/h。</w:t>
            </w:r>
            <w:r>
              <w:br/>
            </w:r>
            <w:r>
              <w:rPr>
                <w:rFonts w:ascii="仿宋_GB2312" w:hAnsi="仿宋_GB2312" w:cs="仿宋_GB2312" w:eastAsia="仿宋_GB2312"/>
                <w:sz w:val="24"/>
              </w:rPr>
              <w:t xml:space="preserve"> 平均速度检测精度：≥ 95%。</w:t>
            </w:r>
            <w:r>
              <w:br/>
            </w:r>
            <w:r>
              <w:rPr>
                <w:rFonts w:ascii="仿宋_GB2312" w:hAnsi="仿宋_GB2312" w:cs="仿宋_GB2312" w:eastAsia="仿宋_GB2312"/>
                <w:sz w:val="24"/>
              </w:rPr>
              <w:t xml:space="preserve"> 具备数据存储能力，设备本地关键数据存储时间不低于 30 天。</w:t>
            </w:r>
            <w:r>
              <w:br/>
            </w:r>
            <w:r>
              <w:rPr>
                <w:rFonts w:ascii="仿宋_GB2312" w:hAnsi="仿宋_GB2312" w:cs="仿宋_GB2312" w:eastAsia="仿宋_GB2312"/>
                <w:sz w:val="24"/>
              </w:rPr>
              <w:t xml:space="preserve"> 可靠性与环境适应性：</w:t>
            </w:r>
            <w:r>
              <w:br/>
            </w:r>
            <w:r>
              <w:rPr>
                <w:rFonts w:ascii="仿宋_GB2312" w:hAnsi="仿宋_GB2312" w:cs="仿宋_GB2312" w:eastAsia="仿宋_GB2312"/>
                <w:sz w:val="24"/>
              </w:rPr>
              <w:t xml:space="preserve"> 防护等级：不低于 IP68</w:t>
            </w:r>
            <w:r>
              <w:br/>
            </w:r>
            <w:r>
              <w:rPr>
                <w:rFonts w:ascii="仿宋_GB2312" w:hAnsi="仿宋_GB2312" w:cs="仿宋_GB2312" w:eastAsia="仿宋_GB2312"/>
                <w:sz w:val="24"/>
              </w:rPr>
              <w:t xml:space="preserve"> 工作温度范围：-40℃ ～ 85℃。建议扩展至 -55℃ 以应对极端环境。</w:t>
            </w:r>
            <w:r>
              <w:br/>
            </w:r>
            <w:r>
              <w:rPr>
                <w:rFonts w:ascii="仿宋_GB2312" w:hAnsi="仿宋_GB2312" w:cs="仿宋_GB2312" w:eastAsia="仿宋_GB2312"/>
                <w:sz w:val="24"/>
              </w:rPr>
              <w:t xml:space="preserve"> 平均无故障时间（MTBF）：≥ 50,000 小时。</w:t>
            </w:r>
            <w:r>
              <w:br/>
            </w:r>
            <w:r>
              <w:rPr>
                <w:rFonts w:ascii="仿宋_GB2312" w:hAnsi="仿宋_GB2312" w:cs="仿宋_GB2312" w:eastAsia="仿宋_GB2312"/>
                <w:sz w:val="24"/>
              </w:rPr>
              <w:t xml:space="preserve"> 具备自动温控功能（如加热、散热），确保在雨、雪、雾、霜等恶劣气候条件下能够正常工作，检测性能不显著下降。</w:t>
            </w:r>
            <w:r>
              <w:br/>
            </w:r>
            <w:r>
              <w:rPr>
                <w:rFonts w:ascii="仿宋_GB2312" w:hAnsi="仿宋_GB2312" w:cs="仿宋_GB2312" w:eastAsia="仿宋_GB2312"/>
                <w:sz w:val="24"/>
              </w:rPr>
              <w:t xml:space="preserve"> 电气与接口：</w:t>
            </w:r>
            <w:r>
              <w:br/>
            </w:r>
            <w:r>
              <w:rPr>
                <w:rFonts w:ascii="仿宋_GB2312" w:hAnsi="仿宋_GB2312" w:cs="仿宋_GB2312" w:eastAsia="仿宋_GB2312"/>
                <w:sz w:val="24"/>
              </w:rPr>
              <w:t xml:space="preserve"> 工作电源：24 VDC，允许波动范围 ±20%。</w:t>
            </w:r>
            <w:r>
              <w:br/>
            </w:r>
            <w:r>
              <w:rPr>
                <w:rFonts w:ascii="仿宋_GB2312" w:hAnsi="仿宋_GB2312" w:cs="仿宋_GB2312" w:eastAsia="仿宋_GB2312"/>
                <w:sz w:val="24"/>
              </w:rPr>
              <w:t xml:space="preserve"> 峰值功率：应能满足在低温环境下启动加热功能时的功率需求。</w:t>
            </w:r>
            <w:r>
              <w:br/>
            </w:r>
            <w:r>
              <w:rPr>
                <w:rFonts w:ascii="仿宋_GB2312" w:hAnsi="仿宋_GB2312" w:cs="仿宋_GB2312" w:eastAsia="仿宋_GB2312"/>
                <w:sz w:val="24"/>
              </w:rPr>
              <w:t xml:space="preserve"> 通讯接口：标准 Ethernet 接口，支持 TCP/IP 协议栈。</w:t>
            </w:r>
            <w:r>
              <w:br/>
            </w:r>
            <w:r>
              <w:rPr>
                <w:rFonts w:ascii="仿宋_GB2312" w:hAnsi="仿宋_GB2312" w:cs="仿宋_GB2312" w:eastAsia="仿宋_GB2312"/>
                <w:sz w:val="24"/>
              </w:rPr>
              <w:t xml:space="preserve"> 合规性：</w:t>
            </w:r>
            <w:r>
              <w:br/>
            </w:r>
            <w:r>
              <w:rPr>
                <w:rFonts w:ascii="仿宋_GB2312" w:hAnsi="仿宋_GB2312" w:cs="仿宋_GB2312" w:eastAsia="仿宋_GB2312"/>
                <w:sz w:val="24"/>
              </w:rPr>
              <w:t xml:space="preserve"> 设备及输出的数据格式应能满足交通运输管理部门对交通数据采集的相关标准规范要求。</w:t>
            </w:r>
          </w:p>
          <w:p>
            <w:pPr>
              <w:pStyle w:val="null3"/>
              <w:ind w:right="840" w:firstLine="480"/>
              <w:jc w:val="left"/>
            </w:pPr>
            <w:r>
              <w:rPr>
                <w:rFonts w:ascii="仿宋_GB2312" w:hAnsi="仿宋_GB2312" w:cs="仿宋_GB2312" w:eastAsia="仿宋_GB2312"/>
                <w:sz w:val="24"/>
              </w:rPr>
              <w:t>3、视频服务器5套，技术参数：技术参数要求：</w:t>
            </w:r>
            <w:r>
              <w:br/>
            </w:r>
            <w:r>
              <w:rPr>
                <w:rFonts w:ascii="仿宋_GB2312" w:hAnsi="仿宋_GB2312" w:cs="仿宋_GB2312" w:eastAsia="仿宋_GB2312"/>
                <w:sz w:val="24"/>
              </w:rPr>
              <w:t xml:space="preserve"> 接入与兼容性：</w:t>
            </w:r>
            <w:r>
              <w:br/>
            </w:r>
            <w:r>
              <w:rPr>
                <w:rFonts w:ascii="仿宋_GB2312" w:hAnsi="仿宋_GB2312" w:cs="仿宋_GB2312" w:eastAsia="仿宋_GB2312"/>
                <w:sz w:val="24"/>
              </w:rPr>
              <w:t xml:space="preserve"> 支持通过标准协议（包括但不限于ONVIF、PSIA、RTSP）接入网络摄像机（IPC）。支持《GB/T 28181 公共安全视频监控联网系统信息传输、交换、控制技术要求》协议。支持主流编码格式，能够自适应接入采用H.265、H.264编码的前端设备。</w:t>
            </w:r>
            <w:r>
              <w:br/>
            </w:r>
            <w:r>
              <w:rPr>
                <w:rFonts w:ascii="仿宋_GB2312" w:hAnsi="仿宋_GB2312" w:cs="仿宋_GB2312" w:eastAsia="仿宋_GB2312"/>
                <w:sz w:val="24"/>
              </w:rPr>
              <w:t xml:space="preserve"> 视频输出与显示：</w:t>
            </w:r>
            <w:r>
              <w:br/>
            </w:r>
            <w:r>
              <w:rPr>
                <w:rFonts w:ascii="仿宋_GB2312" w:hAnsi="仿宋_GB2312" w:cs="仿宋_GB2312" w:eastAsia="仿宋_GB2312"/>
                <w:sz w:val="24"/>
              </w:rPr>
              <w:t xml:space="preserve"> 至少提供HDMI和VGA两种视频输出接口。支持高清输出，最高输出分辨率不低于1920x1080（1080P）。（备注：原“4K输出”与后续视频输入规格不匹配，故修改为更通用且与输入能力相匹配的高清标准）</w:t>
            </w:r>
            <w:r>
              <w:br/>
            </w:r>
            <w:r>
              <w:rPr>
                <w:rFonts w:ascii="仿宋_GB2312" w:hAnsi="仿宋_GB2312" w:cs="仿宋_GB2312" w:eastAsia="仿宋_GB2312"/>
                <w:sz w:val="24"/>
              </w:rPr>
              <w:t xml:space="preserve"> 录像管理与检索：</w:t>
            </w:r>
            <w:r>
              <w:br/>
            </w:r>
            <w:r>
              <w:rPr>
                <w:rFonts w:ascii="仿宋_GB2312" w:hAnsi="仿宋_GB2312" w:cs="仿宋_GB2312" w:eastAsia="仿宋_GB2312"/>
                <w:sz w:val="24"/>
              </w:rPr>
              <w:t xml:space="preserve"> 支持对录像文件进行标签定义、按标签及时间、通道等多种条件进行快速查询和回放。支持多路视频（不少于8路）的同步回放与同步倒放功能。回放操作需支持播放、暂停、快进/快退、慢放、单帧进退等基本功能。</w:t>
            </w:r>
            <w:r>
              <w:br/>
            </w:r>
            <w:r>
              <w:rPr>
                <w:rFonts w:ascii="仿宋_GB2312" w:hAnsi="仿宋_GB2312" w:cs="仿宋_GB2312" w:eastAsia="仿宋_GB2312"/>
                <w:sz w:val="24"/>
              </w:rPr>
              <w:t xml:space="preserve"> 网络与平台功能：</w:t>
            </w:r>
            <w:r>
              <w:br/>
            </w:r>
            <w:r>
              <w:rPr>
                <w:rFonts w:ascii="仿宋_GB2312" w:hAnsi="仿宋_GB2312" w:cs="仿宋_GB2312" w:eastAsia="仿宋_GB2312"/>
                <w:sz w:val="24"/>
              </w:rPr>
              <w:t xml:space="preserve"> 支持远程网络监控（通过PC客户端、Web浏览器或移动APP）。支持DDNS（动态域名解析）功能，便于通过域名进行远程访问。具备平台接入能力，可向指定的上级管理平台（如中心管理平台）注册并上传数据。</w:t>
            </w:r>
            <w:r>
              <w:br/>
            </w:r>
            <w:r>
              <w:rPr>
                <w:rFonts w:ascii="仿宋_GB2312" w:hAnsi="仿宋_GB2312" w:cs="仿宋_GB2312" w:eastAsia="仿宋_GB2312"/>
                <w:sz w:val="24"/>
              </w:rPr>
              <w:t xml:space="preserve"> 性能与容量：</w:t>
            </w:r>
            <w:r>
              <w:br/>
            </w:r>
            <w:r>
              <w:rPr>
                <w:rFonts w:ascii="仿宋_GB2312" w:hAnsi="仿宋_GB2312" w:cs="仿宋_GB2312" w:eastAsia="仿宋_GB2312"/>
                <w:sz w:val="24"/>
              </w:rPr>
              <w:t xml:space="preserve"> 视频输入：支持接入不少于8路网络视频流。（备注：将过时的“复合视频”输入改为现代化的“网络视频流”输入）</w:t>
            </w:r>
            <w:r>
              <w:br/>
            </w:r>
            <w:r>
              <w:rPr>
                <w:rFonts w:ascii="仿宋_GB2312" w:hAnsi="仿宋_GB2312" w:cs="仿宋_GB2312" w:eastAsia="仿宋_GB2312"/>
                <w:sz w:val="24"/>
              </w:rPr>
              <w:t xml:space="preserve"> 录像帧率：在全高清（1080P）及以下分辨率下，应支持所有通道在实时帧率（25fps/30fps）下进行同步录像与回放。（备注：去除原文件中不合理且矛盾的特定分辨率下高帧率指标，强调全通道实时性能）</w:t>
            </w:r>
            <w:r>
              <w:br/>
            </w:r>
            <w:r>
              <w:rPr>
                <w:rFonts w:ascii="仿宋_GB2312" w:hAnsi="仿宋_GB2312" w:cs="仿宋_GB2312" w:eastAsia="仿宋_GB2312"/>
                <w:sz w:val="24"/>
              </w:rPr>
              <w:t xml:space="preserve"> 内置存储：设备出厂预装硬盘，单机可用存储容量不小于4TB。（备注：强调“可用容量”，更具实际意义）</w:t>
            </w:r>
            <w:r>
              <w:br/>
            </w:r>
            <w:r>
              <w:rPr>
                <w:rFonts w:ascii="仿宋_GB2312" w:hAnsi="仿宋_GB2312" w:cs="仿宋_GB2312" w:eastAsia="仿宋_GB2312"/>
                <w:sz w:val="24"/>
              </w:rPr>
              <w:t xml:space="preserve"> 压缩标准：支持H.264、H.265视频编码；支持G.711A等常用音频编码格式。</w:t>
            </w:r>
            <w:r>
              <w:br/>
            </w:r>
            <w:r>
              <w:rPr>
                <w:rFonts w:ascii="仿宋_GB2312" w:hAnsi="仿宋_GB2312" w:cs="仿宋_GB2312" w:eastAsia="仿宋_GB2312"/>
                <w:sz w:val="24"/>
              </w:rPr>
              <w:t xml:space="preserve"> 接口与扩展：</w:t>
            </w:r>
            <w:r>
              <w:br/>
            </w:r>
            <w:r>
              <w:rPr>
                <w:rFonts w:ascii="仿宋_GB2312" w:hAnsi="仿宋_GB2312" w:cs="仿宋_GB2312" w:eastAsia="仿宋_GB2312"/>
                <w:sz w:val="24"/>
              </w:rPr>
              <w:t xml:space="preserve"> 报警输入：不少于4路开关量报警输入。</w:t>
            </w:r>
            <w:r>
              <w:br/>
            </w:r>
            <w:r>
              <w:rPr>
                <w:rFonts w:ascii="仿宋_GB2312" w:hAnsi="仿宋_GB2312" w:cs="仿宋_GB2312" w:eastAsia="仿宋_GB2312"/>
                <w:sz w:val="24"/>
              </w:rPr>
              <w:t xml:space="preserve"> 外部接口：至少提供2个USB接口（其中至少1个为USB 3.0或更高标准），用于数据备份、导出和设备维护。</w:t>
            </w:r>
            <w:r>
              <w:br/>
            </w:r>
            <w:r>
              <w:rPr>
                <w:rFonts w:ascii="仿宋_GB2312" w:hAnsi="仿宋_GB2312" w:cs="仿宋_GB2312" w:eastAsia="仿宋_GB2312"/>
                <w:sz w:val="24"/>
              </w:rPr>
              <w:t xml:space="preserve"> 工作环境：</w:t>
            </w:r>
            <w:r>
              <w:br/>
            </w:r>
            <w:r>
              <w:rPr>
                <w:rFonts w:ascii="仿宋_GB2312" w:hAnsi="仿宋_GB2312" w:cs="仿宋_GB2312" w:eastAsia="仿宋_GB2312"/>
                <w:sz w:val="24"/>
              </w:rPr>
              <w:t xml:space="preserve"> 工作温度：-10℃ ～ 55℃。</w:t>
            </w:r>
            <w:r>
              <w:br/>
            </w:r>
            <w:r>
              <w:rPr>
                <w:rFonts w:ascii="仿宋_GB2312" w:hAnsi="仿宋_GB2312" w:cs="仿宋_GB2312" w:eastAsia="仿宋_GB2312"/>
                <w:sz w:val="24"/>
              </w:rPr>
              <w:t xml:space="preserve"> 工作湿度：10% ～ 90%（非凝露）。</w:t>
            </w:r>
          </w:p>
          <w:p>
            <w:pPr>
              <w:pStyle w:val="null3"/>
              <w:ind w:right="840" w:firstLine="480"/>
              <w:jc w:val="left"/>
            </w:pPr>
            <w:r>
              <w:rPr>
                <w:rFonts w:ascii="仿宋_GB2312" w:hAnsi="仿宋_GB2312" w:cs="仿宋_GB2312" w:eastAsia="仿宋_GB2312"/>
                <w:sz w:val="24"/>
              </w:rPr>
              <w:t>4、防火墙5套，技术参数：性能与容量指标：</w:t>
            </w:r>
            <w:r>
              <w:br/>
            </w:r>
            <w:r>
              <w:rPr>
                <w:rFonts w:ascii="仿宋_GB2312" w:hAnsi="仿宋_GB2312" w:cs="仿宋_GB2312" w:eastAsia="仿宋_GB2312"/>
                <w:sz w:val="24"/>
              </w:rPr>
              <w:t xml:space="preserve"> 设备定位：适用于中小型企业网络边界或数据中心边缘。防火墙吞吐量：≥ 1 Gbps。应用层吞吐量（启用典型安全服务）：≥ 500 Mbps。最大并发连接数：≥ 50 万。每秒新建连接数（CPS）：≥ 3 万。</w:t>
            </w:r>
            <w:r>
              <w:br/>
            </w:r>
            <w:r>
              <w:rPr>
                <w:rFonts w:ascii="仿宋_GB2312" w:hAnsi="仿宋_GB2312" w:cs="仿宋_GB2312" w:eastAsia="仿宋_GB2312"/>
                <w:sz w:val="24"/>
              </w:rPr>
              <w:t xml:space="preserve"> IPSec VPN 吞吐量：≥ 500 Mbps。IPSec VPN 最大隧道数：≥ 2000。</w:t>
            </w:r>
            <w:r>
              <w:br/>
            </w:r>
            <w:r>
              <w:rPr>
                <w:rFonts w:ascii="仿宋_GB2312" w:hAnsi="仿宋_GB2312" w:cs="仿宋_GB2312" w:eastAsia="仿宋_GB2312"/>
                <w:sz w:val="24"/>
              </w:rPr>
              <w:t xml:space="preserve"> 路由与网络特性：</w:t>
            </w:r>
            <w:r>
              <w:br/>
            </w:r>
            <w:r>
              <w:rPr>
                <w:rFonts w:ascii="仿宋_GB2312" w:hAnsi="仿宋_GB2312" w:cs="仿宋_GB2312" w:eastAsia="仿宋_GB2312"/>
                <w:sz w:val="24"/>
              </w:rPr>
              <w:t xml:space="preserve"> 全面支持 IPv4/IPv6 双协议栈。支持静态路由、策略路由。支持主流的动态路由协议（如 RIP、OSPF、BGP 中的至少两种）。</w:t>
            </w:r>
            <w:r>
              <w:br/>
            </w:r>
            <w:r>
              <w:rPr>
                <w:rFonts w:ascii="仿宋_GB2312" w:hAnsi="仿宋_GB2312" w:cs="仿宋_GB2312" w:eastAsia="仿宋_GB2312"/>
                <w:sz w:val="24"/>
              </w:rPr>
              <w:t xml:space="preserve"> 安全功能要求：</w:t>
            </w:r>
            <w:r>
              <w:br/>
            </w:r>
            <w:r>
              <w:rPr>
                <w:rFonts w:ascii="仿宋_GB2312" w:hAnsi="仿宋_GB2312" w:cs="仿宋_GB2312" w:eastAsia="仿宋_GB2312"/>
                <w:sz w:val="24"/>
              </w:rPr>
              <w:t xml:space="preserve"> 集成下一代防火墙核心安全能力，至少包括：</w:t>
            </w:r>
            <w:r>
              <w:br/>
            </w:r>
            <w:r>
              <w:rPr>
                <w:rFonts w:ascii="仿宋_GB2312" w:hAnsi="仿宋_GB2312" w:cs="仿宋_GB2312" w:eastAsia="仿宋_GB2312"/>
                <w:sz w:val="24"/>
              </w:rPr>
              <w:t xml:space="preserve"> 应用识别与控制；入侵防御系统（IPS）；防病毒（AV）；数据防泄漏（DLP）/ 内容过滤；SSL/TLS 加密流量检测（需提供合法的证书管理方案）；支持高级网络功能，如 VXLAN 等 overlay 网络技术。</w:t>
            </w:r>
            <w:r>
              <w:br/>
            </w:r>
            <w:r>
              <w:rPr>
                <w:rFonts w:ascii="仿宋_GB2312" w:hAnsi="仿宋_GB2312" w:cs="仿宋_GB2312" w:eastAsia="仿宋_GB2312"/>
                <w:sz w:val="24"/>
              </w:rPr>
              <w:t xml:space="preserve"> 支持智能链路负载均衡或基于策略的智能选路。</w:t>
            </w:r>
            <w:r>
              <w:br/>
            </w:r>
            <w:r>
              <w:rPr>
                <w:rFonts w:ascii="仿宋_GB2312" w:hAnsi="仿宋_GB2312" w:cs="仿宋_GB2312" w:eastAsia="仿宋_GB2312"/>
                <w:sz w:val="24"/>
              </w:rPr>
              <w:t xml:space="preserve"> 硬件与接口要求：</w:t>
            </w:r>
            <w:r>
              <w:br/>
            </w:r>
            <w:r>
              <w:rPr>
                <w:rFonts w:ascii="仿宋_GB2312" w:hAnsi="仿宋_GB2312" w:cs="仿宋_GB2312" w:eastAsia="仿宋_GB2312"/>
                <w:sz w:val="24"/>
              </w:rPr>
              <w:t xml:space="preserve"> 业务接口：提供不少于12个千兆及以上速率的数据端口（电口或SFP光口），其中万兆光纤接口不少于8个。</w:t>
            </w:r>
            <w:r>
              <w:br/>
            </w:r>
            <w:r>
              <w:rPr>
                <w:rFonts w:ascii="仿宋_GB2312" w:hAnsi="仿宋_GB2312" w:cs="仿宋_GB2312" w:eastAsia="仿宋_GB2312"/>
                <w:sz w:val="24"/>
              </w:rPr>
              <w:t xml:space="preserve"> 管理接口：独立的专用管理接口。</w:t>
            </w:r>
            <w:r>
              <w:br/>
            </w:r>
            <w:r>
              <w:rPr>
                <w:rFonts w:ascii="仿宋_GB2312" w:hAnsi="仿宋_GB2312" w:cs="仿宋_GB2312" w:eastAsia="仿宋_GB2312"/>
                <w:sz w:val="24"/>
              </w:rPr>
              <w:t xml:space="preserve"> 扩展性：提供USB接口或可扩展的外部存储选项，用于日志导出、配置备份等。</w:t>
            </w:r>
            <w:r>
              <w:br/>
            </w:r>
            <w:r>
              <w:rPr>
                <w:rFonts w:ascii="仿宋_GB2312" w:hAnsi="仿宋_GB2312" w:cs="仿宋_GB2312" w:eastAsia="仿宋_GB2312"/>
                <w:sz w:val="24"/>
              </w:rPr>
              <w:t xml:space="preserve"> 电源：采用通用交流电源输入（100-240V AC），支持单电源或可选的冗余电源。</w:t>
            </w:r>
            <w:r>
              <w:br/>
            </w:r>
            <w:r>
              <w:rPr>
                <w:rFonts w:ascii="仿宋_GB2312" w:hAnsi="仿宋_GB2312" w:cs="仿宋_GB2312" w:eastAsia="仿宋_GB2312"/>
                <w:sz w:val="24"/>
              </w:rPr>
              <w:t xml:space="preserve"> 可靠性与环境：</w:t>
            </w:r>
            <w:r>
              <w:br/>
            </w:r>
            <w:r>
              <w:rPr>
                <w:rFonts w:ascii="仿宋_GB2312" w:hAnsi="仿宋_GB2312" w:cs="仿宋_GB2312" w:eastAsia="仿宋_GB2312"/>
                <w:sz w:val="24"/>
              </w:rPr>
              <w:t xml:space="preserve"> 平均无故障时间（MTBF）：≥ 100,000 小时。工作温度：0℃ ～ 45℃。工作湿度：5% ～ 95%（非凝露）。</w:t>
            </w:r>
          </w:p>
          <w:p>
            <w:pPr>
              <w:pStyle w:val="null3"/>
              <w:ind w:right="840" w:firstLine="480"/>
              <w:jc w:val="left"/>
            </w:pPr>
            <w:r>
              <w:rPr>
                <w:rFonts w:ascii="仿宋_GB2312" w:hAnsi="仿宋_GB2312" w:cs="仿宋_GB2312" w:eastAsia="仿宋_GB2312"/>
                <w:sz w:val="24"/>
              </w:rPr>
              <w:t>5、网络交换机5台，技术参数：设备交换容量不低于200Gbps，包转发率不低于40Mpps；至少提供8个千兆电口和2个万兆光口；支持双路直流电源输入；整机最大功耗不高于20W；工作温度范围应覆盖-40℃至75℃；支持基于端口的VLAN等基本二层管理功能。</w:t>
            </w:r>
          </w:p>
          <w:p>
            <w:pPr>
              <w:pStyle w:val="null3"/>
              <w:ind w:right="840" w:firstLine="480"/>
              <w:jc w:val="left"/>
            </w:pPr>
            <w:r>
              <w:rPr>
                <w:rFonts w:ascii="仿宋_GB2312" w:hAnsi="仿宋_GB2312" w:cs="仿宋_GB2312" w:eastAsia="仿宋_GB2312"/>
                <w:sz w:val="24"/>
              </w:rPr>
              <w:t>6、UPS5套，技术参数：在线式，具有以太网通信接口；满负载维持时间：≥8小时；配置3块80AH蓄电池；含电池柜：尺寸（高×宽×深）≥800×400×500mm，安装于外场立杆。</w:t>
            </w:r>
          </w:p>
          <w:p>
            <w:pPr>
              <w:pStyle w:val="null3"/>
              <w:ind w:right="840" w:firstLine="480"/>
              <w:jc w:val="left"/>
            </w:pPr>
            <w:r>
              <w:rPr>
                <w:rFonts w:ascii="仿宋_GB2312" w:hAnsi="仿宋_GB2312" w:cs="仿宋_GB2312" w:eastAsia="仿宋_GB2312"/>
                <w:sz w:val="24"/>
              </w:rPr>
              <w:t>7、基础5处，技术参数：C25混凝土、钢筋、法兰等。</w:t>
            </w:r>
          </w:p>
          <w:p>
            <w:pPr>
              <w:pStyle w:val="null3"/>
              <w:ind w:right="840" w:firstLine="480"/>
              <w:jc w:val="left"/>
            </w:pPr>
            <w:r>
              <w:rPr>
                <w:rFonts w:ascii="仿宋_GB2312" w:hAnsi="仿宋_GB2312" w:cs="仿宋_GB2312" w:eastAsia="仿宋_GB2312"/>
                <w:sz w:val="24"/>
              </w:rPr>
              <w:t>8、悬臂式杆件5套，技术参数：含立柱7m、横杆3m。</w:t>
            </w:r>
          </w:p>
          <w:p>
            <w:pPr>
              <w:pStyle w:val="null3"/>
              <w:ind w:right="840" w:firstLine="480"/>
              <w:jc w:val="left"/>
            </w:pPr>
            <w:r>
              <w:rPr>
                <w:rFonts w:ascii="仿宋_GB2312" w:hAnsi="仿宋_GB2312" w:cs="仿宋_GB2312" w:eastAsia="仿宋_GB2312"/>
                <w:sz w:val="24"/>
              </w:rPr>
              <w:t>9、接地系统5项，技术参数：工作接地≤4Ω，防雷接地≤10Ω。</w:t>
            </w:r>
          </w:p>
          <w:p>
            <w:pPr>
              <w:pStyle w:val="null3"/>
              <w:ind w:right="840" w:firstLine="480"/>
              <w:jc w:val="left"/>
            </w:pPr>
            <w:r>
              <w:rPr>
                <w:rFonts w:ascii="仿宋_GB2312" w:hAnsi="仿宋_GB2312" w:cs="仿宋_GB2312" w:eastAsia="仿宋_GB2312"/>
                <w:sz w:val="24"/>
              </w:rPr>
              <w:t>10、设备箱5套，技术参数：600mm×500mm×400mm，防护等级IP65，含断路器、整流器等。</w:t>
            </w:r>
          </w:p>
          <w:p>
            <w:pPr>
              <w:pStyle w:val="null3"/>
              <w:ind w:right="840" w:firstLine="480"/>
              <w:jc w:val="left"/>
            </w:pPr>
            <w:r>
              <w:rPr>
                <w:rFonts w:ascii="仿宋_GB2312" w:hAnsi="仿宋_GB2312" w:cs="仿宋_GB2312" w:eastAsia="仿宋_GB2312"/>
                <w:sz w:val="24"/>
              </w:rPr>
              <w:t>11、电力电缆160米，技术参数：YJV-2×4mm²。</w:t>
            </w:r>
          </w:p>
          <w:p>
            <w:pPr>
              <w:pStyle w:val="null3"/>
              <w:ind w:right="840" w:firstLine="480"/>
              <w:jc w:val="left"/>
            </w:pPr>
            <w:r>
              <w:rPr>
                <w:rFonts w:ascii="仿宋_GB2312" w:hAnsi="仿宋_GB2312" w:cs="仿宋_GB2312" w:eastAsia="仿宋_GB2312"/>
                <w:sz w:val="24"/>
              </w:rPr>
              <w:t>12、电力电缆240米，技术参数：YJV22-2×4mm²。</w:t>
            </w:r>
          </w:p>
          <w:p>
            <w:pPr>
              <w:pStyle w:val="null3"/>
              <w:ind w:right="840" w:firstLine="480"/>
              <w:jc w:val="left"/>
            </w:pPr>
            <w:r>
              <w:rPr>
                <w:rFonts w:ascii="仿宋_GB2312" w:hAnsi="仿宋_GB2312" w:cs="仿宋_GB2312" w:eastAsia="仿宋_GB2312"/>
                <w:sz w:val="24"/>
              </w:rPr>
              <w:t>13、电力电缆75米，技术参数：BVV-2×2.5mm²。</w:t>
            </w:r>
          </w:p>
          <w:p>
            <w:pPr>
              <w:pStyle w:val="null3"/>
              <w:ind w:right="840" w:firstLine="480"/>
              <w:jc w:val="left"/>
            </w:pPr>
            <w:r>
              <w:rPr>
                <w:rFonts w:ascii="仿宋_GB2312" w:hAnsi="仿宋_GB2312" w:cs="仿宋_GB2312" w:eastAsia="仿宋_GB2312"/>
                <w:sz w:val="24"/>
              </w:rPr>
              <w:t>14、过路保护钢管，技术参数：φ89×3.5mm镀锌钢管。</w:t>
            </w:r>
          </w:p>
          <w:p>
            <w:pPr>
              <w:pStyle w:val="null3"/>
              <w:ind w:right="840" w:firstLine="480"/>
              <w:jc w:val="left"/>
            </w:pPr>
            <w:r>
              <w:rPr>
                <w:rFonts w:ascii="仿宋_GB2312" w:hAnsi="仿宋_GB2312" w:cs="仿宋_GB2312" w:eastAsia="仿宋_GB2312"/>
                <w:sz w:val="24"/>
              </w:rPr>
              <w:t>15、PVC管485米，技术参数：φ32，电缆、双绞线分别穿管。</w:t>
            </w:r>
          </w:p>
          <w:p>
            <w:pPr>
              <w:pStyle w:val="null3"/>
              <w:ind w:right="840" w:firstLine="480"/>
              <w:jc w:val="left"/>
            </w:pPr>
            <w:r>
              <w:rPr>
                <w:rFonts w:ascii="仿宋_GB2312" w:hAnsi="仿宋_GB2312" w:cs="仿宋_GB2312" w:eastAsia="仿宋_GB2312"/>
                <w:sz w:val="24"/>
              </w:rPr>
              <w:t>16、悬挂钢丝485米，技术参数：φ12，含线缆绑扎、挂钩。</w:t>
            </w:r>
          </w:p>
          <w:p>
            <w:pPr>
              <w:pStyle w:val="null3"/>
              <w:ind w:right="840" w:firstLine="480"/>
              <w:jc w:val="left"/>
            </w:pPr>
            <w:r>
              <w:rPr>
                <w:rFonts w:ascii="仿宋_GB2312" w:hAnsi="仿宋_GB2312" w:cs="仿宋_GB2312" w:eastAsia="仿宋_GB2312"/>
                <w:sz w:val="24"/>
              </w:rPr>
              <w:t>17、双绞线75米，技术参数：UTP-6。</w:t>
            </w:r>
          </w:p>
          <w:p>
            <w:pPr>
              <w:pStyle w:val="null3"/>
              <w:ind w:right="840" w:firstLine="480"/>
              <w:jc w:val="left"/>
            </w:pPr>
            <w:r>
              <w:rPr>
                <w:rFonts w:ascii="仿宋_GB2312" w:hAnsi="仿宋_GB2312" w:cs="仿宋_GB2312" w:eastAsia="仿宋_GB2312"/>
                <w:sz w:val="24"/>
              </w:rPr>
              <w:t>18、4芯光缆，技术参数：475米。</w:t>
            </w:r>
          </w:p>
          <w:p>
            <w:pPr>
              <w:pStyle w:val="null3"/>
              <w:ind w:right="840" w:firstLine="480"/>
              <w:jc w:val="left"/>
            </w:pPr>
            <w:r>
              <w:rPr>
                <w:rFonts w:ascii="仿宋_GB2312" w:hAnsi="仿宋_GB2312" w:cs="仿宋_GB2312" w:eastAsia="仿宋_GB2312"/>
                <w:sz w:val="24"/>
              </w:rPr>
              <w:t>19、外电引入</w:t>
            </w:r>
            <w:r>
              <w:rPr>
                <w:rFonts w:ascii="仿宋_GB2312" w:hAnsi="仿宋_GB2312" w:cs="仿宋_GB2312" w:eastAsia="仿宋_GB2312"/>
                <w:sz w:val="24"/>
              </w:rPr>
              <w:t>5套，技术参数：含电表箱及接线耗材等。</w:t>
            </w:r>
          </w:p>
          <w:p>
            <w:pPr>
              <w:pStyle w:val="null3"/>
              <w:ind w:right="840" w:firstLine="480"/>
              <w:jc w:val="left"/>
            </w:pPr>
            <w:r>
              <w:rPr>
                <w:rFonts w:ascii="仿宋_GB2312" w:hAnsi="仿宋_GB2312" w:cs="仿宋_GB2312" w:eastAsia="仿宋_GB2312"/>
                <w:sz w:val="24"/>
              </w:rPr>
              <w:t>20、网络电源二合一防雷器</w:t>
            </w:r>
            <w:r>
              <w:rPr>
                <w:rFonts w:ascii="仿宋_GB2312" w:hAnsi="仿宋_GB2312" w:cs="仿宋_GB2312" w:eastAsia="仿宋_GB2312"/>
                <w:sz w:val="24"/>
              </w:rPr>
              <w:t>5个，技术参数：最大放电电流：10KA；响应时间：小于1ns。</w:t>
            </w:r>
          </w:p>
          <w:p>
            <w:pPr>
              <w:pStyle w:val="null3"/>
              <w:ind w:right="840" w:firstLine="480"/>
              <w:jc w:val="left"/>
            </w:pPr>
            <w:r>
              <w:rPr>
                <w:rFonts w:ascii="仿宋_GB2312" w:hAnsi="仿宋_GB2312" w:cs="仿宋_GB2312" w:eastAsia="仿宋_GB2312"/>
                <w:sz w:val="24"/>
              </w:rPr>
              <w:t>21、安装辅材</w:t>
            </w:r>
            <w:r>
              <w:rPr>
                <w:rFonts w:ascii="仿宋_GB2312" w:hAnsi="仿宋_GB2312" w:cs="仿宋_GB2312" w:eastAsia="仿宋_GB2312"/>
                <w:sz w:val="24"/>
              </w:rPr>
              <w:t>，技术参数：</w:t>
            </w:r>
            <w:r>
              <w:rPr>
                <w:rFonts w:ascii="仿宋_GB2312" w:hAnsi="仿宋_GB2312" w:cs="仿宋_GB2312" w:eastAsia="仿宋_GB2312"/>
                <w:sz w:val="24"/>
              </w:rPr>
              <w:t>5项。</w:t>
            </w:r>
          </w:p>
          <w:p>
            <w:pPr>
              <w:pStyle w:val="null3"/>
              <w:ind w:right="840" w:firstLine="480"/>
              <w:jc w:val="left"/>
            </w:pPr>
            <w:r>
              <w:rPr>
                <w:rFonts w:ascii="仿宋_GB2312" w:hAnsi="仿宋_GB2312" w:cs="仿宋_GB2312" w:eastAsia="仿宋_GB2312"/>
                <w:sz w:val="24"/>
              </w:rPr>
              <w:t>22、联网调试</w:t>
            </w:r>
            <w:r>
              <w:rPr>
                <w:rFonts w:ascii="仿宋_GB2312" w:hAnsi="仿宋_GB2312" w:cs="仿宋_GB2312" w:eastAsia="仿宋_GB2312"/>
                <w:sz w:val="24"/>
              </w:rPr>
              <w:t>，技术参数：</w:t>
            </w:r>
            <w:r>
              <w:rPr>
                <w:rFonts w:ascii="仿宋_GB2312" w:hAnsi="仿宋_GB2312" w:cs="仿宋_GB2312" w:eastAsia="仿宋_GB2312"/>
                <w:sz w:val="24"/>
              </w:rPr>
              <w:t>5项。</w:t>
            </w:r>
          </w:p>
          <w:p>
            <w:pPr>
              <w:pStyle w:val="null3"/>
              <w:ind w:right="840" w:firstLine="480"/>
              <w:jc w:val="left"/>
            </w:pPr>
            <w:r>
              <w:rPr>
                <w:rFonts w:ascii="仿宋_GB2312" w:hAnsi="仿宋_GB2312" w:cs="仿宋_GB2312" w:eastAsia="仿宋_GB2312"/>
                <w:sz w:val="24"/>
              </w:rPr>
              <w:t>23、混凝土包封</w:t>
            </w:r>
            <w:r>
              <w:rPr>
                <w:rFonts w:ascii="仿宋_GB2312" w:hAnsi="仿宋_GB2312" w:cs="仿宋_GB2312" w:eastAsia="仿宋_GB2312"/>
                <w:sz w:val="24"/>
              </w:rPr>
              <w:t>0.56m</w:t>
            </w:r>
            <w:r>
              <w:rPr>
                <w:rFonts w:ascii="仿宋_GB2312" w:hAnsi="仿宋_GB2312" w:cs="仿宋_GB2312" w:eastAsia="仿宋_GB2312"/>
                <w:sz w:val="24"/>
                <w:vertAlign w:val="superscript"/>
              </w:rPr>
              <w:t>3</w:t>
            </w:r>
            <w:r>
              <w:rPr>
                <w:rFonts w:ascii="仿宋_GB2312" w:hAnsi="仿宋_GB2312" w:cs="仿宋_GB2312" w:eastAsia="仿宋_GB2312"/>
                <w:sz w:val="24"/>
              </w:rPr>
              <w:t>,技术参数：20cm×20cm。</w:t>
            </w:r>
          </w:p>
          <w:p>
            <w:pPr>
              <w:pStyle w:val="null3"/>
              <w:ind w:right="840" w:firstLine="480"/>
              <w:jc w:val="left"/>
            </w:pPr>
            <w:r>
              <w:rPr>
                <w:rFonts w:ascii="仿宋_GB2312" w:hAnsi="仿宋_GB2312" w:cs="仿宋_GB2312" w:eastAsia="仿宋_GB2312"/>
                <w:sz w:val="24"/>
              </w:rPr>
              <w:t>24、</w:t>
            </w:r>
            <w:r>
              <w:rPr>
                <w:rFonts w:ascii="仿宋_GB2312" w:hAnsi="仿宋_GB2312" w:cs="仿宋_GB2312" w:eastAsia="仿宋_GB2312"/>
                <w:sz w:val="24"/>
              </w:rPr>
              <w:t>管沟开挖</w:t>
            </w:r>
            <w:r>
              <w:rPr>
                <w:rFonts w:ascii="仿宋_GB2312" w:hAnsi="仿宋_GB2312" w:cs="仿宋_GB2312" w:eastAsia="仿宋_GB2312"/>
                <w:sz w:val="24"/>
              </w:rPr>
              <w:t>，技术参数：</w:t>
            </w:r>
            <w:r>
              <w:rPr>
                <w:rFonts w:ascii="仿宋_GB2312" w:hAnsi="仿宋_GB2312" w:cs="仿宋_GB2312" w:eastAsia="仿宋_GB2312"/>
                <w:sz w:val="24"/>
              </w:rPr>
              <w:t>65.8m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ind w:right="840" w:firstLine="480"/>
              <w:jc w:val="left"/>
            </w:pPr>
            <w:r>
              <w:rPr>
                <w:rFonts w:ascii="仿宋_GB2312" w:hAnsi="仿宋_GB2312" w:cs="仿宋_GB2312" w:eastAsia="仿宋_GB2312"/>
                <w:sz w:val="24"/>
              </w:rPr>
              <w:t>25、管沟回填</w:t>
            </w:r>
            <w:r>
              <w:rPr>
                <w:rFonts w:ascii="仿宋_GB2312" w:hAnsi="仿宋_GB2312" w:cs="仿宋_GB2312" w:eastAsia="仿宋_GB2312"/>
                <w:sz w:val="24"/>
              </w:rPr>
              <w:t>，技术参数：</w:t>
            </w:r>
            <w:r>
              <w:rPr>
                <w:rFonts w:ascii="仿宋_GB2312" w:hAnsi="仿宋_GB2312" w:cs="仿宋_GB2312" w:eastAsia="仿宋_GB2312"/>
                <w:sz w:val="24"/>
              </w:rPr>
              <w:t>64.24m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ind w:right="840" w:firstLine="480"/>
              <w:jc w:val="left"/>
            </w:pPr>
            <w:r>
              <w:rPr>
                <w:rFonts w:ascii="仿宋_GB2312" w:hAnsi="仿宋_GB2312" w:cs="仿宋_GB2312" w:eastAsia="仿宋_GB2312"/>
                <w:sz w:val="24"/>
              </w:rPr>
              <w:t>26、标志</w:t>
            </w:r>
            <w:r>
              <w:rPr>
                <w:rFonts w:ascii="仿宋_GB2312" w:hAnsi="仿宋_GB2312" w:cs="仿宋_GB2312" w:eastAsia="仿宋_GB2312"/>
                <w:sz w:val="24"/>
              </w:rPr>
              <w:t>5块，技术参数：600×900mm（高×宽），含抱箍等安装材料。</w:t>
            </w:r>
          </w:p>
          <w:p>
            <w:pPr>
              <w:pStyle w:val="null3"/>
              <w:ind w:right="840" w:firstLine="480"/>
              <w:jc w:val="left"/>
            </w:pPr>
            <w:r>
              <w:rPr>
                <w:rFonts w:ascii="仿宋_GB2312" w:hAnsi="仿宋_GB2312" w:cs="仿宋_GB2312" w:eastAsia="仿宋_GB2312"/>
                <w:sz w:val="24"/>
              </w:rPr>
              <w:t>27、立面标记</w:t>
            </w:r>
            <w:r>
              <w:rPr>
                <w:rFonts w:ascii="仿宋_GB2312" w:hAnsi="仿宋_GB2312" w:cs="仿宋_GB2312" w:eastAsia="仿宋_GB2312"/>
                <w:sz w:val="24"/>
              </w:rPr>
              <w:t>13m</w:t>
            </w:r>
            <w:r>
              <w:rPr>
                <w:rFonts w:ascii="仿宋_GB2312" w:hAnsi="仿宋_GB2312" w:cs="仿宋_GB2312" w:eastAsia="仿宋_GB2312"/>
                <w:sz w:val="24"/>
                <w:vertAlign w:val="superscript"/>
              </w:rPr>
              <w:t>2</w:t>
            </w:r>
            <w:r>
              <w:rPr>
                <w:rFonts w:ascii="仿宋_GB2312" w:hAnsi="仿宋_GB2312" w:cs="仿宋_GB2312" w:eastAsia="仿宋_GB2312"/>
                <w:sz w:val="24"/>
              </w:rPr>
              <w:t>，技术参数：</w:t>
            </w:r>
            <w:r>
              <w:rPr>
                <w:rFonts w:ascii="仿宋_GB2312" w:hAnsi="仿宋_GB2312" w:cs="仿宋_GB2312" w:eastAsia="仿宋_GB2312"/>
                <w:sz w:val="24"/>
              </w:rPr>
              <w:t>Ⅲ类反光膜。</w:t>
            </w:r>
          </w:p>
          <w:p>
            <w:pPr>
              <w:pStyle w:val="null3"/>
              <w:ind w:right="840" w:firstLine="480"/>
              <w:jc w:val="left"/>
            </w:pPr>
            <w:r>
              <w:rPr>
                <w:rFonts w:ascii="仿宋_GB2312" w:hAnsi="仿宋_GB2312" w:cs="仿宋_GB2312" w:eastAsia="仿宋_GB2312"/>
                <w:sz w:val="24"/>
              </w:rPr>
              <w:t>28、立杆护栏</w:t>
            </w:r>
            <w:r>
              <w:rPr>
                <w:rFonts w:ascii="仿宋_GB2312" w:hAnsi="仿宋_GB2312" w:cs="仿宋_GB2312" w:eastAsia="仿宋_GB2312"/>
                <w:sz w:val="24"/>
              </w:rPr>
              <w:t>1套，技术参数：φ114×4.0镀锌钢管、刷反光漆。</w:t>
            </w:r>
          </w:p>
          <w:p>
            <w:pPr>
              <w:pStyle w:val="null3"/>
              <w:ind w:right="840" w:firstLine="480"/>
              <w:jc w:val="left"/>
            </w:pPr>
            <w:r>
              <w:rPr>
                <w:rFonts w:ascii="仿宋_GB2312" w:hAnsi="仿宋_GB2312" w:cs="仿宋_GB2312" w:eastAsia="仿宋_GB2312"/>
                <w:sz w:val="24"/>
              </w:rPr>
              <w:t>29、网络服务费</w:t>
            </w:r>
            <w:r>
              <w:rPr>
                <w:rFonts w:ascii="仿宋_GB2312" w:hAnsi="仿宋_GB2312" w:cs="仿宋_GB2312" w:eastAsia="仿宋_GB2312"/>
                <w:sz w:val="24"/>
              </w:rPr>
              <w:t>5项，技术参数：路网监测点运营商专线网络服务费。</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45天</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验收合格30日内付款 ，达到付款条件起 30 日内，支付合同总金额的 100.00%。乙方给甲方出具正式发票。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乙方派工作人员赴甲方指定交货安装地点，负责拼装、调试、试验，进行验收、交接，其中关键性试验需有甲方相关人员参加。 甲乙双方进行实物验收，设备配置、随机备件及工具、资料与本合同和发货单规格、型号、数量一致，且无破损，双方认可签字后视为实物验收合格。物流方单据签收由乙方自行签认，不作为验收依据。 设备经调试正常运行、各项试验满足相关规范要求，双方签署技术性能验收报告单即视为技术性能验收合格。 最终验收合格，一般设备实物验收、技术性能验收合格，视为最终验收合格； 如设备及配件与本合同和发货单不符合，或设备不符合规格和标准的要求，甲方将拒绝接收，乙方应将被拒绝设备及配件予以替换或作必要的更改，并承担由此所发生的所有费用；如经替换或作必要的更改后，设备仍不能满足规格和标准的要求，甲方有权退货,乙方承担由此发生的所有费用和对甲方造成的一切损失。甲方亦有权解除合同，且甲方不因此而承担任何违约责任。 甲方的验收不免除乙方应承担的保修或其他责任。</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设备整机质量质保期为最终验收合格后个12月。在质保期内，凡由于设备设计、制造或材质等非甲方原因造成故障，乙方负责修理或更换零部件，费用由乙方承担；超过质保期后，乙方对设备实行终身服务。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如乙方未能在合同规定的时间内交付全部设备，或由于乙方的设备、配件、质量及售后服务等方面原因影响安装调试时间，导致设备在合同约定时间内仍无法达到正常使用要求的，按每误期一天扣减合同总价的 2 %的标准核计，累计扣减金额最多不超过合同总价的 10 % 。一旦误期损失赔偿达到了合同价的 10 %，甲方则有权解除合同，由此给甲方造成的一切损失由乙方赔偿。 本设备的主要技术性能指标达不到技术设计要求，致使本设备无法投入使用，甲方有权退货，乙方应按照合同总价的 10 % 支付甲方违约金，并承担由此造成的损失。 本设备的主要技术性能指标达不到技术设计要求，影响正常使用的,乙方应按本合同10.2条约定派人维修，经两次维修后仍影响正常使用的,甲方有权退货,乙方应按照合同总价的 10 % 支付甲方违约金，并承担由此造成的损失。 在质保期内，乙方未按甲方要求在 24 小时内调派维修人员赶赴甲方现场进行维修，或在合理期限内无法修复的，甲方有权找第三方进行维修，由此产生的费用和损失由乙方承担。 乙方不得将本合同义务全部或部分转让，包括不得转包与分包，否则甲方有权退货,乙方应按照合同总价的 10% 支付甲方违约金，并承担由此造成的一切损失。 乙方未按合同约定向甲方提供真实、有效、合格的增值税专用发票（包含税务机关代开），并未按实际提供应税货物情况，准确填写发票项目的，视为乙方违约，甲方有权拒付相应货款。 乙方其他违约责任： 双方协商。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参加政府采购活动的供应商应当具备政府采购法第二十二条第一款规定的条件，并提供下列材料： （一）法人或者其他组织的营业执照等证明文件，自然人的身份证明； （二）财务状况报告，依法缴纳税收和社会保障资金的相关材料； （三）具备履行合同所必需的设备和专业技术能力的承诺； （四）参加政府采购活动前 3 年内在经营活动中没有重大违法记录的书面声明； （五）具备法律、行政法规规定的其他条件的证明材料。</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依据招标文件规定，从招标文件的有效性、完 整性和对响应文件的响应程度进行审查。出现 下列情况之一者（但不限于），不得进入最终 评审环节：（1）供应商的投标报价超过采购预 算或最高限价的；（2）投标文件是否按招标文 件要求的数量、语言、计量单位、报价货币及 签字盖章；（3）无投标有效期或有效期达不到 招标文件要求的；（4）投标文件附加了采购人 难以接受的条件或条款的；（5）投标文件未实 质性响应招标文件要求的（核心产品必须提供需要提供相关证明材料（如产品的检测报告、出厂说明书、包含详细参数的合格证等），否则按不符合实质性要求处理）；（6）不符合法律、法规和招标文件中规定的其他实质性要求的。</w:t>
            </w:r>
          </w:p>
        </w:tc>
        <w:tc>
          <w:tcPr>
            <w:tcW w:type="dxa" w:w="1661"/>
          </w:tcPr>
          <w:p>
            <w:pPr>
              <w:pStyle w:val="null3"/>
            </w:pPr>
            <w:r>
              <w:rPr>
                <w:rFonts w:ascii="仿宋_GB2312" w:hAnsi="仿宋_GB2312" w:cs="仿宋_GB2312" w:eastAsia="仿宋_GB2312"/>
              </w:rPr>
              <w:t>响应文件封面 产品技术参数表 分项报价表 中小企业声明函 残疾人福利性单位声明函 商务应答表 技术文件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供货方案编制内容综合评定</w:t>
            </w:r>
          </w:p>
        </w:tc>
        <w:tc>
          <w:tcPr>
            <w:tcW w:type="dxa" w:w="2492"/>
          </w:tcPr>
          <w:p>
            <w:pPr>
              <w:pStyle w:val="null3"/>
            </w:pPr>
            <w:r>
              <w:rPr>
                <w:rFonts w:ascii="仿宋_GB2312" w:hAnsi="仿宋_GB2312" w:cs="仿宋_GB2312" w:eastAsia="仿宋_GB2312"/>
              </w:rPr>
              <w:t>根据采购要求和响应情况进行综合评定：内容包含针对本项目的工作思路、认识；产品的调试组织措施及方案；产品质量保证措施；供货计划，得12分。 方案内容完整且内容健全，针对项目实际情况有具体的分析阐述，有对本项目的充分理解及细化分析，可操作性强、能全面高效地完成本项目，技术方法先进，具有合理性，可行性，思路清晰，供货计划可行，产品的调试措施及方案可行、完善，质保措施完整有针对性，加8分； 方案完整，技术方法正确并能适用于本项目，工作思路及对本项目的认知、计划基本合理，质保及调试措施可行，加5分； 方案基本完整，有技术方法，有对本项目的认知、计划，有质保及调试措施可行，加2分； 方案内容缺失较多，工作思路、项目的认识、技术、质量保证措施方法有错误或对项目理解不正确，加0分。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验收方案</w:t>
            </w:r>
          </w:p>
        </w:tc>
        <w:tc>
          <w:tcPr>
            <w:tcW w:type="dxa" w:w="2492"/>
          </w:tcPr>
          <w:p>
            <w:pPr>
              <w:pStyle w:val="null3"/>
            </w:pPr>
            <w:r>
              <w:rPr>
                <w:rFonts w:ascii="仿宋_GB2312" w:hAnsi="仿宋_GB2312" w:cs="仿宋_GB2312" w:eastAsia="仿宋_GB2312"/>
              </w:rPr>
              <w:t>能提供对本项的验收方案，得4分； 验收方案完整，清晰，加2分； 验收方案能针对本项目，提供具体且可行且完善，加2分； 验收方案有利于采购人验收，简洁高效，加2分； 验收方案不正确或在本项目无法实施，加0分。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本项目后续服务方案及承诺</w:t>
            </w:r>
          </w:p>
        </w:tc>
        <w:tc>
          <w:tcPr>
            <w:tcW w:type="dxa" w:w="2492"/>
          </w:tcPr>
          <w:p>
            <w:pPr>
              <w:pStyle w:val="null3"/>
            </w:pPr>
            <w:r>
              <w:rPr>
                <w:rFonts w:ascii="仿宋_GB2312" w:hAnsi="仿宋_GB2312" w:cs="仿宋_GB2312" w:eastAsia="仿宋_GB2312"/>
              </w:rPr>
              <w:t>根据采购要求和响应情况，对供应商提供的后续服务及承诺进行综合评定：内容包含项目后续服务方案、服务配合计划及服务承诺，得4分。 服务实施方案完整，方案描述详细可行，后续服务方案完整，能针对本项目实际提供具体安排计划，有具体后续服务人员安排，服务承诺到位，可操作性强、能全面高效地完成本项目后续服务，加6分； 服务实施方案基本完整,后续服务方案基本可行，加4分； 服务实施方案完整性不足,后续服务方案保障措施不到位，加2分； 对本项目服务实施方案、后续服务及承诺与项目实际不符，提供的建议或承诺不正确，加0分。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提供本项目培训方案，得4分； 能承诺免费培训，并提供培训计划、培训大纲，且培训方案能针对本项目，措施具体，培训方式内容切实可行，加6分。 培训方案基本完整可行，有训计划、培训大纲，加4分； 有培训方案，且能基本完成本项目培训内容，加2分； 提供的培训方案不正确或不能满足项目要求，加0分。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业 绩</w:t>
            </w:r>
          </w:p>
        </w:tc>
        <w:tc>
          <w:tcPr>
            <w:tcW w:type="dxa" w:w="2492"/>
          </w:tcPr>
          <w:p>
            <w:pPr>
              <w:pStyle w:val="null3"/>
            </w:pPr>
            <w:r>
              <w:rPr>
                <w:rFonts w:ascii="仿宋_GB2312" w:hAnsi="仿宋_GB2312" w:cs="仿宋_GB2312" w:eastAsia="仿宋_GB2312"/>
              </w:rPr>
              <w:t>供应商自2020年1月至今提供类似的业绩，每提供1项得5分，最高不超过10分。（须提供合同复印件或中标通知书复印件）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w:t>
            </w:r>
          </w:p>
        </w:tc>
      </w:tr>
      <w:tr>
        <w:tc>
          <w:tcPr>
            <w:tcW w:type="dxa" w:w="831"/>
            <w:vMerge/>
          </w:tcP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所投产品设备技术参数，完全满足采购需求的（无偏离）得5分，每提供一项技术指标或设备参数正偏离的一项加1分，最高加5分。正偏离需要提供相关证明材料（如产品的检测报告、出厂说明书、包含详细参数的合格证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技术文件</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经初步审查合格的磋商文件，满足磋商文件要求且二次报价最低的供应商的价格为磋商基准价，其价格分为满分。其他供应商的价格分统一按照下列公式计算： 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详见附件：技术文件</w:t>
      </w:r>
    </w:p>
    <w:p>
      <w:pPr>
        <w:pStyle w:val="null3"/>
        <w:ind w:firstLine="960"/>
      </w:pPr>
      <w:r>
        <w:rPr>
          <w:rFonts w:ascii="仿宋_GB2312" w:hAnsi="仿宋_GB2312" w:cs="仿宋_GB2312" w:eastAsia="仿宋_GB2312"/>
        </w:rPr>
        <w:t>详见附件：分项报价表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