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版本号：SLCG-JZXCS〔2025〕15号20251014001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商洛广播电视转播台监测系统二期项目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SLCG-JZXCS〔2025〕15号</w:t>
      </w:r>
      <w:r>
        <w:br/>
      </w:r>
      <w:r>
        <w:br/>
      </w:r>
      <w:r>
        <w:br/>
      </w:r>
    </w:p>
    <w:p>
      <w:pPr>
        <w:pStyle w:val="null3"/>
        <w:jc w:val="center"/>
        <w:outlineLvl w:val="2"/>
      </w:pPr>
      <w:r>
        <w:rPr>
          <w:rFonts w:ascii="仿宋_GB2312" w:hAnsi="仿宋_GB2312" w:cs="仿宋_GB2312" w:eastAsia="仿宋_GB2312"/>
          <w:sz w:val="28"/>
          <w:b/>
        </w:rPr>
        <w:t>商洛广播电视台</w:t>
      </w:r>
    </w:p>
    <w:p>
      <w:pPr>
        <w:pStyle w:val="null3"/>
        <w:jc w:val="center"/>
        <w:outlineLvl w:val="2"/>
      </w:pPr>
      <w:r>
        <w:rPr>
          <w:rFonts w:ascii="仿宋_GB2312" w:hAnsi="仿宋_GB2312" w:cs="仿宋_GB2312" w:eastAsia="仿宋_GB2312"/>
          <w:sz w:val="28"/>
          <w:b/>
        </w:rPr>
        <w:t>商洛市政府采购中心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商洛市政府采购中心</w:t>
      </w:r>
      <w:r>
        <w:rPr>
          <w:rFonts w:ascii="仿宋_GB2312" w:hAnsi="仿宋_GB2312" w:cs="仿宋_GB2312" w:eastAsia="仿宋_GB2312"/>
        </w:rPr>
        <w:t>（以下简称“代理机构”）受</w:t>
      </w:r>
      <w:r>
        <w:rPr>
          <w:rFonts w:ascii="仿宋_GB2312" w:hAnsi="仿宋_GB2312" w:cs="仿宋_GB2312" w:eastAsia="仿宋_GB2312"/>
        </w:rPr>
        <w:t>商洛广播电视台</w:t>
      </w:r>
      <w:r>
        <w:rPr>
          <w:rFonts w:ascii="仿宋_GB2312" w:hAnsi="仿宋_GB2312" w:cs="仿宋_GB2312" w:eastAsia="仿宋_GB2312"/>
        </w:rPr>
        <w:t>委托，拟对</w:t>
      </w:r>
      <w:r>
        <w:rPr>
          <w:rFonts w:ascii="仿宋_GB2312" w:hAnsi="仿宋_GB2312" w:cs="仿宋_GB2312" w:eastAsia="仿宋_GB2312"/>
        </w:rPr>
        <w:t>商洛广播电视转播台监测系统二期项目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SLCG-JZXCS〔2025〕15号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商洛广播电视转播台监测系统二期项目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商洛广播电视转播台监测系统二期项目，是对现有广播电视监测监系统功能的进一步提升和完善，旨在通过增加大屏投射采集系统，更加直观全面监测多部发射机的发射功率、反射功率、驻波比等关键技术参数，同时还扩容性增加了动力环境指标监测、湿温度传感、烟雾传感以及水浸传感等功能。项目建成使用后，能有效提高广播电视播出系统智慧运维水平，从而使商洛广播电视转播台机房值机人员更加快速判断逻辑故障部位，消除安全播出隐患，更加高效保障广播电视安全播出。采购内容主要包括55寸液晶拼接单元、液晶拼接支架、图像拼接处理器、LED条屏、控制台、全刚机柜、配电柜、监测运维平台服务器、交换机、电力传感器、温湿度传感器、烟雾传感器、水浸传感器等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合法有效：供应商须在中华人民共和国境内注册，依法取得并有效存续的营业执照（或事业单位法人证书/民办非企业单位登记证书/非企业专业服务机构执业许可证等主体资格证书）。供应商须在项目电子化采购系统中提交主体资格证书（根据企业类型、性质选择其一）原件的扫描件，并完成电子签章。</w:t>
      </w:r>
    </w:p>
    <w:p>
      <w:pPr>
        <w:pStyle w:val="null3"/>
      </w:pPr>
      <w:r>
        <w:rPr>
          <w:rFonts w:ascii="仿宋_GB2312" w:hAnsi="仿宋_GB2312" w:cs="仿宋_GB2312" w:eastAsia="仿宋_GB2312"/>
        </w:rPr>
        <w:t>2、具有良好的财务状况：供应商须具有良好的财务状况，并须在项目电子化交易系统中提交具有良好财务状况的承诺函，且承诺财务状况良好，并完成电子签章。</w:t>
      </w:r>
    </w:p>
    <w:p>
      <w:pPr>
        <w:pStyle w:val="null3"/>
      </w:pPr>
      <w:r>
        <w:rPr>
          <w:rFonts w:ascii="仿宋_GB2312" w:hAnsi="仿宋_GB2312" w:cs="仿宋_GB2312" w:eastAsia="仿宋_GB2312"/>
        </w:rPr>
        <w:t>3、具有良好的税收缴纳记录：供应商须具有良好的税收缴纳记录，并须在项目电子化交易系统中提交具有良好税收缴纳记录的承诺函，且承诺税收缴纳记录良好，并完成电子签章。</w:t>
      </w:r>
    </w:p>
    <w:p>
      <w:pPr>
        <w:pStyle w:val="null3"/>
      </w:pPr>
      <w:r>
        <w:rPr>
          <w:rFonts w:ascii="仿宋_GB2312" w:hAnsi="仿宋_GB2312" w:cs="仿宋_GB2312" w:eastAsia="仿宋_GB2312"/>
        </w:rPr>
        <w:t>4、具有良好的社会保障资金缴纳记录：供应商须具有良好的社会保障资金缴纳记录，并须在项目电子化交易系统中提交具有良好的社会保障资金缴纳记录的承诺函，且承诺社会保障资金缴纳记录良好，并完成电子签章。</w:t>
      </w:r>
    </w:p>
    <w:p>
      <w:pPr>
        <w:pStyle w:val="null3"/>
      </w:pPr>
      <w:r>
        <w:rPr>
          <w:rFonts w:ascii="仿宋_GB2312" w:hAnsi="仿宋_GB2312" w:cs="仿宋_GB2312" w:eastAsia="仿宋_GB2312"/>
        </w:rPr>
        <w:t>5、近三年内在经营活动中无重大违法记录：供应商近三年内在经营活动中须无重大违法记录，并须在项目电子化交易系统中提交近三年内在经营活动中无重大违法记录声明函，且近三年内在经营活动中无重大违法记录，并完成电子签章。</w:t>
      </w:r>
    </w:p>
    <w:p>
      <w:pPr>
        <w:pStyle w:val="null3"/>
      </w:pPr>
      <w:r>
        <w:rPr>
          <w:rFonts w:ascii="仿宋_GB2312" w:hAnsi="仿宋_GB2312" w:cs="仿宋_GB2312" w:eastAsia="仿宋_GB2312"/>
        </w:rPr>
        <w:t>6、法定代表人授权书合法有效：供应商法定代表人直接参加磋商的须提供本人身份证、法定代表人身份证明书，法定代表人授权代表参加磋商的须提供法定代表人授权书、被授权人身份证，并须在项目电子化交易系统中提交法定代表人身份证、法定代表人身份证明书（或法定代表人授权书、被授权人身份证）原件的扫描件，并完成电子签章。</w:t>
      </w:r>
    </w:p>
    <w:p>
      <w:pPr>
        <w:pStyle w:val="null3"/>
      </w:pPr>
      <w:r>
        <w:rPr>
          <w:rFonts w:ascii="仿宋_GB2312" w:hAnsi="仿宋_GB2312" w:cs="仿宋_GB2312" w:eastAsia="仿宋_GB2312"/>
        </w:rPr>
        <w:t>7、单位负责人为同一人或者存在直接控股、管理关系的不同供应商，不得同时参加本项目同一合同项下政府采购活动：单位负责人为同一人或者存在直接控股、管理关系的不同供应商，不得同时参加本项目同一合同项下政府采购活动。供应商须在项目电子化交易系统中提交“单位负责人为同一人或者存在直接控股、管理关系的不同供应商，不得同时参加本项目同一合同项下的政府采购活动的承诺函”原件的扫描件，并完成电子签章。</w:t>
      </w:r>
    </w:p>
    <w:p>
      <w:pPr>
        <w:pStyle w:val="null3"/>
      </w:pPr>
      <w:r>
        <w:rPr>
          <w:rFonts w:ascii="仿宋_GB2312" w:hAnsi="仿宋_GB2312" w:cs="仿宋_GB2312" w:eastAsia="仿宋_GB2312"/>
        </w:rPr>
        <w:t>8、非联合体不分包响应声明：本项目不接受联合体响应，供应商须以一个独立的法人实体参加响应。供应商须在项目电子化交易系统中提交“非联合体不分包响应声明函”原件的扫描件，并完成电子签章。</w:t>
      </w:r>
    </w:p>
    <w:p>
      <w:pPr>
        <w:pStyle w:val="null3"/>
      </w:pPr>
      <w:r>
        <w:rPr>
          <w:rFonts w:ascii="仿宋_GB2312" w:hAnsi="仿宋_GB2312" w:cs="仿宋_GB2312" w:eastAsia="仿宋_GB2312"/>
        </w:rPr>
        <w:t>9、信用记录查询证明：供应商未被信用中国网站（http://www.creditchina.gov.cn）列入信用记录失信被执行人、重大税收违法案件当事人名单，未被中国政府采购网（http://www.ccgp.gov.cn）列为政府采购严重违法失信行为记录名单、未被禁止参加政府采购活动。供应商须在项目电子化交易系统中提交在信用中国网站、中国政府采购网的信用记录查询截图（标注查询日期），并完成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商洛广播电视台</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商洛市商州区名人街16号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0914-2386752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商洛市政府采购中心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陕西省商洛市商州区商州区工农路12号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王秀娟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0914-2318823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没有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没有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没有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商洛广播电视台</w:t>
      </w:r>
      <w:r>
        <w:rPr>
          <w:rFonts w:ascii="仿宋_GB2312" w:hAnsi="仿宋_GB2312" w:cs="仿宋_GB2312" w:eastAsia="仿宋_GB2312"/>
        </w:rPr>
        <w:t>和</w:t>
      </w:r>
      <w:r>
        <w:rPr>
          <w:rFonts w:ascii="仿宋_GB2312" w:hAnsi="仿宋_GB2312" w:cs="仿宋_GB2312" w:eastAsia="仿宋_GB2312"/>
        </w:rPr>
        <w:t>商洛市政府采购中心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商洛广播电视台</w:t>
      </w:r>
      <w:r>
        <w:rPr>
          <w:rFonts w:ascii="仿宋_GB2312" w:hAnsi="仿宋_GB2312" w:cs="仿宋_GB2312" w:eastAsia="仿宋_GB2312"/>
        </w:rPr>
        <w:t>负责解释。除上述磋商文件内容，其他内容由</w:t>
      </w:r>
      <w:r>
        <w:rPr>
          <w:rFonts w:ascii="仿宋_GB2312" w:hAnsi="仿宋_GB2312" w:cs="仿宋_GB2312" w:eastAsia="仿宋_GB2312"/>
        </w:rPr>
        <w:t>商洛市政府采购中心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商洛市政府采购中心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1、系统解决甲方目前在监测方面需要补充的功能，达到甲方使用需求预期效果。 2、设备各项功能指标，均须符合采购合同、招标文件/磋商文件、招标响应文件、甲方需求说明书、功能清单等要求。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商洛广播电视台</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商洛市政府采购中心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商洛市政府采购中心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联系人：马宁</w:t>
      </w:r>
    </w:p>
    <w:p>
      <w:pPr>
        <w:pStyle w:val="null3"/>
      </w:pPr>
      <w:r>
        <w:rPr>
          <w:rFonts w:ascii="仿宋_GB2312" w:hAnsi="仿宋_GB2312" w:cs="仿宋_GB2312" w:eastAsia="仿宋_GB2312"/>
        </w:rPr>
        <w:t>联系电话：0914-2386752</w:t>
      </w:r>
    </w:p>
    <w:p>
      <w:pPr>
        <w:pStyle w:val="null3"/>
      </w:pPr>
      <w:r>
        <w:rPr>
          <w:rFonts w:ascii="仿宋_GB2312" w:hAnsi="仿宋_GB2312" w:cs="仿宋_GB2312" w:eastAsia="仿宋_GB2312"/>
        </w:rPr>
        <w:t>地址：商洛市商州区名人街</w:t>
      </w:r>
    </w:p>
    <w:p>
      <w:pPr>
        <w:pStyle w:val="null3"/>
      </w:pPr>
      <w:r>
        <w:rPr>
          <w:rFonts w:ascii="仿宋_GB2312" w:hAnsi="仿宋_GB2312" w:cs="仿宋_GB2312" w:eastAsia="仿宋_GB2312"/>
        </w:rPr>
        <w:t>邮编：726000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联系人：王秀娟</w:t>
      </w:r>
    </w:p>
    <w:p>
      <w:pPr>
        <w:pStyle w:val="null3"/>
      </w:pPr>
      <w:r>
        <w:rPr>
          <w:rFonts w:ascii="仿宋_GB2312" w:hAnsi="仿宋_GB2312" w:cs="仿宋_GB2312" w:eastAsia="仿宋_GB2312"/>
        </w:rPr>
        <w:t>联系电话：0914-2318823</w:t>
      </w:r>
    </w:p>
    <w:p>
      <w:pPr>
        <w:pStyle w:val="null3"/>
      </w:pPr>
      <w:r>
        <w:rPr>
          <w:rFonts w:ascii="仿宋_GB2312" w:hAnsi="仿宋_GB2312" w:cs="仿宋_GB2312" w:eastAsia="仿宋_GB2312"/>
        </w:rPr>
        <w:t>地址：商洛市商州区工农路12号</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商洛广播电视转播台监测系统二期项目，是对现有广播电视监测监系统功能的进一步提升和完善，旨在通过增加大屏投射采集系统，更加直观全面监测多部发射机的发射功率、反射功率、驻波比等关键技术参数，同时还扩容性增加了动力环境指标监测、湿温度传感、烟雾传感以及水浸传感等功能。项目建成使用后，能有效提高广播电视播出系统智慧运维水平，从而使商洛广播电视转播台机房值机人员更加快速判断逻辑故障部位，消除安全播出隐患，更加高效保障广播电视安全播出。采购内容主要包括55寸液晶拼接单元、液晶拼接支架、图像拼接处理器、LED条屏、控制台、全刚机柜、配电柜、监测运维平台服务器、交换机、电力传感器、温湿度传感器、烟雾传感器、水浸传感器等设备。项目预算428,000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428,000.00</w:t>
      </w:r>
    </w:p>
    <w:p>
      <w:pPr>
        <w:pStyle w:val="null3"/>
      </w:pPr>
      <w:r>
        <w:rPr>
          <w:rFonts w:ascii="仿宋_GB2312" w:hAnsi="仿宋_GB2312" w:cs="仿宋_GB2312" w:eastAsia="仿宋_GB2312"/>
        </w:rPr>
        <w:t>采购包最高限价（元）: 428,000.00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商洛广播电视转播台监测系统二期项目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428,000.00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标的名称：商洛广播电视转播台监测系统二期项目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55寸液晶拼接单元：18台</w:t>
            </w:r>
          </w:p>
          <w:p>
            <w:pPr>
              <w:pStyle w:val="null3"/>
            </w:pPr>
            <w:r>
              <w:rPr>
                <w:rFonts w:ascii="仿宋_GB2312" w:hAnsi="仿宋_GB2312" w:cs="仿宋_GB2312" w:eastAsia="仿宋_GB2312"/>
                <w:sz w:val="21"/>
              </w:rPr>
              <w:t>1、采用LED背光；拼接缝0.88mm；2、亮度500cd/㎡；3、屏幕比例：16:9；分辨率：1920X1080；4、响应速度：8ms；对比度：4000:1 寿命：60000小时；5、可视角度：178/178°；支持24小时播放。</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液晶拼接支架：18套</w:t>
            </w:r>
          </w:p>
          <w:p>
            <w:pPr>
              <w:pStyle w:val="null3"/>
            </w:pPr>
            <w:r>
              <w:rPr>
                <w:rFonts w:ascii="仿宋_GB2312" w:hAnsi="仿宋_GB2312" w:cs="仿宋_GB2312" w:eastAsia="仿宋_GB2312"/>
              </w:rPr>
              <w:t>1、标准工艺 落地箱体式 底座高度可根据客户现场情况定制；</w:t>
            </w:r>
            <w:r>
              <w:br/>
            </w:r>
            <w:r>
              <w:rPr>
                <w:rFonts w:ascii="仿宋_GB2312" w:hAnsi="仿宋_GB2312" w:cs="仿宋_GB2312" w:eastAsia="仿宋_GB2312"/>
              </w:rPr>
              <w:t xml:space="preserve"> 2、总尺寸要求：高≥2.8米，长≥7.2米，深≥0.6米</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图像拼接处理器： 1台</w:t>
            </w:r>
          </w:p>
          <w:p>
            <w:pPr>
              <w:pStyle w:val="null3"/>
            </w:pPr>
            <w:r>
              <w:rPr>
                <w:rFonts w:ascii="仿宋_GB2312" w:hAnsi="仿宋_GB2312" w:cs="仿宋_GB2312" w:eastAsia="仿宋_GB2312"/>
              </w:rPr>
              <w:t>1、8路HMDI输入，18路HDMI信号输出图像拼接处理器,纯硬件FPGA架构，无Windows操作系统，不死机，无黑屏、花屏现象平均故障间隔时间(MTBF)：30000小时；</w:t>
            </w:r>
            <w:r>
              <w:br/>
            </w:r>
            <w:r>
              <w:rPr>
                <w:rFonts w:ascii="仿宋_GB2312" w:hAnsi="仿宋_GB2312" w:cs="仿宋_GB2312" w:eastAsia="仿宋_GB2312"/>
              </w:rPr>
              <w:t xml:space="preserve"> 2、多屏拼接控制器有实时多视频同时播放显示功能，随意开窗口漫游、放大、缩小带1路网络接口，可远程IP控制处理器；</w:t>
            </w:r>
            <w:r>
              <w:br/>
            </w:r>
            <w:r>
              <w:rPr>
                <w:rFonts w:ascii="仿宋_GB2312" w:hAnsi="仿宋_GB2312" w:cs="仿宋_GB2312" w:eastAsia="仿宋_GB2312"/>
              </w:rPr>
              <w:t xml:space="preserve"> 3、产品提供:3C认证。</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 xml:space="preserve">LED条屏：1套  </w:t>
            </w:r>
          </w:p>
          <w:p>
            <w:pPr>
              <w:pStyle w:val="null3"/>
            </w:pPr>
            <w:r>
              <w:rPr>
                <w:rFonts w:ascii="仿宋_GB2312" w:hAnsi="仿宋_GB2312" w:cs="仿宋_GB2312" w:eastAsia="仿宋_GB2312"/>
              </w:rPr>
              <w:t>1、三色LED屏,P3.75；</w:t>
            </w:r>
            <w:r>
              <w:br/>
            </w:r>
            <w:r>
              <w:rPr>
                <w:rFonts w:ascii="仿宋_GB2312" w:hAnsi="仿宋_GB2312" w:cs="仿宋_GB2312" w:eastAsia="仿宋_GB2312"/>
              </w:rPr>
              <w:t xml:space="preserve"> 2、尺寸要求：长≥7.2米，宽≥0.3米</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控制台：6联</w:t>
            </w:r>
          </w:p>
          <w:p>
            <w:pPr>
              <w:pStyle w:val="null3"/>
            </w:pPr>
            <w:r>
              <w:rPr>
                <w:rFonts w:ascii="仿宋_GB2312" w:hAnsi="仿宋_GB2312" w:cs="仿宋_GB2312" w:eastAsia="仿宋_GB2312"/>
              </w:rPr>
              <w:t>1、下箱主结构 ST13钢板制作 1.5mm 静电喷粉</w:t>
            </w:r>
            <w:r>
              <w:br/>
            </w:r>
            <w:r>
              <w:rPr>
                <w:rFonts w:ascii="仿宋_GB2312" w:hAnsi="仿宋_GB2312" w:cs="仿宋_GB2312" w:eastAsia="仿宋_GB2312"/>
              </w:rPr>
              <w:t xml:space="preserve"> 2、下箱前门板 ST13钢板制作 1.2mm 静电喷粉</w:t>
            </w:r>
            <w:r>
              <w:br/>
            </w:r>
            <w:r>
              <w:rPr>
                <w:rFonts w:ascii="仿宋_GB2312" w:hAnsi="仿宋_GB2312" w:cs="仿宋_GB2312" w:eastAsia="仿宋_GB2312"/>
              </w:rPr>
              <w:t xml:space="preserve"> 3、桌面板 中密度木工板 25mm 威盛亚防火板</w:t>
            </w:r>
            <w:r>
              <w:br/>
            </w:r>
            <w:r>
              <w:rPr>
                <w:rFonts w:ascii="仿宋_GB2312" w:hAnsi="仿宋_GB2312" w:cs="仿宋_GB2312" w:eastAsia="仿宋_GB2312"/>
              </w:rPr>
              <w:t xml:space="preserve"> 4、两侧工艺造型板 中密度木工板 25mm 威盛亚防火板19″安装件 ST13钢板制作 1.5mm 静电喷粉以及镀锌</w:t>
            </w:r>
            <w:r>
              <w:br/>
            </w:r>
            <w:r>
              <w:rPr>
                <w:rFonts w:ascii="仿宋_GB2312" w:hAnsi="仿宋_GB2312" w:cs="仿宋_GB2312" w:eastAsia="仿宋_GB2312"/>
              </w:rPr>
              <w:t xml:space="preserve"> （注：桌面可镶嵌设备面板）</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全刚机柜：1台</w:t>
            </w:r>
          </w:p>
          <w:p>
            <w:pPr>
              <w:pStyle w:val="null3"/>
            </w:pPr>
            <w:r>
              <w:rPr>
                <w:rFonts w:ascii="仿宋_GB2312" w:hAnsi="仿宋_GB2312" w:cs="仿宋_GB2312" w:eastAsia="仿宋_GB2312"/>
              </w:rPr>
              <w:t>1、内结构框架 ST13钢板制作 1.5-2.0mm 静电喷粉</w:t>
            </w:r>
            <w:r>
              <w:br/>
            </w:r>
            <w:r>
              <w:rPr>
                <w:rFonts w:ascii="仿宋_GB2312" w:hAnsi="仿宋_GB2312" w:cs="仿宋_GB2312" w:eastAsia="仿宋_GB2312"/>
              </w:rPr>
              <w:t xml:space="preserve"> 2、侧板 ST13钢板制作 1.2mm 静电喷粉                                             </w:t>
            </w:r>
            <w:r>
              <w:br/>
            </w:r>
            <w:r>
              <w:rPr>
                <w:rFonts w:ascii="仿宋_GB2312" w:hAnsi="仿宋_GB2312" w:cs="仿宋_GB2312" w:eastAsia="仿宋_GB2312"/>
              </w:rPr>
              <w:t xml:space="preserve"> 3、 尺寸要求：高≥2米，宽≥0.6米，深≥0.8米</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配电柜：1套</w:t>
            </w:r>
          </w:p>
          <w:p>
            <w:pPr>
              <w:pStyle w:val="null3"/>
            </w:pPr>
            <w:r>
              <w:rPr>
                <w:rFonts w:ascii="仿宋_GB2312" w:hAnsi="仿宋_GB2312" w:cs="仿宋_GB2312" w:eastAsia="仿宋_GB2312"/>
              </w:rPr>
              <w:t>1、额定功率：10KW</w:t>
            </w:r>
            <w:r>
              <w:br/>
            </w:r>
            <w:r>
              <w:rPr>
                <w:rFonts w:ascii="仿宋_GB2312" w:hAnsi="仿宋_GB2312" w:cs="仿宋_GB2312" w:eastAsia="仿宋_GB2312"/>
              </w:rPr>
              <w:t xml:space="preserve"> 2、输入电压：三相五线制AC380V±10％，频率50Hz±5％                                                              </w:t>
            </w:r>
          </w:p>
          <w:p>
            <w:pPr>
              <w:pStyle w:val="null3"/>
            </w:pPr>
            <w:r>
              <w:rPr>
                <w:rFonts w:ascii="仿宋_GB2312" w:hAnsi="仿宋_GB2312" w:cs="仿宋_GB2312" w:eastAsia="仿宋_GB2312"/>
              </w:rPr>
              <w:t xml:space="preserve">3、箱体：300*400*150MM                                                                                        </w:t>
            </w:r>
          </w:p>
          <w:p>
            <w:pPr>
              <w:pStyle w:val="null3"/>
            </w:pPr>
            <w:r>
              <w:rPr>
                <w:rFonts w:ascii="仿宋_GB2312" w:hAnsi="仿宋_GB2312" w:cs="仿宋_GB2312" w:eastAsia="仿宋_GB2312"/>
              </w:rPr>
              <w:t xml:space="preserve"> 4、为保证产品的稳定性，须提供产品3C认证及检测报告。</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发射台监测运维平台：1套</w:t>
            </w:r>
          </w:p>
          <w:p>
            <w:pPr>
              <w:pStyle w:val="null3"/>
            </w:pPr>
            <w:r>
              <w:rPr>
                <w:rFonts w:ascii="仿宋_GB2312" w:hAnsi="仿宋_GB2312" w:cs="仿宋_GB2312" w:eastAsia="仿宋_GB2312"/>
              </w:rPr>
              <w:t>1、平台需支持实现对台站发射机指标监测、动力环境集中显示、台站基础信息管理等业务功能。</w:t>
            </w:r>
            <w:r>
              <w:br/>
            </w:r>
            <w:r>
              <w:rPr>
                <w:rFonts w:ascii="仿宋_GB2312" w:hAnsi="仿宋_GB2312" w:cs="仿宋_GB2312" w:eastAsia="仿宋_GB2312"/>
              </w:rPr>
              <w:t xml:space="preserve"> 2、平台需支持在统一界面对用户关注的各类监控要素如发射机监控、动力环境监控、实时告警信息等进行集中展示。</w:t>
            </w:r>
            <w:r>
              <w:br/>
            </w:r>
            <w:r>
              <w:rPr>
                <w:rFonts w:ascii="仿宋_GB2312" w:hAnsi="仿宋_GB2312" w:cs="仿宋_GB2312" w:eastAsia="仿宋_GB2312"/>
              </w:rPr>
              <w:t xml:space="preserve"> 3、需求支持业务监测、报警呈现、告警处理、结果收录于一体，构建一站式监控运维平台。</w:t>
            </w:r>
            <w:r>
              <w:br/>
            </w:r>
            <w:r>
              <w:rPr>
                <w:rFonts w:ascii="仿宋_GB2312" w:hAnsi="仿宋_GB2312" w:cs="仿宋_GB2312" w:eastAsia="仿宋_GB2312"/>
              </w:rPr>
              <w:t xml:space="preserve"> 4、要求支持发射机状态指标监控，通过可视化方式直观呈现。</w:t>
            </w:r>
            <w:r>
              <w:br/>
            </w:r>
            <w:r>
              <w:rPr>
                <w:rFonts w:ascii="仿宋_GB2312" w:hAnsi="仿宋_GB2312" w:cs="仿宋_GB2312" w:eastAsia="仿宋_GB2312"/>
              </w:rPr>
              <w:t xml:space="preserve"> 5、要求支持发射机的工作视图展示，按照发射流程各项指标节点数据和状态，全面掌握发射机运行情况。</w:t>
            </w:r>
            <w:r>
              <w:br/>
            </w:r>
            <w:r>
              <w:rPr>
                <w:rFonts w:ascii="仿宋_GB2312" w:hAnsi="仿宋_GB2312" w:cs="仿宋_GB2312" w:eastAsia="仿宋_GB2312"/>
              </w:rPr>
              <w:t xml:space="preserve"> 6、要求支持发射机控制功能，包含发射机远程开关机、发射机功率升降等。</w:t>
            </w:r>
            <w:r>
              <w:br/>
            </w:r>
            <w:r>
              <w:rPr>
                <w:rFonts w:ascii="仿宋_GB2312" w:hAnsi="仿宋_GB2312" w:cs="仿宋_GB2312" w:eastAsia="仿宋_GB2312"/>
              </w:rPr>
              <w:t xml:space="preserve"> 7、要求支持异态指标信息的声、光告警，及时提示值班人员故障处理。</w:t>
            </w:r>
            <w:r>
              <w:br/>
            </w:r>
            <w:r>
              <w:rPr>
                <w:rFonts w:ascii="仿宋_GB2312" w:hAnsi="仿宋_GB2312" w:cs="仿宋_GB2312" w:eastAsia="仿宋_GB2312"/>
              </w:rPr>
              <w:t xml:space="preserve"> 8、要求支持配电柜、UPS等动力设备指标监测，以图形化的方式展示指标数据信息，支持对异态指标数据以声、光等方式进行醒目提示。</w:t>
            </w:r>
            <w:r>
              <w:br/>
            </w:r>
            <w:r>
              <w:rPr>
                <w:rFonts w:ascii="仿宋_GB2312" w:hAnsi="仿宋_GB2312" w:cs="仿宋_GB2312" w:eastAsia="仿宋_GB2312"/>
              </w:rPr>
              <w:t xml:space="preserve"> 9、要求支持温湿度、烟感、水浸等周界环境状态监测，以图形化的方式展示动力环境指标数据，支需持对异态指标数据以声、光等方式进行醒目提示。</w:t>
            </w:r>
            <w:r>
              <w:br/>
            </w:r>
            <w:r>
              <w:rPr>
                <w:rFonts w:ascii="仿宋_GB2312" w:hAnsi="仿宋_GB2312" w:cs="仿宋_GB2312" w:eastAsia="仿宋_GB2312"/>
              </w:rPr>
              <w:t xml:space="preserve"> 10、要求支持台站信号监听监看功能，能够对监测信号指标数据进行查询。</w:t>
            </w:r>
            <w:r>
              <w:br/>
            </w:r>
            <w:r>
              <w:rPr>
                <w:rFonts w:ascii="仿宋_GB2312" w:hAnsi="仿宋_GB2312" w:cs="仿宋_GB2312" w:eastAsia="仿宋_GB2312"/>
              </w:rPr>
              <w:t xml:space="preserve"> 11、要求支持信号视音频指标信息的展示功能，可采用图形化方式展示信号电平、信噪比、调制度、调幅度等指标信息。</w:t>
            </w:r>
            <w:r>
              <w:br/>
            </w:r>
            <w:r>
              <w:rPr>
                <w:rFonts w:ascii="仿宋_GB2312" w:hAnsi="仿宋_GB2312" w:cs="仿宋_GB2312" w:eastAsia="仿宋_GB2312"/>
              </w:rPr>
              <w:t xml:space="preserve"> 12、要求支持在统一界面对用户关注的各类监控要素如发射机监控、动力环境监控、实时告警信息等进行集中展示。</w:t>
            </w:r>
            <w:r>
              <w:br/>
            </w:r>
            <w:r>
              <w:rPr>
                <w:rFonts w:ascii="仿宋_GB2312" w:hAnsi="仿宋_GB2312" w:cs="仿宋_GB2312" w:eastAsia="仿宋_GB2312"/>
              </w:rPr>
              <w:t xml:space="preserve"> 13、要求集业务监测、报警呈现、告警处理、结果收录于一体，构建一站式监控运维平台。</w:t>
            </w:r>
            <w:r>
              <w:br/>
            </w:r>
            <w:r>
              <w:rPr>
                <w:rFonts w:ascii="仿宋_GB2312" w:hAnsi="仿宋_GB2312" w:cs="仿宋_GB2312" w:eastAsia="仿宋_GB2312"/>
              </w:rPr>
              <w:t xml:space="preserve"> 14、要求支持监控模块组合显示，能够按照实际业务需求迅速生成监测模版，为实现全台业务集中监测、统一运维提供手段和支撑。</w:t>
            </w:r>
            <w:r>
              <w:br/>
            </w:r>
            <w:r>
              <w:rPr>
                <w:rFonts w:ascii="仿宋_GB2312" w:hAnsi="仿宋_GB2312" w:cs="仿宋_GB2312" w:eastAsia="仿宋_GB2312"/>
              </w:rPr>
              <w:t xml:space="preserve"> 15、含平台服务器一台（要求用于部署发射台综合运维系统软件，硬件配置：处理器≥八核心八线程，≥2.4GHz主频，≥16G内存，≥1TB硬盘）。</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多接口采集监测终端：7台</w:t>
            </w:r>
          </w:p>
          <w:p>
            <w:pPr>
              <w:pStyle w:val="null3"/>
            </w:pPr>
            <w:r>
              <w:rPr>
                <w:rFonts w:ascii="仿宋_GB2312" w:hAnsi="仿宋_GB2312" w:cs="仿宋_GB2312" w:eastAsia="仿宋_GB2312"/>
              </w:rPr>
              <w:t>1、用于完成发射机的状态参数采集和指标的展示。</w:t>
            </w:r>
            <w:r>
              <w:br/>
            </w:r>
            <w:r>
              <w:rPr>
                <w:rFonts w:ascii="仿宋_GB2312" w:hAnsi="仿宋_GB2312" w:cs="仿宋_GB2312" w:eastAsia="仿宋_GB2312"/>
              </w:rPr>
              <w:t xml:space="preserve"> 2、可脱离计算机独立工作，对发射机的正常工作不产生任何影响。</w:t>
            </w:r>
            <w:r>
              <w:br/>
            </w:r>
            <w:r>
              <w:rPr>
                <w:rFonts w:ascii="仿宋_GB2312" w:hAnsi="仿宋_GB2312" w:cs="仿宋_GB2312" w:eastAsia="仿宋_GB2312"/>
              </w:rPr>
              <w:t xml:space="preserve"> 3、具备不少于2路10M/l00M/1000M自适应网络接口，用于采集或控制通讯可配置。RJ45接口，支持TCP、UDP、HTTP、SNMP等常用通讯接口协议。</w:t>
            </w:r>
            <w:r>
              <w:br/>
            </w:r>
            <w:r>
              <w:rPr>
                <w:rFonts w:ascii="仿宋_GB2312" w:hAnsi="仿宋_GB2312" w:cs="仿宋_GB2312" w:eastAsia="仿宋_GB2312"/>
              </w:rPr>
              <w:t xml:space="preserve"> 4、具备不少于4路RS232/RS422/RS485串口，工作模式可配置。</w:t>
            </w:r>
            <w:r>
              <w:br/>
            </w:r>
            <w:r>
              <w:rPr>
                <w:rFonts w:ascii="仿宋_GB2312" w:hAnsi="仿宋_GB2312" w:cs="仿宋_GB2312" w:eastAsia="仿宋_GB2312"/>
              </w:rPr>
              <w:t xml:space="preserve"> 5、支持不少于12路模拟量采集，不少于8路数字量采集，不少于4组开关量采集。</w:t>
            </w:r>
            <w:r>
              <w:br/>
            </w:r>
            <w:r>
              <w:rPr>
                <w:rFonts w:ascii="仿宋_GB2312" w:hAnsi="仿宋_GB2312" w:cs="仿宋_GB2312" w:eastAsia="仿宋_GB2312"/>
              </w:rPr>
              <w:t xml:space="preserve"> 6、设备内置web控制页面，可直接通过web页面配置工作参数、查看信号的测量指标。</w:t>
            </w:r>
            <w:r>
              <w:br/>
            </w:r>
            <w:r>
              <w:rPr>
                <w:rFonts w:ascii="仿宋_GB2312" w:hAnsi="仿宋_GB2312" w:cs="仿宋_GB2312" w:eastAsia="仿宋_GB2312"/>
              </w:rPr>
              <w:t xml:space="preserve"> 7、支持通过RS232/485/422串口或网络RJ45接口采集数字/模拟广播电视发射机及激励器的工作指标。</w:t>
            </w:r>
            <w:r>
              <w:br/>
            </w:r>
            <w:r>
              <w:rPr>
                <w:rFonts w:ascii="仿宋_GB2312" w:hAnsi="仿宋_GB2312" w:cs="仿宋_GB2312" w:eastAsia="仿宋_GB2312"/>
              </w:rPr>
              <w:t xml:space="preserve"> 8、支持任意发射设备厂家协议的接入；支持发射机及其他设备指标报警门限、开关和报警级别设置。</w:t>
            </w:r>
            <w:r>
              <w:br/>
            </w:r>
            <w:r>
              <w:rPr>
                <w:rFonts w:ascii="仿宋_GB2312" w:hAnsi="仿宋_GB2312" w:cs="仿宋_GB2312" w:eastAsia="仿宋_GB2312"/>
              </w:rPr>
              <w:t xml:space="preserve"> 9、支持设备自身状态监测，支持采集控制器中的采集单元或监测设备出现故障时，主动上报异态信息。</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交换机：1台</w:t>
            </w:r>
          </w:p>
          <w:p>
            <w:pPr>
              <w:pStyle w:val="null3"/>
            </w:pPr>
            <w:r>
              <w:rPr>
                <w:rFonts w:ascii="仿宋_GB2312" w:hAnsi="仿宋_GB2312" w:cs="仿宋_GB2312" w:eastAsia="仿宋_GB2312"/>
              </w:rPr>
              <w:t>1、 用于设备间通讯和数据交换。</w:t>
            </w:r>
            <w:r>
              <w:br/>
            </w:r>
            <w:r>
              <w:rPr>
                <w:rFonts w:ascii="仿宋_GB2312" w:hAnsi="仿宋_GB2312" w:cs="仿宋_GB2312" w:eastAsia="仿宋_GB2312"/>
              </w:rPr>
              <w:t xml:space="preserve"> 2、 支持POE供电。                                                              </w:t>
            </w:r>
            <w:r>
              <w:br/>
            </w:r>
            <w:r>
              <w:rPr>
                <w:rFonts w:ascii="仿宋_GB2312" w:hAnsi="仿宋_GB2312" w:cs="仿宋_GB2312" w:eastAsia="仿宋_GB2312"/>
              </w:rPr>
              <w:t xml:space="preserve"> 3、 端口数量≥24千兆电口+4千兆光口</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电力传感器：2台</w:t>
            </w:r>
          </w:p>
          <w:p>
            <w:pPr>
              <w:pStyle w:val="null3"/>
            </w:pPr>
            <w:r>
              <w:rPr>
                <w:rFonts w:ascii="仿宋_GB2312" w:hAnsi="仿宋_GB2312" w:cs="仿宋_GB2312" w:eastAsia="仿宋_GB2312"/>
              </w:rPr>
              <w:t>1、用于物理性采集电力设备电压、电流、等有关电力指标信息。</w:t>
            </w:r>
            <w:r>
              <w:br/>
            </w:r>
            <w:r>
              <w:rPr>
                <w:rFonts w:ascii="仿宋_GB2312" w:hAnsi="仿宋_GB2312" w:cs="仿宋_GB2312" w:eastAsia="仿宋_GB2312"/>
              </w:rPr>
              <w:t xml:space="preserve"> 2、每台对应3个互感器，互感器主要用于采集电流。</w:t>
            </w:r>
            <w:r>
              <w:br/>
            </w:r>
            <w:r>
              <w:rPr>
                <w:rFonts w:ascii="仿宋_GB2312" w:hAnsi="仿宋_GB2312" w:cs="仿宋_GB2312" w:eastAsia="仿宋_GB2312"/>
              </w:rPr>
              <w:t xml:space="preserve"> 3、支持网口方式上报数据。</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温湿度传感器：2台</w:t>
            </w:r>
          </w:p>
          <w:p>
            <w:pPr>
              <w:pStyle w:val="null3"/>
            </w:pPr>
            <w:r>
              <w:rPr>
                <w:rFonts w:ascii="仿宋_GB2312" w:hAnsi="仿宋_GB2312" w:cs="仿宋_GB2312" w:eastAsia="仿宋_GB2312"/>
              </w:rPr>
              <w:t>1、用于测量各个机房温度和湿度，并上报到采集设备，便于统一管理。</w:t>
            </w:r>
            <w:r>
              <w:br/>
            </w:r>
            <w:r>
              <w:rPr>
                <w:rFonts w:ascii="仿宋_GB2312" w:hAnsi="仿宋_GB2312" w:cs="仿宋_GB2312" w:eastAsia="仿宋_GB2312"/>
              </w:rPr>
              <w:t xml:space="preserve"> 2、供电：DC 10 - 30V</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烟雾传感器：2台</w:t>
            </w:r>
          </w:p>
          <w:p>
            <w:pPr>
              <w:pStyle w:val="null3"/>
            </w:pPr>
            <w:r>
              <w:rPr>
                <w:rFonts w:ascii="仿宋_GB2312" w:hAnsi="仿宋_GB2312" w:cs="仿宋_GB2312" w:eastAsia="仿宋_GB2312"/>
              </w:rPr>
              <w:t>1、用于测量各个机房烟雾监测，并上报到采集设备，便于统一管理。</w:t>
            </w:r>
            <w:r>
              <w:br/>
            </w:r>
            <w:r>
              <w:rPr>
                <w:rFonts w:ascii="仿宋_GB2312" w:hAnsi="仿宋_GB2312" w:cs="仿宋_GB2312" w:eastAsia="仿宋_GB2312"/>
              </w:rPr>
              <w:t xml:space="preserve"> 2、直流供电（默认）：DC10-30V</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水浸传感器：2台</w:t>
            </w:r>
          </w:p>
          <w:p>
            <w:pPr>
              <w:pStyle w:val="null3"/>
            </w:pPr>
            <w:r>
              <w:rPr>
                <w:rFonts w:ascii="仿宋_GB2312" w:hAnsi="仿宋_GB2312" w:cs="仿宋_GB2312" w:eastAsia="仿宋_GB2312"/>
              </w:rPr>
              <w:t>1、用于测量各个机房水浸监测，并上报到采集设备，便于统一管理。</w:t>
            </w:r>
            <w:r>
              <w:br/>
            </w:r>
            <w:r>
              <w:rPr>
                <w:rFonts w:ascii="仿宋_GB2312" w:hAnsi="仿宋_GB2312" w:cs="仿宋_GB2312" w:eastAsia="仿宋_GB2312"/>
              </w:rPr>
              <w:t xml:space="preserve"> 2、供电：DC10-30V</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合同签订后一个月内实施完成</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商洛市商州区松道山广播电视发射台</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安装、调试完成，试运行一个月，验收合格后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验收合格之日起1年后，结清质保金</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国家或者行业相应的标准、规定进行验收。通过检验的设备及软件方可进行安装、调试，达到使用条件时，由乙方出具验收申请，经甲方同意，由甲方根据需要组织乙方和甲方及有关技术专家组成验收小组对项目进行完工验收；验收合格的，交接项目实施的全部资料，并填写政府采购项目验收报告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免费维护保修二年。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按合同约定条款处理。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1.投标人在参加投标时无需提交纸质投标文件。 2.在采购结果公告后，由中标人补交一套（正本1份，副本2份）纸质投标文件用于备案。 3.纸质投标文件应从政府采购投标文件制作工具中导出后进行编辑、制作，并与电子投标文件一致。 4.纸质投标文件须按招标文件规定的投标文件制作要求进行制作、打印、胶装成册。 5.线下递交响应文件地点:商洛市商州区工农路12号，商洛财政办公楼613室。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符合《政府采购法》第二十二条规定的承诺函.docx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主体资格合法有效</w:t>
            </w:r>
          </w:p>
        </w:tc>
        <w:tc>
          <w:tcPr>
            <w:tcW w:type="dxa" w:w="3322"/>
          </w:tcPr>
          <w:p>
            <w:pPr>
              <w:pStyle w:val="null3"/>
            </w:pPr>
            <w:r>
              <w:rPr>
                <w:rFonts w:ascii="仿宋_GB2312" w:hAnsi="仿宋_GB2312" w:cs="仿宋_GB2312" w:eastAsia="仿宋_GB2312"/>
              </w:rPr>
              <w:t>供应商须在中华人民共和国境内注册，依法取得并有效存续的营业执照（或事业单位法人证书/民办非企业单位登记证书/非企业专业服务机构执业许可证等主体资格证书）。供应商须在项目电子化采购系统中提交主体资格证书（根据企业类型、性质选择其一）原件的扫描件，并完成电子签章。</w:t>
            </w:r>
          </w:p>
        </w:tc>
        <w:tc>
          <w:tcPr>
            <w:tcW w:type="dxa" w:w="1661"/>
          </w:tcPr>
          <w:p>
            <w:pPr>
              <w:pStyle w:val="null3"/>
            </w:pPr>
            <w:r>
              <w:rPr>
                <w:rFonts w:ascii="仿宋_GB2312" w:hAnsi="仿宋_GB2312" w:cs="仿宋_GB2312" w:eastAsia="仿宋_GB2312"/>
              </w:rPr>
              <w:t>主体资格证明文件.docx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具有良好的财务状况</w:t>
            </w:r>
          </w:p>
        </w:tc>
        <w:tc>
          <w:tcPr>
            <w:tcW w:type="dxa" w:w="3322"/>
          </w:tcPr>
          <w:p>
            <w:pPr>
              <w:pStyle w:val="null3"/>
            </w:pPr>
            <w:r>
              <w:rPr>
                <w:rFonts w:ascii="仿宋_GB2312" w:hAnsi="仿宋_GB2312" w:cs="仿宋_GB2312" w:eastAsia="仿宋_GB2312"/>
              </w:rPr>
              <w:t>供应商须具有良好的财务状况，并须在项目电子化交易系统中提交具有良好财务状况的承诺函，且承诺财务状况良好，并完成电子签章。</w:t>
            </w:r>
          </w:p>
        </w:tc>
        <w:tc>
          <w:tcPr>
            <w:tcW w:type="dxa" w:w="1661"/>
          </w:tcPr>
          <w:p>
            <w:pPr>
              <w:pStyle w:val="null3"/>
            </w:pPr>
            <w:r>
              <w:rPr>
                <w:rFonts w:ascii="仿宋_GB2312" w:hAnsi="仿宋_GB2312" w:cs="仿宋_GB2312" w:eastAsia="仿宋_GB2312"/>
              </w:rPr>
              <w:t>具有财务状况良好承诺函.docx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具有良好的税收缴纳记录</w:t>
            </w:r>
          </w:p>
        </w:tc>
        <w:tc>
          <w:tcPr>
            <w:tcW w:type="dxa" w:w="3322"/>
          </w:tcPr>
          <w:p>
            <w:pPr>
              <w:pStyle w:val="null3"/>
            </w:pPr>
            <w:r>
              <w:rPr>
                <w:rFonts w:ascii="仿宋_GB2312" w:hAnsi="仿宋_GB2312" w:cs="仿宋_GB2312" w:eastAsia="仿宋_GB2312"/>
              </w:rPr>
              <w:t>供应商须具有良好的税收缴纳记录，并须在项目电子化交易系统中提交具有良好税收缴纳记录的承诺函，且承诺税收缴纳记录良好，并完成电子签章。</w:t>
            </w:r>
          </w:p>
        </w:tc>
        <w:tc>
          <w:tcPr>
            <w:tcW w:type="dxa" w:w="1661"/>
          </w:tcPr>
          <w:p>
            <w:pPr>
              <w:pStyle w:val="null3"/>
            </w:pPr>
            <w:r>
              <w:rPr>
                <w:rFonts w:ascii="仿宋_GB2312" w:hAnsi="仿宋_GB2312" w:cs="仿宋_GB2312" w:eastAsia="仿宋_GB2312"/>
              </w:rPr>
              <w:t>具有良好的税收缴纳记录.docx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具有良好的社会保障资金缴纳记录</w:t>
            </w:r>
          </w:p>
        </w:tc>
        <w:tc>
          <w:tcPr>
            <w:tcW w:type="dxa" w:w="3322"/>
          </w:tcPr>
          <w:p>
            <w:pPr>
              <w:pStyle w:val="null3"/>
            </w:pPr>
            <w:r>
              <w:rPr>
                <w:rFonts w:ascii="仿宋_GB2312" w:hAnsi="仿宋_GB2312" w:cs="仿宋_GB2312" w:eastAsia="仿宋_GB2312"/>
              </w:rPr>
              <w:t>供应商须具有良好的社会保障资金缴纳记录，并须在项目电子化交易系统中提交具有良好的社会保障资金缴纳记录的承诺函，且承诺社会保障资金缴纳记录良好，并完成电子签章。</w:t>
            </w:r>
          </w:p>
        </w:tc>
        <w:tc>
          <w:tcPr>
            <w:tcW w:type="dxa" w:w="1661"/>
          </w:tcPr>
          <w:p>
            <w:pPr>
              <w:pStyle w:val="null3"/>
            </w:pPr>
            <w:r>
              <w:rPr>
                <w:rFonts w:ascii="仿宋_GB2312" w:hAnsi="仿宋_GB2312" w:cs="仿宋_GB2312" w:eastAsia="仿宋_GB2312"/>
              </w:rPr>
              <w:t>具有良好的社会保障资金缴纳记录.docx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近三年内在经营活动中无重大违法记录</w:t>
            </w:r>
          </w:p>
        </w:tc>
        <w:tc>
          <w:tcPr>
            <w:tcW w:type="dxa" w:w="3322"/>
          </w:tcPr>
          <w:p>
            <w:pPr>
              <w:pStyle w:val="null3"/>
            </w:pPr>
            <w:r>
              <w:rPr>
                <w:rFonts w:ascii="仿宋_GB2312" w:hAnsi="仿宋_GB2312" w:cs="仿宋_GB2312" w:eastAsia="仿宋_GB2312"/>
              </w:rPr>
              <w:t>供应商近三年内在经营活动中须无重大违法记录，并须在项目电子化交易系统中提交近三年内在经营活动中无重大违法记录声明函，且近三年内在经营活动中无重大违法记录，并完成电子签章。</w:t>
            </w:r>
          </w:p>
        </w:tc>
        <w:tc>
          <w:tcPr>
            <w:tcW w:type="dxa" w:w="1661"/>
          </w:tcPr>
          <w:p>
            <w:pPr>
              <w:pStyle w:val="null3"/>
            </w:pPr>
            <w:r>
              <w:rPr>
                <w:rFonts w:ascii="仿宋_GB2312" w:hAnsi="仿宋_GB2312" w:cs="仿宋_GB2312" w:eastAsia="仿宋_GB2312"/>
              </w:rPr>
              <w:t>无重大违法记录声明.docx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法定代表人授权书合法有效</w:t>
            </w:r>
          </w:p>
        </w:tc>
        <w:tc>
          <w:tcPr>
            <w:tcW w:type="dxa" w:w="3322"/>
          </w:tcPr>
          <w:p>
            <w:pPr>
              <w:pStyle w:val="null3"/>
            </w:pPr>
            <w:r>
              <w:rPr>
                <w:rFonts w:ascii="仿宋_GB2312" w:hAnsi="仿宋_GB2312" w:cs="仿宋_GB2312" w:eastAsia="仿宋_GB2312"/>
              </w:rPr>
              <w:t>供应商法定代表人直接参加磋商的须提供本人身份证、法定代表人身份证明书，法定代表人授权代表参加磋商的须提供法定代表人授权书、被授权人身份证，并须在项目电子化交易系统中提交法定代表人身份证、法定代表人身份证明书（或法定代表人授权书、被授权人身份证）原件的扫描件，并完成电子签章。</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单位负责人为同一人或者存在直接控股、管理关系的不同供应商，不得同时参加本项目同一合同项下政府采购活动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同一合同项下政府采购活动。供应商须在项目电子化交易系统中提交“单位负责人为同一人或者存在直接控股、管理关系的不同供应商，不得同时参加本项目同一合同项下的政府采购活动的承诺函”原件的扫描件，并完成电子签章。</w:t>
            </w:r>
          </w:p>
        </w:tc>
        <w:tc>
          <w:tcPr>
            <w:tcW w:type="dxa" w:w="1661"/>
          </w:tcPr>
          <w:p>
            <w:pPr>
              <w:pStyle w:val="null3"/>
            </w:pPr>
            <w:r>
              <w:rPr>
                <w:rFonts w:ascii="仿宋_GB2312" w:hAnsi="仿宋_GB2312" w:cs="仿宋_GB2312" w:eastAsia="仿宋_GB2312"/>
              </w:rPr>
              <w:t>控股管理关系承诺函.docx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非联合体不分包响应声明</w:t>
            </w:r>
          </w:p>
        </w:tc>
        <w:tc>
          <w:tcPr>
            <w:tcW w:type="dxa" w:w="3322"/>
          </w:tcPr>
          <w:p>
            <w:pPr>
              <w:pStyle w:val="null3"/>
            </w:pPr>
            <w:r>
              <w:rPr>
                <w:rFonts w:ascii="仿宋_GB2312" w:hAnsi="仿宋_GB2312" w:cs="仿宋_GB2312" w:eastAsia="仿宋_GB2312"/>
              </w:rPr>
              <w:t>本项目不接受联合体响应，供应商须以一个独立的法人实体参加响应。供应商须在项目电子化交易系统中提交“非联合体不分包响应声明函”原件的扫描件，并完成电子签章。</w:t>
            </w:r>
          </w:p>
        </w:tc>
        <w:tc>
          <w:tcPr>
            <w:tcW w:type="dxa" w:w="1661"/>
          </w:tcPr>
          <w:p>
            <w:pPr>
              <w:pStyle w:val="null3"/>
            </w:pPr>
            <w:r>
              <w:rPr>
                <w:rFonts w:ascii="仿宋_GB2312" w:hAnsi="仿宋_GB2312" w:cs="仿宋_GB2312" w:eastAsia="仿宋_GB2312"/>
              </w:rPr>
              <w:t>非联合体不分包响应声明函.docx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信用记录查询证明</w:t>
            </w:r>
          </w:p>
        </w:tc>
        <w:tc>
          <w:tcPr>
            <w:tcW w:type="dxa" w:w="3322"/>
          </w:tcPr>
          <w:p>
            <w:pPr>
              <w:pStyle w:val="null3"/>
            </w:pPr>
            <w:r>
              <w:rPr>
                <w:rFonts w:ascii="仿宋_GB2312" w:hAnsi="仿宋_GB2312" w:cs="仿宋_GB2312" w:eastAsia="仿宋_GB2312"/>
              </w:rPr>
              <w:t>供应商未被信用中国网站（http://www.creditchina.gov.cn）列入信用记录失信被执行人、重大税收违法案件当事人名单，未被中国政府采购网（http://www.ccgp.gov.cn）列为政府采购严重违法失信行为记录名单、未被禁止参加政府采购活动。供应商须在项目电子化交易系统中提交在信用中国网站、中国政府采购网的信用记录查询截图（标注查询日期），并完成电子签章。</w:t>
            </w:r>
          </w:p>
        </w:tc>
        <w:tc>
          <w:tcPr>
            <w:tcW w:type="dxa" w:w="1661"/>
          </w:tcPr>
          <w:p>
            <w:pPr>
              <w:pStyle w:val="null3"/>
            </w:pPr>
            <w:r>
              <w:rPr>
                <w:rFonts w:ascii="仿宋_GB2312" w:hAnsi="仿宋_GB2312" w:cs="仿宋_GB2312" w:eastAsia="仿宋_GB2312"/>
              </w:rPr>
              <w:t>信用记录声明函.docx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响应文件的签字、盖章及有效期</w:t>
            </w:r>
          </w:p>
        </w:tc>
        <w:tc>
          <w:tcPr>
            <w:tcW w:type="dxa" w:w="3322"/>
          </w:tcPr>
          <w:p>
            <w:pPr>
              <w:pStyle w:val="null3"/>
            </w:pPr>
            <w:r>
              <w:rPr>
                <w:rFonts w:ascii="仿宋_GB2312" w:hAnsi="仿宋_GB2312" w:cs="仿宋_GB2312" w:eastAsia="仿宋_GB2312"/>
              </w:rPr>
              <w:t>响应文件中的签字、盖章必须齐全、完整，响应函上须明确标明响应文件的有效期。响应文件签字、盖章不完整，有效期不符合要求的，符合性审查不予通过。</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响应报价不得超过项目预算价，否则符合性审查不予通过。</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技术响应方案</w:t>
            </w:r>
          </w:p>
        </w:tc>
        <w:tc>
          <w:tcPr>
            <w:tcW w:type="dxa" w:w="3322"/>
          </w:tcPr>
          <w:p>
            <w:pPr>
              <w:pStyle w:val="null3"/>
            </w:pPr>
            <w:r>
              <w:rPr>
                <w:rFonts w:ascii="仿宋_GB2312" w:hAnsi="仿宋_GB2312" w:cs="仿宋_GB2312" w:eastAsia="仿宋_GB2312"/>
              </w:rPr>
              <w:t>（一）供应商须根据本项目需求所需的设备及软件的技术规格说明（商标、型号、产地、数量、配置、功能、技术规格、知识产权、质量保证、维修服务、使用说明、产品彩页、业绩证明等）自行编制《技术响应方案》。 （二）供应商须将《技术保障响应方案》上传至陕西 省政府采购电子化交易系统，并进行电子签章。</w:t>
            </w:r>
          </w:p>
        </w:tc>
        <w:tc>
          <w:tcPr>
            <w:tcW w:type="dxa" w:w="1661"/>
          </w:tcPr>
          <w:p>
            <w:pPr>
              <w:pStyle w:val="null3"/>
            </w:pPr>
            <w:r>
              <w:rPr>
                <w:rFonts w:ascii="仿宋_GB2312" w:hAnsi="仿宋_GB2312" w:cs="仿宋_GB2312" w:eastAsia="仿宋_GB2312"/>
              </w:rPr>
              <w:t>技术响应方案.docx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商务响应方案</w:t>
            </w:r>
          </w:p>
        </w:tc>
        <w:tc>
          <w:tcPr>
            <w:tcW w:type="dxa" w:w="3322"/>
          </w:tcPr>
          <w:p>
            <w:pPr>
              <w:pStyle w:val="null3"/>
            </w:pPr>
            <w:r>
              <w:rPr>
                <w:rFonts w:ascii="仿宋_GB2312" w:hAnsi="仿宋_GB2312" w:cs="仿宋_GB2312" w:eastAsia="仿宋_GB2312"/>
              </w:rPr>
              <w:t>（一）供应商应根据本项目对项目内容的要求，自行编制《商务响应方案》，并填报《商务响应偏离表》。 （二）《商务响应方案》要求内容完整、全面、可行，有具体措施，能够完全响应本项目实质性商务要求。 （三）供应商须将编制的《商务响应方案》及填报的《商务响应偏离表》上传到陕西省政府采购电子化交易系统，并进行电子签章。</w:t>
            </w:r>
          </w:p>
        </w:tc>
        <w:tc>
          <w:tcPr>
            <w:tcW w:type="dxa" w:w="1661"/>
          </w:tcPr>
          <w:p>
            <w:pPr>
              <w:pStyle w:val="null3"/>
            </w:pPr>
            <w:r>
              <w:rPr>
                <w:rFonts w:ascii="仿宋_GB2312" w:hAnsi="仿宋_GB2312" w:cs="仿宋_GB2312" w:eastAsia="仿宋_GB2312"/>
              </w:rPr>
              <w:t>商务响应方案.docx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磋商响应条件</w:t>
            </w:r>
          </w:p>
        </w:tc>
        <w:tc>
          <w:tcPr>
            <w:tcW w:type="dxa" w:w="3322"/>
          </w:tcPr>
          <w:p>
            <w:pPr>
              <w:pStyle w:val="null3"/>
            </w:pPr>
            <w:r>
              <w:rPr>
                <w:rFonts w:ascii="仿宋_GB2312" w:hAnsi="仿宋_GB2312" w:cs="仿宋_GB2312" w:eastAsia="仿宋_GB2312"/>
              </w:rPr>
              <w:t>磋商响应文件中是否附有采购人不能接受的条件。</w:t>
            </w:r>
          </w:p>
        </w:tc>
        <w:tc>
          <w:tcPr>
            <w:tcW w:type="dxa" w:w="1661"/>
          </w:tcPr>
          <w:p>
            <w:pPr>
              <w:pStyle w:val="null3"/>
            </w:pPr>
            <w:r>
              <w:rPr>
                <w:rFonts w:ascii="仿宋_GB2312" w:hAnsi="仿宋_GB2312" w:cs="仿宋_GB2312" w:eastAsia="仿宋_GB2312"/>
              </w:rPr>
              <w:t>商务响应方案.docx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响应其他实质性要求</w:t>
            </w:r>
          </w:p>
        </w:tc>
        <w:tc>
          <w:tcPr>
            <w:tcW w:type="dxa" w:w="3322"/>
          </w:tcPr>
          <w:p>
            <w:pPr>
              <w:pStyle w:val="null3"/>
            </w:pPr>
            <w:r>
              <w:rPr>
                <w:rFonts w:ascii="仿宋_GB2312" w:hAnsi="仿宋_GB2312" w:cs="仿宋_GB2312" w:eastAsia="仿宋_GB2312"/>
              </w:rPr>
              <w:t>磋商响应文件中的其他响应方案是否响应了磋商文件规定的其他实质性要求。</w:t>
            </w:r>
          </w:p>
        </w:tc>
        <w:tc>
          <w:tcPr>
            <w:tcW w:type="dxa" w:w="1661"/>
          </w:tcPr>
          <w:p>
            <w:pPr>
              <w:pStyle w:val="null3"/>
            </w:pPr>
            <w:r>
              <w:rPr>
                <w:rFonts w:ascii="仿宋_GB2312" w:hAnsi="仿宋_GB2312" w:cs="仿宋_GB2312" w:eastAsia="仿宋_GB2312"/>
              </w:rPr>
              <w:t>技术响应方案.docx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法律、法规规定</w:t>
            </w:r>
          </w:p>
        </w:tc>
        <w:tc>
          <w:tcPr>
            <w:tcW w:type="dxa" w:w="3322"/>
          </w:tcPr>
          <w:p>
            <w:pPr>
              <w:pStyle w:val="null3"/>
            </w:pPr>
            <w:r>
              <w:rPr>
                <w:rFonts w:ascii="仿宋_GB2312" w:hAnsi="仿宋_GB2312" w:cs="仿宋_GB2312" w:eastAsia="仿宋_GB2312"/>
              </w:rPr>
              <w:t>磋商响应文件是否有违反《中华人民共和国政府采购法》和其他相关法律、法规规定的情形。</w:t>
            </w:r>
          </w:p>
        </w:tc>
        <w:tc>
          <w:tcPr>
            <w:tcW w:type="dxa" w:w="1661"/>
          </w:tcPr>
          <w:p>
            <w:pPr>
              <w:pStyle w:val="null3"/>
            </w:pPr>
            <w:r>
              <w:rPr>
                <w:rFonts w:ascii="仿宋_GB2312" w:hAnsi="仿宋_GB2312" w:cs="仿宋_GB2312" w:eastAsia="仿宋_GB2312"/>
              </w:rPr>
              <w:t>商务响应方案.docx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供应商承诺</w:t>
            </w:r>
          </w:p>
        </w:tc>
        <w:tc>
          <w:tcPr>
            <w:tcW w:type="dxa" w:w="3322"/>
          </w:tcPr>
          <w:p>
            <w:pPr>
              <w:pStyle w:val="null3"/>
            </w:pPr>
            <w:r>
              <w:rPr>
                <w:rFonts w:ascii="仿宋_GB2312" w:hAnsi="仿宋_GB2312" w:cs="仿宋_GB2312" w:eastAsia="仿宋_GB2312"/>
              </w:rPr>
              <w:t>供应商须按要求完成相关承诺，为进行相关承诺的，符合性审查不予通过。</w:t>
            </w:r>
          </w:p>
        </w:tc>
        <w:tc>
          <w:tcPr>
            <w:tcW w:type="dxa" w:w="1661"/>
          </w:tcPr>
          <w:p>
            <w:pPr>
              <w:pStyle w:val="null3"/>
            </w:pPr>
            <w:r>
              <w:rPr>
                <w:rFonts w:ascii="仿宋_GB2312" w:hAnsi="仿宋_GB2312" w:cs="仿宋_GB2312" w:eastAsia="仿宋_GB2312"/>
              </w:rPr>
              <w:t>供应商承诺书（一）.docx 供应商承诺书（二）.docx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详细评审50.00分</w:t>
            </w:r>
          </w:p>
          <w:p>
            <w:pPr>
              <w:pStyle w:val="null3"/>
            </w:pPr>
            <w:r>
              <w:rPr>
                <w:rFonts w:ascii="仿宋_GB2312" w:hAnsi="仿宋_GB2312" w:cs="仿宋_GB2312" w:eastAsia="仿宋_GB2312"/>
              </w:rPr>
              <w:t>报价得分50.00分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设备技术参数</w:t>
            </w:r>
          </w:p>
        </w:tc>
        <w:tc>
          <w:tcPr>
            <w:tcW w:type="dxa" w:w="2492"/>
          </w:tcPr>
          <w:p>
            <w:pPr>
              <w:pStyle w:val="null3"/>
            </w:pPr>
            <w:r>
              <w:rPr>
                <w:rFonts w:ascii="仿宋_GB2312" w:hAnsi="仿宋_GB2312" w:cs="仿宋_GB2312" w:eastAsia="仿宋_GB2312"/>
              </w:rPr>
              <w:t>提供设备或软件的技术参数清楚、明确、完整，符合采购文件要求的得10分。主要技术参数优于采购文件要求的，每优一项加1分，本项最多加5分。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产品进货渠道正规，能够提供相关证明材料的得4分，提供的产品为节能、环保产品，并能提供合法有效证明材料的，每提供一种产品的加0.5分，本项最多加2分。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配置方案合理性</w:t>
            </w:r>
          </w:p>
        </w:tc>
        <w:tc>
          <w:tcPr>
            <w:tcW w:type="dxa" w:w="2492"/>
          </w:tcPr>
          <w:p>
            <w:pPr>
              <w:pStyle w:val="null3"/>
            </w:pPr>
            <w:r>
              <w:rPr>
                <w:rFonts w:ascii="仿宋_GB2312" w:hAnsi="仿宋_GB2312" w:cs="仿宋_GB2312" w:eastAsia="仿宋_GB2312"/>
              </w:rPr>
              <w:t>拼接大屏质量可靠、选型合理，可得3分。系统配置方案详细、逻辑清晰、针对性强的加2分。本项最多得5分。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符合项目要求，服务方案详细、措施具体、有针对性，售后服务体系完善的，得6分。能够提供主要设备（55寸液晶拼接单元、图像拼接处理器、平台服务器、液晶拼接支架）售后服务承诺的，每提供一项加1分，本项最多加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信誉业绩</w:t>
            </w:r>
          </w:p>
        </w:tc>
        <w:tc>
          <w:tcPr>
            <w:tcW w:type="dxa" w:w="2492"/>
          </w:tcPr>
          <w:p>
            <w:pPr>
              <w:pStyle w:val="null3"/>
            </w:pPr>
            <w:r>
              <w:rPr>
                <w:rFonts w:ascii="仿宋_GB2312" w:hAnsi="仿宋_GB2312" w:cs="仿宋_GB2312" w:eastAsia="仿宋_GB2312"/>
              </w:rPr>
              <w:t>提供近3年相类似项目业绩证明材料，业绩证明文件须提供项目合同及对应发票复印件（合同期内任一张即可）的扫描件加盖企业公章，并进行电子签章。每提供1份得3分，本项目最多得6分。合同及发票须同时提供，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针对本项目提供详尽的培训方案及培训计划，并列出培训的具体内容及方式，满足本项目管理、维护、使用等要求的技术培训服务，达到预定培训目标的得3分。培训方案相比较优的每项加1分，本项最多加2分。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商务响应基本满足合同主要条款要求的，得2分；全部满足商务条款要求，并附有条款详细说明的，每项加1分，本项最多加1分。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最低有效磋商价为基准价，计50分。其他各供应商的价格得分按下列公式计算：（Y/X）×50＝Z，X＝磋商价格，Y＝基准价，Z＝报价得分。具备享受价格得分优惠的企业，按有关政府采购政策规定进行价格分计算。</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详见附件：符合《政府采购法》第二十二条规定的承诺函.docx</w:t>
      </w:r>
    </w:p>
    <w:p>
      <w:pPr>
        <w:pStyle w:val="null3"/>
        <w:ind w:firstLine="960"/>
      </w:pPr>
      <w:r>
        <w:rPr>
          <w:rFonts w:ascii="仿宋_GB2312" w:hAnsi="仿宋_GB2312" w:cs="仿宋_GB2312" w:eastAsia="仿宋_GB2312"/>
        </w:rPr>
        <w:t>详见附件：主体资格证明文件.docx</w:t>
      </w:r>
    </w:p>
    <w:p>
      <w:pPr>
        <w:pStyle w:val="null3"/>
        <w:ind w:firstLine="960"/>
      </w:pPr>
      <w:r>
        <w:rPr>
          <w:rFonts w:ascii="仿宋_GB2312" w:hAnsi="仿宋_GB2312" w:cs="仿宋_GB2312" w:eastAsia="仿宋_GB2312"/>
        </w:rPr>
        <w:t>详见附件：具有财务状况良好承诺函.docx</w:t>
      </w:r>
    </w:p>
    <w:p>
      <w:pPr>
        <w:pStyle w:val="null3"/>
        <w:ind w:firstLine="960"/>
      </w:pPr>
      <w:r>
        <w:rPr>
          <w:rFonts w:ascii="仿宋_GB2312" w:hAnsi="仿宋_GB2312" w:cs="仿宋_GB2312" w:eastAsia="仿宋_GB2312"/>
        </w:rPr>
        <w:t>详见附件：具有良好的税收缴纳记录.docx</w:t>
      </w:r>
    </w:p>
    <w:p>
      <w:pPr>
        <w:pStyle w:val="null3"/>
        <w:ind w:firstLine="960"/>
      </w:pPr>
      <w:r>
        <w:rPr>
          <w:rFonts w:ascii="仿宋_GB2312" w:hAnsi="仿宋_GB2312" w:cs="仿宋_GB2312" w:eastAsia="仿宋_GB2312"/>
        </w:rPr>
        <w:t>详见附件：具有良好的社会保障资金缴纳记录.docx</w:t>
      </w:r>
    </w:p>
    <w:p>
      <w:pPr>
        <w:pStyle w:val="null3"/>
        <w:ind w:firstLine="960"/>
      </w:pPr>
      <w:r>
        <w:rPr>
          <w:rFonts w:ascii="仿宋_GB2312" w:hAnsi="仿宋_GB2312" w:cs="仿宋_GB2312" w:eastAsia="仿宋_GB2312"/>
        </w:rPr>
        <w:t>详见附件：无重大违法记录声明.docx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详见附件：控股管理关系承诺函.docx</w:t>
      </w:r>
    </w:p>
    <w:p>
      <w:pPr>
        <w:pStyle w:val="null3"/>
        <w:ind w:firstLine="960"/>
      </w:pPr>
      <w:r>
        <w:rPr>
          <w:rFonts w:ascii="仿宋_GB2312" w:hAnsi="仿宋_GB2312" w:cs="仿宋_GB2312" w:eastAsia="仿宋_GB2312"/>
        </w:rPr>
        <w:t>详见附件：非联合体不分包响应声明函.docx</w:t>
      </w:r>
    </w:p>
    <w:p>
      <w:pPr>
        <w:pStyle w:val="null3"/>
        <w:ind w:firstLine="960"/>
      </w:pPr>
      <w:r>
        <w:rPr>
          <w:rFonts w:ascii="仿宋_GB2312" w:hAnsi="仿宋_GB2312" w:cs="仿宋_GB2312" w:eastAsia="仿宋_GB2312"/>
        </w:rPr>
        <w:t>详见附件：信用记录声明函.docx</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详见附件：商务响应方案.docx</w:t>
      </w:r>
    </w:p>
    <w:p>
      <w:pPr>
        <w:pStyle w:val="null3"/>
        <w:ind w:firstLine="960"/>
      </w:pPr>
      <w:r>
        <w:rPr>
          <w:rFonts w:ascii="仿宋_GB2312" w:hAnsi="仿宋_GB2312" w:cs="仿宋_GB2312" w:eastAsia="仿宋_GB2312"/>
        </w:rPr>
        <w:t>详见附件：业绩证明文件.docx</w:t>
      </w:r>
    </w:p>
    <w:p>
      <w:pPr>
        <w:pStyle w:val="null3"/>
        <w:ind w:firstLine="960"/>
      </w:pPr>
      <w:r>
        <w:rPr>
          <w:rFonts w:ascii="仿宋_GB2312" w:hAnsi="仿宋_GB2312" w:cs="仿宋_GB2312" w:eastAsia="仿宋_GB2312"/>
        </w:rPr>
        <w:t>详见附件：供应商承诺书（一）.docx</w:t>
      </w:r>
    </w:p>
    <w:p>
      <w:pPr>
        <w:pStyle w:val="null3"/>
        <w:ind w:firstLine="960"/>
      </w:pPr>
      <w:r>
        <w:rPr>
          <w:rFonts w:ascii="仿宋_GB2312" w:hAnsi="仿宋_GB2312" w:cs="仿宋_GB2312" w:eastAsia="仿宋_GB2312"/>
        </w:rPr>
        <w:t>详见附件：供应商承诺书（二）.docx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详见附件：商洛广播电视转播台监测系统二期项目采购合同.docx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