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版本号：ZCSP-商洛市-2025-00258.1B120251009001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商洛市“十五五”开放型经济高质量发展规划和2个一般专项规划（商洛市“十五五”商贸流通发展和电子商务发展规划）(二次)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ZCSP-商洛市-2025-00258.1B1</w:t>
      </w:r>
      <w:r>
        <w:br/>
      </w:r>
      <w:r>
        <w:br/>
      </w:r>
      <w:r>
        <w:br/>
      </w:r>
    </w:p>
    <w:p>
      <w:pPr>
        <w:pStyle w:val="null3"/>
        <w:jc w:val="center"/>
        <w:outlineLvl w:val="2"/>
      </w:pPr>
      <w:r>
        <w:rPr>
          <w:rFonts w:ascii="仿宋_GB2312" w:hAnsi="仿宋_GB2312" w:cs="仿宋_GB2312" w:eastAsia="仿宋_GB2312"/>
          <w:sz w:val="28"/>
          <w:b/>
        </w:rPr>
        <w:t>商洛市商务局</w:t>
      </w:r>
    </w:p>
    <w:p>
      <w:pPr>
        <w:pStyle w:val="null3"/>
        <w:jc w:val="center"/>
        <w:outlineLvl w:val="2"/>
      </w:pPr>
      <w:r>
        <w:rPr>
          <w:rFonts w:ascii="仿宋_GB2312" w:hAnsi="仿宋_GB2312" w:cs="仿宋_GB2312" w:eastAsia="仿宋_GB2312"/>
          <w:sz w:val="28"/>
          <w:b/>
        </w:rPr>
        <w:t>商洛市高德中小企业服务有限责任公司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商洛市高德中小企业服务有限责任公司</w:t>
      </w:r>
      <w:r>
        <w:rPr>
          <w:rFonts w:ascii="仿宋_GB2312" w:hAnsi="仿宋_GB2312" w:cs="仿宋_GB2312" w:eastAsia="仿宋_GB2312"/>
        </w:rPr>
        <w:t>（以下简称“代理机构”）受</w:t>
      </w:r>
      <w:r>
        <w:rPr>
          <w:rFonts w:ascii="仿宋_GB2312" w:hAnsi="仿宋_GB2312" w:cs="仿宋_GB2312" w:eastAsia="仿宋_GB2312"/>
        </w:rPr>
        <w:t>商洛市商务局</w:t>
      </w:r>
      <w:r>
        <w:rPr>
          <w:rFonts w:ascii="仿宋_GB2312" w:hAnsi="仿宋_GB2312" w:cs="仿宋_GB2312" w:eastAsia="仿宋_GB2312"/>
        </w:rPr>
        <w:t>委托，拟对</w:t>
      </w:r>
      <w:r>
        <w:rPr>
          <w:rFonts w:ascii="仿宋_GB2312" w:hAnsi="仿宋_GB2312" w:cs="仿宋_GB2312" w:eastAsia="仿宋_GB2312"/>
        </w:rPr>
        <w:t>商洛市“十五五”开放型经济高质量发展规划和2个一般专项规划（商洛市“十五五”商贸流通发展和电子商务发展规划）(二次)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ZCSP-商洛市-2025-00258.1B1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商洛市“十五五”开放型经济高质量发展规划和2个一般专项规划（商洛市“十五五”商贸流通发展和电子商务发展规划）(二次)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商洛市“十五五”开放型经济高质量发展规划和2个一般专项规划（商洛市“十五五”商贸流通发展和电子商务发展规划）的潜在供应商应在陕西省政府采购综合管理平台项目电子化交易系统（以下简称“项目电子化交易系统”）获取采购文件，并于2025年10月22日 14时30分（北京时间）前提交响应文件。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有效的统一社会信用代码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书及授权书：法定代表人直接投标须提交法定代表人证明书，法定代表人授权代表参加投标的，须出具法定代表人证明书及授权书，供应商需在项目电子化交易系统中按要求上传相应证明文件并进行电子签章；</w:t>
      </w:r>
    </w:p>
    <w:p>
      <w:pPr>
        <w:pStyle w:val="null3"/>
      </w:pPr>
      <w:r>
        <w:rPr>
          <w:rFonts w:ascii="仿宋_GB2312" w:hAnsi="仿宋_GB2312" w:cs="仿宋_GB2312" w:eastAsia="仿宋_GB2312"/>
        </w:rPr>
        <w:t>3、财务状况报告：提供2024年度的财务审计报告（至少包括资产负债表和利润表，成立时间至提交响应文件截止时间不足一年的可提供成立后任意时段的财务报表），或开标时间前六个月内基本存款账户开户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参加政府采购活动前3年内在经营活动中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8、业绩：供应商应提供近三年（2022年1月1日至今，以签订合同日期为准）内相关规划类业绩，并能提供业绩证明材料，业绩合同至少包含合同首页、签订时间、签字盖章页、反映业绩要求的关键页，否则视为无效业绩并进行电子签章；</w:t>
      </w:r>
    </w:p>
    <w:p>
      <w:pPr>
        <w:pStyle w:val="null3"/>
      </w:pPr>
      <w:r>
        <w:rPr>
          <w:rFonts w:ascii="仿宋_GB2312" w:hAnsi="仿宋_GB2312" w:cs="仿宋_GB2312" w:eastAsia="仿宋_GB2312"/>
        </w:rPr>
        <w:t>9、具有履行合同所必需的设备和专业技术能力的承诺函：供应商须提供具有履行合同所必需的设备和专业技术能力的承诺函，供应商需在项目电子化交易系统中按要求上传相应证明文件并进行电子签章；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10、单位负责人为同一人或者存在直接控股、管理关系的不同投标人，不得同时参加本项目同一合同项下的政府采购活动：单位负责人为同一人或者存在直接控股、管理关系的不同投标人，不得同时参加本项目同一合同项下的政府采购活动并进行电子签章；</w:t>
      </w:r>
    </w:p>
    <w:p>
      <w:pPr>
        <w:pStyle w:val="null3"/>
      </w:pPr>
      <w:r>
        <w:rPr>
          <w:rFonts w:ascii="仿宋_GB2312" w:hAnsi="仿宋_GB2312" w:cs="仿宋_GB2312" w:eastAsia="仿宋_GB2312"/>
        </w:rPr>
        <w:t>11、联合体投标：本项目（合同包）不接受联合体投标。提交非 联合体形式参加本项目投标的声明函。供应商 需在项目电子化交易系统中按要求上传相应证 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商洛市商州区民主路1号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商洛市商务局经办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15891376633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商洛市高德中小企业服务有限责任公司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商洛市商州区陈塬街道丹江西路商郡城金擀杖隔壁三楼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15877456091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颁发的《招标代理服务收费管理暂行办法》（计价格[2002]1980号）和国家发展改革委员会办公厅颁发的《关于招标代理服务收费有关问题的通知》（发改办价格[2003]857号）的有关规定按中标价的1.5%计取招标代理服务费。 2、支付方式：中标单位在领取成交通知书前，须向采购代理机构一次性支付代理服务费。 缴纳方式：银行转账； 开户单位：商洛市高德中小企业服务有限责任公司； 开户银行：陕西商南农村商业银行股份有限公司营业部； 账号：2708050101201000030970； 开户行号：402803401227。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商洛市商务局</w:t>
      </w:r>
      <w:r>
        <w:rPr>
          <w:rFonts w:ascii="仿宋_GB2312" w:hAnsi="仿宋_GB2312" w:cs="仿宋_GB2312" w:eastAsia="仿宋_GB2312"/>
        </w:rPr>
        <w:t>和</w:t>
      </w:r>
      <w:r>
        <w:rPr>
          <w:rFonts w:ascii="仿宋_GB2312" w:hAnsi="仿宋_GB2312" w:cs="仿宋_GB2312" w:eastAsia="仿宋_GB2312"/>
        </w:rPr>
        <w:t>商洛市高德中小企业服务有限责任公司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商洛市高德中小企业服务有限责任公司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商洛市高德中小企业服务有限责任公司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按照服务方案确保工作进度及工作质量，足量配备符合要求的专业技术力量或团队投入本项目，确保提交规划编制成果准时、准确，符合国家或行业相关规定及要求。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商洛市高德中小企业服务有限责任公司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商洛市高德中小企业服务有限责任公司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商洛市高德中小企业服务有限责任公司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联系电话：15877456091</w:t>
      </w:r>
    </w:p>
    <w:p>
      <w:pPr>
        <w:pStyle w:val="null3"/>
      </w:pPr>
      <w:r>
        <w:rPr>
          <w:rFonts w:ascii="仿宋_GB2312" w:hAnsi="仿宋_GB2312" w:cs="仿宋_GB2312" w:eastAsia="仿宋_GB2312"/>
        </w:rPr>
        <w:t>地址：商洛市商州区陈塬街道丹江西路商郡城金擀杖隔壁三楼</w:t>
      </w:r>
    </w:p>
    <w:p>
      <w:pPr>
        <w:pStyle w:val="null3"/>
      </w:pPr>
      <w:r>
        <w:rPr>
          <w:rFonts w:ascii="仿宋_GB2312" w:hAnsi="仿宋_GB2312" w:cs="仿宋_GB2312" w:eastAsia="仿宋_GB2312"/>
        </w:rPr>
        <w:t>邮编：720001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“十五五”（2026-2030 年）时期，是我国基本实现社会主义现代化承上启下、加快转入高质量发展轨道的关键期，也是我市加快打造“一都四区”、推进富民强市的攻坚期。以新时代中国特色社会主义思想为指导，科学编制好全市国民经济和社会发展第十五个五年规划具有十分重要的意义。为全面做好商洛市“十五五”规划编制工作，按照全省“十五五”规划编制工作总体方案要求，结合我市实际作出的总体安排： （一）市级发展规划 《商洛市国民经济和社会发展第十五个五年规划纲要》（以下简称《纲要》），是全市发展战略在规划期内的阶段性部署和安排，是编制空间规划、专项规划、区域规划以及制定有关政策和年度计划的重要依据。 （二）专项规划 专项规划是指以国民经济和社会发展特定领域为对象编制的规划，是指导该领域发展改革以及审批、核准、备案重大项目和安排政府投资、引导社会资本投向的重要依据。 （三）县区发展规划 县区发展规划是指县区级国民经济和社会发展第十五个五年规划纲要。县区“十五五”规划纲要的编制，要符合全市《纲要》的总体要求，从全局出发，因地制宜、发挥优势，突出重点、体现特色，合理确定本县区发展目标和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商洛市“十五五”开放型经济高质量发展规划和2个一般专项规划（商洛市“十五五”商贸流通发展和电子商务发展规划）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标的名称：商洛市“十五五”开放型经济高质量发展规划和2个一般专项规划（商洛市“十五五”商贸流通发展和电子商务发展规划）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技术要求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以新时代中国特色社会主义思想为指导，科学编制商洛市</w:t>
            </w:r>
            <w:r>
              <w:rPr>
                <w:rFonts w:ascii="仿宋_GB2312" w:hAnsi="仿宋_GB2312" w:cs="仿宋_GB2312" w:eastAsia="仿宋_GB2312"/>
                <w:sz w:val="21"/>
              </w:rPr>
              <w:t>“十五五”开放型经济高质量发展规划和</w:t>
            </w:r>
            <w:r>
              <w:rPr>
                <w:rFonts w:ascii="仿宋_GB2312" w:hAnsi="仿宋_GB2312" w:cs="仿宋_GB2312" w:eastAsia="仿宋_GB2312"/>
                <w:sz w:val="21"/>
              </w:rPr>
              <w:t>2</w:t>
            </w:r>
            <w:r>
              <w:rPr>
                <w:rFonts w:ascii="仿宋_GB2312" w:hAnsi="仿宋_GB2312" w:cs="仿宋_GB2312" w:eastAsia="仿宋_GB2312"/>
                <w:sz w:val="21"/>
              </w:rPr>
              <w:t>个一般专项规划，按照全省“十五五”规划编制工作总体方案（陕政发</w:t>
            </w:r>
            <w:r>
              <w:rPr>
                <w:rFonts w:ascii="仿宋_GB2312" w:hAnsi="仿宋_GB2312" w:cs="仿宋_GB2312" w:eastAsia="仿宋_GB2312"/>
                <w:sz w:val="21"/>
              </w:rPr>
              <w:t>﹝</w:t>
            </w:r>
            <w:r>
              <w:rPr>
                <w:rFonts w:ascii="仿宋_GB2312" w:hAnsi="仿宋_GB2312" w:cs="仿宋_GB2312" w:eastAsia="仿宋_GB2312"/>
                <w:sz w:val="21"/>
              </w:rPr>
              <w:t>2025〕3号）要求，坚持五个编制原则，</w:t>
            </w:r>
            <w:r>
              <w:rPr>
                <w:rFonts w:ascii="仿宋_GB2312" w:hAnsi="仿宋_GB2312" w:cs="仿宋_GB2312" w:eastAsia="仿宋_GB2312"/>
                <w:sz w:val="21"/>
              </w:rPr>
              <w:t>结合商洛市实际，编制工作方案。</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设计参照依据</w:t>
            </w:r>
          </w:p>
          <w:p>
            <w:pPr>
              <w:pStyle w:val="null3"/>
              <w:jc w:val="both"/>
            </w:pPr>
            <w:r>
              <w:rPr>
                <w:rFonts w:ascii="仿宋_GB2312" w:hAnsi="仿宋_GB2312" w:cs="仿宋_GB2312" w:eastAsia="仿宋_GB2312"/>
                <w:sz w:val="21"/>
              </w:rPr>
              <w:t>全省</w:t>
            </w:r>
            <w:r>
              <w:rPr>
                <w:rFonts w:ascii="仿宋_GB2312" w:hAnsi="仿宋_GB2312" w:cs="仿宋_GB2312" w:eastAsia="仿宋_GB2312"/>
                <w:sz w:val="21"/>
              </w:rPr>
              <w:t>“十五五”规划编制工作总体方案（陕政发〔</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号）要求。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2"/>
              <w:jc w:val="both"/>
            </w:pPr>
            <w:r>
              <w:rPr>
                <w:rFonts w:ascii="仿宋_GB2312" w:hAnsi="仿宋_GB2312" w:cs="仿宋_GB2312" w:eastAsia="仿宋_GB2312"/>
                <w:sz w:val="21"/>
                <w:b/>
              </w:rPr>
              <w:t>1.3</w:t>
            </w:r>
            <w:r>
              <w:rPr>
                <w:rFonts w:ascii="仿宋_GB2312" w:hAnsi="仿宋_GB2312" w:cs="仿宋_GB2312" w:eastAsia="仿宋_GB2312"/>
                <w:sz w:val="21"/>
                <w:b/>
              </w:rPr>
              <w:t>编制要求</w:t>
            </w:r>
          </w:p>
          <w:p>
            <w:pPr>
              <w:pStyle w:val="null3"/>
              <w:ind w:firstLine="420"/>
              <w:jc w:val="both"/>
            </w:pPr>
            <w:r>
              <w:rPr>
                <w:rFonts w:ascii="仿宋_GB2312" w:hAnsi="仿宋_GB2312" w:cs="仿宋_GB2312" w:eastAsia="仿宋_GB2312"/>
                <w:sz w:val="21"/>
              </w:rPr>
              <w:t>1.3.1</w:t>
            </w:r>
            <w:r>
              <w:rPr>
                <w:rFonts w:ascii="仿宋_GB2312" w:hAnsi="仿宋_GB2312" w:cs="仿宋_GB2312" w:eastAsia="仿宋_GB2312"/>
                <w:sz w:val="21"/>
              </w:rPr>
              <w:t>坚持前瞻思考，全局谋划；</w:t>
            </w:r>
          </w:p>
          <w:p>
            <w:pPr>
              <w:pStyle w:val="null3"/>
              <w:ind w:firstLine="420"/>
              <w:jc w:val="both"/>
            </w:pPr>
            <w:r>
              <w:rPr>
                <w:rFonts w:ascii="仿宋_GB2312" w:hAnsi="仿宋_GB2312" w:cs="仿宋_GB2312" w:eastAsia="仿宋_GB2312"/>
                <w:sz w:val="21"/>
              </w:rPr>
              <w:t>1.3.2</w:t>
            </w:r>
            <w:r>
              <w:rPr>
                <w:rFonts w:ascii="仿宋_GB2312" w:hAnsi="仿宋_GB2312" w:cs="仿宋_GB2312" w:eastAsia="仿宋_GB2312"/>
                <w:sz w:val="21"/>
              </w:rPr>
              <w:t>坚持导向目标，问题导向；</w:t>
            </w:r>
          </w:p>
          <w:p>
            <w:pPr>
              <w:pStyle w:val="null3"/>
              <w:ind w:firstLine="420"/>
              <w:jc w:val="both"/>
            </w:pPr>
            <w:r>
              <w:rPr>
                <w:rFonts w:ascii="仿宋_GB2312" w:hAnsi="仿宋_GB2312" w:cs="仿宋_GB2312" w:eastAsia="仿宋_GB2312"/>
                <w:sz w:val="21"/>
              </w:rPr>
              <w:t>1.3.3</w:t>
            </w:r>
            <w:r>
              <w:rPr>
                <w:rFonts w:ascii="仿宋_GB2312" w:hAnsi="仿宋_GB2312" w:cs="仿宋_GB2312" w:eastAsia="仿宋_GB2312"/>
                <w:sz w:val="21"/>
              </w:rPr>
              <w:t>坚持立足当前，谋划长远；</w:t>
            </w:r>
          </w:p>
          <w:p>
            <w:pPr>
              <w:pStyle w:val="null3"/>
              <w:ind w:firstLine="420"/>
              <w:jc w:val="both"/>
            </w:pPr>
            <w:r>
              <w:rPr>
                <w:rFonts w:ascii="仿宋_GB2312" w:hAnsi="仿宋_GB2312" w:cs="仿宋_GB2312" w:eastAsia="仿宋_GB2312"/>
                <w:sz w:val="21"/>
              </w:rPr>
              <w:t>1.3.4</w:t>
            </w:r>
            <w:r>
              <w:rPr>
                <w:rFonts w:ascii="仿宋_GB2312" w:hAnsi="仿宋_GB2312" w:cs="仿宋_GB2312" w:eastAsia="仿宋_GB2312"/>
                <w:sz w:val="21"/>
              </w:rPr>
              <w:t>坚持全面规划，突出重点；</w:t>
            </w:r>
          </w:p>
          <w:p>
            <w:pPr>
              <w:pStyle w:val="null3"/>
              <w:jc w:val="both"/>
            </w:pPr>
            <w:r>
              <w:rPr>
                <w:rFonts w:ascii="仿宋_GB2312" w:hAnsi="仿宋_GB2312" w:cs="仿宋_GB2312" w:eastAsia="仿宋_GB2312"/>
                <w:sz w:val="21"/>
              </w:rPr>
              <w:t xml:space="preserve">        1.3.5</w:t>
            </w:r>
            <w:r>
              <w:rPr>
                <w:rFonts w:ascii="仿宋_GB2312" w:hAnsi="仿宋_GB2312" w:cs="仿宋_GB2312" w:eastAsia="仿宋_GB2312"/>
                <w:sz w:val="21"/>
              </w:rPr>
              <w:t>坚持纵向衔接，横向联动。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21"/>
                <w:b/>
              </w:rPr>
              <w:t>1.4</w:t>
            </w: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达到国家现行质量验收合格标准。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2"/>
              <w:jc w:val="both"/>
            </w:pPr>
            <w:r>
              <w:rPr>
                <w:rFonts w:ascii="仿宋_GB2312" w:hAnsi="仿宋_GB2312" w:cs="仿宋_GB2312" w:eastAsia="仿宋_GB2312"/>
                <w:sz w:val="21"/>
                <w:b/>
              </w:rPr>
              <w:t>1.5</w:t>
            </w:r>
            <w:r>
              <w:rPr>
                <w:rFonts w:ascii="仿宋_GB2312" w:hAnsi="仿宋_GB2312" w:cs="仿宋_GB2312" w:eastAsia="仿宋_GB2312"/>
                <w:sz w:val="21"/>
                <w:b/>
              </w:rPr>
              <w:t>验收要求</w:t>
            </w:r>
          </w:p>
          <w:p>
            <w:pPr>
              <w:pStyle w:val="null3"/>
              <w:jc w:val="both"/>
            </w:pPr>
            <w:r>
              <w:rPr>
                <w:rFonts w:ascii="仿宋_GB2312" w:hAnsi="仿宋_GB2312" w:cs="仿宋_GB2312" w:eastAsia="仿宋_GB2312"/>
                <w:sz w:val="21"/>
              </w:rPr>
              <w:t>按时提交规划编制方案成果，按程序报市委、市政府研究审定，提请市人民代表大会审议讨论。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2"/>
              <w:jc w:val="both"/>
            </w:pPr>
            <w:r>
              <w:rPr>
                <w:rFonts w:ascii="仿宋_GB2312" w:hAnsi="仿宋_GB2312" w:cs="仿宋_GB2312" w:eastAsia="仿宋_GB2312"/>
                <w:sz w:val="21"/>
                <w:b/>
              </w:rPr>
              <w:t>1.6</w:t>
            </w:r>
            <w:r>
              <w:rPr>
                <w:rFonts w:ascii="仿宋_GB2312" w:hAnsi="仿宋_GB2312" w:cs="仿宋_GB2312" w:eastAsia="仿宋_GB2312"/>
                <w:sz w:val="21"/>
                <w:b/>
              </w:rPr>
              <w:t>服务期限</w:t>
            </w:r>
          </w:p>
          <w:p>
            <w:pPr>
              <w:pStyle w:val="null3"/>
              <w:jc w:val="both"/>
            </w:pPr>
            <w:r>
              <w:rPr>
                <w:rFonts w:ascii="仿宋_GB2312" w:hAnsi="仿宋_GB2312" w:cs="仿宋_GB2312" w:eastAsia="仿宋_GB2312"/>
                <w:sz w:val="21"/>
              </w:rPr>
              <w:t>具体以项目结束时间为准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22"/>
              <w:jc w:val="both"/>
            </w:pPr>
            <w:r>
              <w:rPr>
                <w:rFonts w:ascii="仿宋_GB2312" w:hAnsi="仿宋_GB2312" w:cs="仿宋_GB2312" w:eastAsia="仿宋_GB2312"/>
                <w:sz w:val="21"/>
                <w:b/>
              </w:rPr>
              <w:t>1.7</w:t>
            </w: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项目实施完成并交付合格成果文件后，由供应商提供票据并申请，由</w:t>
            </w:r>
            <w:r>
              <w:rPr>
                <w:rFonts w:ascii="仿宋_GB2312" w:hAnsi="仿宋_GB2312" w:cs="仿宋_GB2312" w:eastAsia="仿宋_GB2312"/>
                <w:sz w:val="21"/>
              </w:rPr>
              <w:t>商洛市商务局</w:t>
            </w:r>
            <w:r>
              <w:rPr>
                <w:rFonts w:ascii="仿宋_GB2312" w:hAnsi="仿宋_GB2312" w:cs="仿宋_GB2312" w:eastAsia="仿宋_GB2312"/>
                <w:sz w:val="21"/>
              </w:rPr>
              <w:t>结算设计费用（具体以签订合同为准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其他要求</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设计单位应按照总体服务方案确保工作进度及工作质量，足量配备符合要求的专业技术力量或团队投入本项目，确保提交设计成果准时、准确，符合国家或行业相关规定及要求。</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要求具有完善的技术支持服务措施，高水平的专业编制人员以及高效的工作作风，并承诺能紧密配合采购人的工作需求。</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本项目的全部原始资料、中间过渡及最终成果所有权属于</w:t>
            </w:r>
            <w:r>
              <w:rPr>
                <w:rFonts w:ascii="仿宋_GB2312" w:hAnsi="仿宋_GB2312" w:cs="仿宋_GB2312" w:eastAsia="仿宋_GB2312"/>
                <w:sz w:val="21"/>
              </w:rPr>
              <w:t>采购人商洛市商务局所有</w:t>
            </w:r>
            <w:r>
              <w:rPr>
                <w:rFonts w:ascii="仿宋_GB2312" w:hAnsi="仿宋_GB2312" w:cs="仿宋_GB2312" w:eastAsia="仿宋_GB2312"/>
                <w:sz w:val="21"/>
              </w:rPr>
              <w:t>。未经</w:t>
            </w:r>
            <w:r>
              <w:rPr>
                <w:rFonts w:ascii="仿宋_GB2312" w:hAnsi="仿宋_GB2312" w:cs="仿宋_GB2312" w:eastAsia="仿宋_GB2312"/>
                <w:sz w:val="21"/>
              </w:rPr>
              <w:t>采购人</w:t>
            </w:r>
            <w:r>
              <w:rPr>
                <w:rFonts w:ascii="仿宋_GB2312" w:hAnsi="仿宋_GB2312" w:cs="仿宋_GB2312" w:eastAsia="仿宋_GB2312"/>
                <w:sz w:val="21"/>
              </w:rPr>
              <w:t>许可，成交单位不得擅自将原始资料、中间过渡或最终成果复制自留或提供给其他任何单位和个人，为自己或其他任何单位和个人谋取利益。</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中标单位在本项目实施过程中，涉及属于涉密资料的，由中标单位按照国家涉要求执行，实施前应签定数据成果使用保密协议书，保密协议书作为合同文件的组成部分。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合同实施</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供应商应在合同签订后</w:t>
            </w:r>
            <w:r>
              <w:rPr>
                <w:rFonts w:ascii="仿宋_GB2312" w:hAnsi="仿宋_GB2312" w:cs="仿宋_GB2312" w:eastAsia="仿宋_GB2312"/>
                <w:sz w:val="21"/>
              </w:rPr>
              <w:t>立即</w:t>
            </w:r>
            <w:r>
              <w:rPr>
                <w:rFonts w:ascii="仿宋_GB2312" w:hAnsi="仿宋_GB2312" w:cs="仿宋_GB2312" w:eastAsia="仿宋_GB2312"/>
                <w:sz w:val="21"/>
              </w:rPr>
              <w:t>安排人员与使用单位就此项目等一系列工作进行安排、部署。</w:t>
            </w:r>
          </w:p>
          <w:p>
            <w:pPr>
              <w:pStyle w:val="null3"/>
              <w:ind w:firstLine="420"/>
              <w:jc w:val="both"/>
            </w:pPr>
            <w:r>
              <w:rPr>
                <w:rFonts w:ascii="仿宋_GB2312" w:hAnsi="仿宋_GB2312" w:cs="仿宋_GB2312" w:eastAsia="仿宋_GB2312"/>
                <w:sz w:val="21"/>
              </w:rPr>
              <w:t xml:space="preserve">3.2 </w:t>
            </w:r>
            <w:r>
              <w:rPr>
                <w:rFonts w:ascii="仿宋_GB2312" w:hAnsi="仿宋_GB2312" w:cs="仿宋_GB2312" w:eastAsia="仿宋_GB2312"/>
                <w:sz w:val="21"/>
              </w:rPr>
              <w:t>若未能完成合同规定的义务，由此对采购人造成的延误和一切损失，将由中标服务商的履约保证金弥补采购人的损失。履约保证金不足以弥补采购人损失的，由中标服务商额外赔偿。</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3.3.1</w:t>
            </w:r>
            <w:r>
              <w:rPr>
                <w:rFonts w:ascii="仿宋_GB2312" w:hAnsi="仿宋_GB2312" w:cs="仿宋_GB2312" w:eastAsia="仿宋_GB2312"/>
                <w:sz w:val="21"/>
              </w:rPr>
              <w:t>按《中华人民共和国合同法》中的相关条款执行。</w:t>
            </w:r>
          </w:p>
          <w:p>
            <w:pPr>
              <w:pStyle w:val="null3"/>
              <w:jc w:val="both"/>
            </w:pPr>
            <w:r>
              <w:rPr>
                <w:rFonts w:ascii="仿宋_GB2312" w:hAnsi="仿宋_GB2312" w:cs="仿宋_GB2312" w:eastAsia="仿宋_GB2312"/>
                <w:sz w:val="21"/>
              </w:rPr>
              <w:t>3.3.2</w:t>
            </w:r>
            <w:r>
              <w:rPr>
                <w:rFonts w:ascii="仿宋_GB2312" w:hAnsi="仿宋_GB2312" w:cs="仿宋_GB2312" w:eastAsia="仿宋_GB2312"/>
                <w:sz w:val="21"/>
              </w:rPr>
              <w:t>未按合同要求提供产品质量不能满足技术要求，采购人有权终止合同，并对供方违约行为进行追究，同时按《政府采购法》的有关规定进行处罚。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1、供应商按照服务方案确保工作进度及工作质量，足量配备符合要求的专业技术力量或团队投入本项目，确保提交规划编制成果准时、准确，符合国家或行业相关规定及要求。 2、要求具有完善的技术支持服务措施，高水平的专业编制人员以及高效的工作作风，并承诺能紧密配合采购人的工作需求。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采购方规定项目结束时间为准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有权根据国家有关服务规范规定，对乙方在服务期内的服务实施情况进行分期考核或检查，乙方须无条件接受甲方的各类考核或检查；若服务质量不符合采购要求，乙方应在一定期限进行整改完善，以甲方要求的标准提供合格服务；若乙方在接受检查整改后，仍不能提供符合采购要求的合格服务，甲方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经双方协商，合同实行分期付款的方式，即合同签订之后，甲方向乙方支付合同总价款的70%预付款</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项目实施完成并经专家评审、甲方书面验收合格后支付合同总价款30%的尾款</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中华人民共和国政府采购法》及相关法律法规对服务商的违法行为进行相应的处罚。 3.本合同在履行过程中发生的争议，由采购人、供应商当事人协商解决，协商不成的依法向采购人所在地人民法院起诉。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1.服务支持：供应商在项目实施过程中，质量保障人员、资源不足或者执行不力，给项目质量带来的风险超出采购人认定的允许范围时，采购人可终止本项目的合作并进行索赔。 2.知识产权、专利权： 供应商应对所提供的文稿及图像、影像材料，已取得合法知识产权或其使用权，供应商应保证所提供的服务不会出现因第三方提出侵犯其版权、商标权或其他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照要求在资格证明材料中提供：(1）提供具有独立承担民事责任能力的法人、其他组织或自然人，提供合法有效的统一社会信用代码营业执照；(2）财务状况：提供2024年度的财务审计报告（至少包括资产负债表和利润表，成立时间至提交响应文件截止时间不足一年的可提供成立后任意时段的财务报表），或开标时间前六个月内基本存款账户开户银行出具的资信证明，(3）税收缴纳证明：提供投标截止日前近一年内任意一个月的税收缴纳凭证（注：依法免税或零申报的供应商须提供相关文件证明，若为新成立企业可提供相应月度的缴税证明）；(4）社会保障资金缴纳证明：提供投标截止日前近一年内任意一个月的社会保险缴纳凭证（注：依法不需要缴纳社会保障资金的供应商应提供相关文件证明，若为新成立企业可提供相应月度的社会保险缴纳证明）；并进行电子签章。</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提供2024年度经审计的财务审计报告（成立时间至提交投标文件截止时间不足一年的可提供成立后任意时段的资产负债表）或开标时间前六个月内基本存款账户开户银行出具的资信证 明及基本存款账户开户许可证或开户银行打印的含有企业基本存款账户编号的《基本存款账户信息》，并进行电子签章。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合法有效的统一社会信用代码营业执照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财务报表），或开标时间前六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供应商应提供近三年（2022年1月1日至今，以签订合同日期为准）内相关规划类业绩，并能提供业绩证明材料，业绩合同至少包含合同首页、签订时间、签字盖章页、反映业绩要求的关键页，否则视为无效业绩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单位负责人为同一人或者存在直接控股、管理关系的不同投标人，不得同时参加本项目同一合同项下的政府采购活动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单位负责人为同一人或者存在直接控股、管理关系的不同投标人，不得同时参加本项目同一合同项下的政府采购活动并进行电子签章；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本项目（合同包）不接受联合体投标。提交非 联合体形式参加本项目投标的声明函。供应商 需在项目电子化交易系统中按要求上传相应证 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与营业执照或事业单位登记证书等相关证明文件一致。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供应商应提交的相关资格证明材料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对本项目规划相关服务工作内容熟悉，能够清楚了解政策要求和技术要求，根据项目具体实际情况制定详细、针对性强的服务方案。（1）总体方案科学合理、完整，可行性高，计（13.1-20]分；（2）总体方案完整性、合理性一般，计（6.1-13]分；（3）总体方案不完整、缺乏合理性，计（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项目团队配置方案</w:t>
            </w:r>
          </w:p>
        </w:tc>
        <w:tc>
          <w:tcPr>
            <w:tcW w:type="dxa" w:w="2492"/>
          </w:tcPr>
          <w:p>
            <w:pPr>
              <w:pStyle w:val="null3"/>
            </w:pPr>
            <w:r>
              <w:rPr>
                <w:rFonts w:ascii="仿宋_GB2312" w:hAnsi="仿宋_GB2312" w:cs="仿宋_GB2312" w:eastAsia="仿宋_GB2312"/>
              </w:rPr>
              <w:t>项目团队配置合理，职责划分明确，组织、配合及协调措施流畅、科学、完善、合理并有明确的人员分工，机构设置和人员岗位职责划分合理得（7.1-10）分；分工、职责划分一般得（3.1-7）分；分工、职责划分不明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质量保障措施方案</w:t>
            </w:r>
          </w:p>
        </w:tc>
        <w:tc>
          <w:tcPr>
            <w:tcW w:type="dxa" w:w="2492"/>
          </w:tcPr>
          <w:p>
            <w:pPr>
              <w:pStyle w:val="null3"/>
            </w:pPr>
            <w:r>
              <w:rPr>
                <w:rFonts w:ascii="仿宋_GB2312" w:hAnsi="仿宋_GB2312" w:cs="仿宋_GB2312" w:eastAsia="仿宋_GB2312"/>
              </w:rPr>
              <w:t>供应商针对本项目提供全程规划服务，确保规划质量，制定完完善的质量保障措施方案，措施完善、体系健全、安排合理；计10.1-15分；措施较完善、体系健全、工作安排考虑欠缺；计5.1-10分；措施不完善、体系不健全、工作安排考虑欠缺；计1-5分。不合理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供应商针对本项目提供的售后服务方案售后服务承诺完善、合理可行的计5.1-10分；售后服务承诺简单，合理可行的计1-5；不合理或未提供，计0分。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对关键技术问题及难点问题的认识准确，分析清晰,并提出了详细、可行的解决方案，计（0-6）分。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技术保障能力</w:t>
            </w:r>
          </w:p>
        </w:tc>
        <w:tc>
          <w:tcPr>
            <w:tcW w:type="dxa" w:w="2492"/>
          </w:tcPr>
          <w:p>
            <w:pPr>
              <w:pStyle w:val="null3"/>
            </w:pPr>
            <w:r>
              <w:rPr>
                <w:rFonts w:ascii="仿宋_GB2312" w:hAnsi="仿宋_GB2312" w:cs="仿宋_GB2312" w:eastAsia="仿宋_GB2312"/>
              </w:rPr>
              <w:t>根据本次技术要求提供技术保障能力或条件，对本项目有针对性，评标委员会及招标人认可的、可实际应用的，计0-5分。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项目负责人资历</w:t>
            </w:r>
          </w:p>
        </w:tc>
        <w:tc>
          <w:tcPr>
            <w:tcW w:type="dxa" w:w="2492"/>
          </w:tcPr>
          <w:p>
            <w:pPr>
              <w:pStyle w:val="null3"/>
            </w:pPr>
            <w:r>
              <w:rPr>
                <w:rFonts w:ascii="仿宋_GB2312" w:hAnsi="仿宋_GB2312" w:cs="仿宋_GB2312" w:eastAsia="仿宋_GB2312"/>
              </w:rPr>
              <w:t>项目负责人具有高级职称的得5分，具有中级职称的得2分，不提供的不得分，满分5分。 注：证明材料为负责人职称证及响应截止时间起算前一年内在本单位至少六个月的社保证明。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项目团队技术要求</w:t>
            </w:r>
          </w:p>
        </w:tc>
        <w:tc>
          <w:tcPr>
            <w:tcW w:type="dxa" w:w="2492"/>
          </w:tcPr>
          <w:p>
            <w:pPr>
              <w:pStyle w:val="null3"/>
            </w:pPr>
            <w:r>
              <w:rPr>
                <w:rFonts w:ascii="仿宋_GB2312" w:hAnsi="仿宋_GB2312" w:cs="仿宋_GB2312" w:eastAsia="仿宋_GB2312"/>
              </w:rPr>
              <w:t>除项目负责人以外，拟派参与本项目的人员不得少于6人，具有高级职称的每个得2.5分，中级职称的每个得1分。本项最多得15分。 注：证明材料为人员职称证及响应截止时间起算前一年内在本单位至少六个月的社保证明（社保证明需体现人员信息）。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供应商提供2022年01月至今完成的相关规划类业绩，每提供一份计2分，最高计4分。 注：须提供已完成项目中标（成交）通知书或合同复印件，业绩合同至少包含合同首页、签订时间、签字盖章页、反映业绩要求的关键页，否则视为无效业绩并进行电子签章。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磋商报价得分=（磋商基准价/最终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详见附件：十五五规划编制合同文本.docx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