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版本号：ZHZB2025-019-120251011001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商洛市中心城区绿地系统专项规划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ZHZB2025-019-1</w:t>
      </w:r>
      <w:r>
        <w:br/>
      </w:r>
      <w:r>
        <w:br/>
      </w:r>
      <w:r>
        <w:br/>
      </w:r>
    </w:p>
    <w:p>
      <w:pPr>
        <w:pStyle w:val="null3"/>
        <w:jc w:val="center"/>
        <w:outlineLvl w:val="2"/>
      </w:pPr>
      <w:r>
        <w:rPr>
          <w:rFonts w:ascii="仿宋_GB2312" w:hAnsi="仿宋_GB2312" w:cs="仿宋_GB2312" w:eastAsia="仿宋_GB2312"/>
          <w:sz w:val="28"/>
          <w:b/>
        </w:rPr>
        <w:t>商洛市城市管理局</w:t>
      </w:r>
    </w:p>
    <w:p>
      <w:pPr>
        <w:pStyle w:val="null3"/>
        <w:jc w:val="center"/>
        <w:outlineLvl w:val="2"/>
      </w:pPr>
      <w:r>
        <w:rPr>
          <w:rFonts w:ascii="仿宋_GB2312" w:hAnsi="仿宋_GB2312" w:cs="仿宋_GB2312" w:eastAsia="仿宋_GB2312"/>
          <w:sz w:val="28"/>
          <w:b/>
        </w:rPr>
        <w:t>中昊泰达咨询集团有限公司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中昊泰达咨询集团有限公司</w:t>
      </w:r>
      <w:r>
        <w:rPr>
          <w:rFonts w:ascii="仿宋_GB2312" w:hAnsi="仿宋_GB2312" w:cs="仿宋_GB2312" w:eastAsia="仿宋_GB2312"/>
        </w:rPr>
        <w:t>（以下简称“代理机构”）受</w:t>
      </w:r>
      <w:r>
        <w:rPr>
          <w:rFonts w:ascii="仿宋_GB2312" w:hAnsi="仿宋_GB2312" w:cs="仿宋_GB2312" w:eastAsia="仿宋_GB2312"/>
        </w:rPr>
        <w:t>商洛市城市管理局</w:t>
      </w:r>
      <w:r>
        <w:rPr>
          <w:rFonts w:ascii="仿宋_GB2312" w:hAnsi="仿宋_GB2312" w:cs="仿宋_GB2312" w:eastAsia="仿宋_GB2312"/>
        </w:rPr>
        <w:t>委托，拟对</w:t>
      </w:r>
      <w:r>
        <w:rPr>
          <w:rFonts w:ascii="仿宋_GB2312" w:hAnsi="仿宋_GB2312" w:cs="仿宋_GB2312" w:eastAsia="仿宋_GB2312"/>
        </w:rPr>
        <w:t>商洛市中心城区绿地系统专项规划</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ZHZB2025-019-1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商洛市中心城区绿地系统专项规划</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编制商洛市中心城区绿地系统专项规划，是城市园林绿化管理工作的重要环节。从统筹角度，在充分利用自然生态资源本底的基础上，通过科学规划来确定全域绿地系统结构，建立合理的城区绿地体系。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采购包1（商洛市中心城区绿地系统专项规划）：属于专门面向中小企业采购。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1、供应商资质：供应商须具有城乡规划编制乙级及以上资质。</w:t>
      </w:r>
    </w:p>
    <w:p>
      <w:pPr>
        <w:pStyle w:val="null3"/>
      </w:pPr>
      <w:r>
        <w:rPr>
          <w:rFonts w:ascii="仿宋_GB2312" w:hAnsi="仿宋_GB2312" w:cs="仿宋_GB2312" w:eastAsia="仿宋_GB2312"/>
        </w:rPr>
        <w:t>2、拟派项目负责人：拟派项目负责人具有规划或园林专业中级及以上职称。</w:t>
      </w:r>
    </w:p>
    <w:p>
      <w:pPr>
        <w:pStyle w:val="null3"/>
      </w:pPr>
      <w:r>
        <w:rPr>
          <w:rFonts w:ascii="仿宋_GB2312" w:hAnsi="仿宋_GB2312" w:cs="仿宋_GB2312" w:eastAsia="仿宋_GB2312"/>
        </w:rPr>
        <w:t>3、法定代表人授权委托书：法定代表人直接参加磋商的，须出具法定代表人身份证明书及身份证；法定代表人 授权代表参加磋商的，须出具法定代表人授权委托书及授权代表身份证。</w:t>
      </w:r>
    </w:p>
    <w:p>
      <w:pPr>
        <w:pStyle w:val="null3"/>
      </w:pPr>
      <w:r>
        <w:rPr>
          <w:rFonts w:ascii="仿宋_GB2312" w:hAnsi="仿宋_GB2312" w:cs="仿宋_GB2312" w:eastAsia="仿宋_GB2312"/>
        </w:rPr>
        <w:t>4、供应商信誉要求：供应商不得为“中国执行信息公开网”（ http://zxgk.court.gov.cn/shixin/）失信 被执行人和“信用中国(www.creditchina.gov.cn)”中列入重大税收违法失信主体 名单的供应商，不得为“中国政府采购网(www.ccgp.gov.cn)” 政府采购严重违法 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商洛市城市管理局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人民路8号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0914-2327500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中昊泰达咨询集团有限公司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西安市未央区未央路113号雅荷花园A18栋</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张俊姣、郭雅楠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029-86686703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招标代理服务收费管理暂行办法》（计价格[2002]1980号）和国家发展改革委员会办公厅颁发的《关于招标代理服务收费有关问题的通知》（发改办价格[2003]857号）文件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商洛市城市管理局</w:t>
      </w:r>
      <w:r>
        <w:rPr>
          <w:rFonts w:ascii="仿宋_GB2312" w:hAnsi="仿宋_GB2312" w:cs="仿宋_GB2312" w:eastAsia="仿宋_GB2312"/>
        </w:rPr>
        <w:t>和</w:t>
      </w:r>
      <w:r>
        <w:rPr>
          <w:rFonts w:ascii="仿宋_GB2312" w:hAnsi="仿宋_GB2312" w:cs="仿宋_GB2312" w:eastAsia="仿宋_GB2312"/>
        </w:rPr>
        <w:t>中昊泰达咨询集团有限公司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商洛市城市管理局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中昊泰达咨询集团有限公司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商洛市城市管理局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中昊泰达咨询集团有限公司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中昊泰达咨询集团有限公司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中昊泰达咨询集团有限公司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中昊泰达咨询集团有限公司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联系人：张俊姣、郭雅楠</w:t>
      </w:r>
    </w:p>
    <w:p>
      <w:pPr>
        <w:pStyle w:val="null3"/>
      </w:pPr>
      <w:r>
        <w:rPr>
          <w:rFonts w:ascii="仿宋_GB2312" w:hAnsi="仿宋_GB2312" w:cs="仿宋_GB2312" w:eastAsia="仿宋_GB2312"/>
        </w:rPr>
        <w:t>联系电话：029-86686703</w:t>
      </w:r>
    </w:p>
    <w:p>
      <w:pPr>
        <w:pStyle w:val="null3"/>
      </w:pPr>
      <w:r>
        <w:rPr>
          <w:rFonts w:ascii="仿宋_GB2312" w:hAnsi="仿宋_GB2312" w:cs="仿宋_GB2312" w:eastAsia="仿宋_GB2312"/>
        </w:rPr>
        <w:t>地址：西安市未央区未央路113号雅荷花园A18栋</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编制商洛市中心城区绿地系统专项规划，是城市园林绿化管理工作的重要环节。从统筹角度，在充分利用自然生态资源本底的基础上，通过科学规划来确定全域绿地系统结构，建立合理的城区绿地体系。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90"/>
              <w:ind w:left="495"/>
            </w:pPr>
            <w:r>
              <w:rPr>
                <w:rFonts w:ascii="仿宋_GB2312" w:hAnsi="仿宋_GB2312" w:cs="仿宋_GB2312" w:eastAsia="仿宋_GB2312"/>
                <w:sz w:val="19"/>
                <w:color w:val="000000"/>
              </w:rPr>
              <w:t>一、服务内容</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1）现行城市绿地系统规划执行情况的回顾与评估。</w:t>
            </w:r>
          </w:p>
          <w:p>
            <w:pPr>
              <w:pStyle w:val="null3"/>
              <w:ind w:right="165" w:firstLine="4"/>
            </w:pPr>
            <w:r>
              <w:rPr>
                <w:rFonts w:ascii="仿宋_GB2312" w:hAnsi="仿宋_GB2312" w:cs="仿宋_GB2312" w:eastAsia="仿宋_GB2312"/>
                <w:sz w:val="19"/>
                <w:color w:val="000000"/>
              </w:rPr>
              <w:t>（</w:t>
            </w:r>
            <w:r>
              <w:rPr>
                <w:rFonts w:ascii="仿宋_GB2312" w:hAnsi="仿宋_GB2312" w:cs="仿宋_GB2312" w:eastAsia="仿宋_GB2312"/>
                <w:sz w:val="19"/>
                <w:color w:val="000000"/>
              </w:rPr>
              <w:t>2）进行城市绿地系统现状调查，以中心城区为重点，对城市绿化现状指标(绿地率、绿化覆盖率、 人均公共绿地等)做出科学严谨的统计分析，指出影响中心城区绿地发展的主要制约因素等。</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3）明确规划范围、规划依据、规划指导思想与原则等。</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4）确定规划目标，并建立相应的绿地规划指标体系。</w:t>
            </w:r>
          </w:p>
          <w:p>
            <w:pPr>
              <w:pStyle w:val="null3"/>
              <w:ind w:right="210" w:firstLine="4"/>
            </w:pPr>
            <w:r>
              <w:rPr>
                <w:rFonts w:ascii="仿宋_GB2312" w:hAnsi="仿宋_GB2312" w:cs="仿宋_GB2312" w:eastAsia="仿宋_GB2312"/>
                <w:sz w:val="19"/>
                <w:color w:val="000000"/>
              </w:rPr>
              <w:t>（</w:t>
            </w:r>
            <w:r>
              <w:rPr>
                <w:rFonts w:ascii="仿宋_GB2312" w:hAnsi="仿宋_GB2312" w:cs="仿宋_GB2312" w:eastAsia="仿宋_GB2312"/>
                <w:sz w:val="19"/>
                <w:color w:val="000000"/>
              </w:rPr>
              <w:t>5）统筹市域绿地系统布局，明确规划结构，构筑以中心城区为核心，覆盖全市域，城乡一体化的 生态绿地系统。</w:t>
            </w:r>
          </w:p>
          <w:p>
            <w:pPr>
              <w:pStyle w:val="null3"/>
              <w:ind w:right="210"/>
            </w:pPr>
            <w:r>
              <w:rPr>
                <w:rFonts w:ascii="仿宋_GB2312" w:hAnsi="仿宋_GB2312" w:cs="仿宋_GB2312" w:eastAsia="仿宋_GB2312"/>
                <w:sz w:val="19"/>
                <w:color w:val="000000"/>
              </w:rPr>
              <w:t>（</w:t>
            </w:r>
            <w:r>
              <w:rPr>
                <w:rFonts w:ascii="仿宋_GB2312" w:hAnsi="仿宋_GB2312" w:cs="仿宋_GB2312" w:eastAsia="仿宋_GB2312"/>
                <w:sz w:val="19"/>
                <w:color w:val="000000"/>
              </w:rPr>
              <w:t>6）确定城市绿地系统结构，合理安排各类绿地布局，确定主要绿地的位置、性质、范围、面积等 , 提出绿地功能导向以及绿地系统分区。</w:t>
            </w:r>
          </w:p>
          <w:p>
            <w:pPr>
              <w:pStyle w:val="null3"/>
              <w:ind w:right="210" w:firstLine="6"/>
            </w:pPr>
            <w:r>
              <w:rPr>
                <w:rFonts w:ascii="仿宋_GB2312" w:hAnsi="仿宋_GB2312" w:cs="仿宋_GB2312" w:eastAsia="仿宋_GB2312"/>
                <w:sz w:val="19"/>
                <w:color w:val="000000"/>
              </w:rPr>
              <w:t>（</w:t>
            </w:r>
            <w:r>
              <w:rPr>
                <w:rFonts w:ascii="仿宋_GB2312" w:hAnsi="仿宋_GB2312" w:cs="仿宋_GB2312" w:eastAsia="仿宋_GB2312"/>
                <w:sz w:val="19"/>
                <w:color w:val="000000"/>
              </w:rPr>
              <w:t>7）对各类城市绿地进行分类规划，分别提出规划要点和指标，包括公园绿地、生产绿地、防护绿 地、附属绿地和其他绿地等。</w:t>
            </w:r>
          </w:p>
          <w:p>
            <w:pPr>
              <w:pStyle w:val="null3"/>
              <w:ind w:right="210" w:firstLine="1"/>
            </w:pPr>
            <w:r>
              <w:rPr>
                <w:rFonts w:ascii="仿宋_GB2312" w:hAnsi="仿宋_GB2312" w:cs="仿宋_GB2312" w:eastAsia="仿宋_GB2312"/>
                <w:sz w:val="19"/>
                <w:color w:val="000000"/>
              </w:rPr>
              <w:t>（</w:t>
            </w:r>
            <w:r>
              <w:rPr>
                <w:rFonts w:ascii="仿宋_GB2312" w:hAnsi="仿宋_GB2312" w:cs="仿宋_GB2312" w:eastAsia="仿宋_GB2312"/>
                <w:sz w:val="19"/>
                <w:color w:val="000000"/>
              </w:rPr>
              <w:t>8）编制城市绿化树种规划，提出相应的技术经济指标，确定基调树种、骨干树种和一般树种，选 定主要绿化植物品种名录，提出古树名木保护规划，明确古树名木数量、树种和生长状况。</w:t>
            </w:r>
          </w:p>
          <w:p>
            <w:pPr>
              <w:pStyle w:val="null3"/>
              <w:ind w:right="240" w:firstLine="4"/>
            </w:pPr>
            <w:r>
              <w:rPr>
                <w:rFonts w:ascii="仿宋_GB2312" w:hAnsi="仿宋_GB2312" w:cs="仿宋_GB2312" w:eastAsia="仿宋_GB2312"/>
                <w:sz w:val="19"/>
                <w:color w:val="000000"/>
              </w:rPr>
              <w:t>（</w:t>
            </w:r>
            <w:r>
              <w:rPr>
                <w:rFonts w:ascii="仿宋_GB2312" w:hAnsi="仿宋_GB2312" w:cs="仿宋_GB2312" w:eastAsia="仿宋_GB2312"/>
                <w:sz w:val="19"/>
                <w:color w:val="000000"/>
              </w:rPr>
              <w:t>9）编制生物多样性保护与建设规划，提出相应规划目标与指标、生物多样性保护的层次与规划、 生物多样性保护的措施与生态管理对策以及珍稀濒危植物的保护与对策。</w:t>
            </w:r>
          </w:p>
          <w:p>
            <w:pPr>
              <w:pStyle w:val="null3"/>
            </w:pPr>
            <w:r>
              <w:rPr>
                <w:rFonts w:ascii="仿宋_GB2312" w:hAnsi="仿宋_GB2312" w:cs="仿宋_GB2312" w:eastAsia="仿宋_GB2312"/>
                <w:sz w:val="19"/>
                <w:color w:val="000000"/>
              </w:rPr>
              <w:t>（</w:t>
            </w:r>
            <w:r>
              <w:rPr>
                <w:rFonts w:ascii="仿宋_GB2312" w:hAnsi="仿宋_GB2312" w:cs="仿宋_GB2312" w:eastAsia="仿宋_GB2312"/>
                <w:sz w:val="19"/>
                <w:color w:val="000000"/>
              </w:rPr>
              <w:t>10）编制生态修复的内容以及防灾避险和健身绿道的内容。</w:t>
            </w:r>
          </w:p>
          <w:p>
            <w:pPr>
              <w:pStyle w:val="null3"/>
              <w:ind w:right="90" w:firstLine="4"/>
            </w:pPr>
            <w:r>
              <w:rPr>
                <w:rFonts w:ascii="仿宋_GB2312" w:hAnsi="仿宋_GB2312" w:cs="仿宋_GB2312" w:eastAsia="仿宋_GB2312"/>
                <w:sz w:val="19"/>
                <w:color w:val="000000"/>
              </w:rPr>
              <w:t>（</w:t>
            </w:r>
            <w:r>
              <w:rPr>
                <w:rFonts w:ascii="仿宋_GB2312" w:hAnsi="仿宋_GB2312" w:cs="仿宋_GB2312" w:eastAsia="仿宋_GB2312"/>
                <w:sz w:val="19"/>
                <w:color w:val="000000"/>
              </w:rPr>
              <w:t>11）提出相应的规划实施措施，包括法规性、行政性、技术性、经济性和政策性等方面的措施。</w:t>
            </w:r>
          </w:p>
          <w:p>
            <w:pPr>
              <w:pStyle w:val="null3"/>
              <w:ind w:right="90" w:firstLine="6"/>
            </w:pPr>
            <w:r>
              <w:rPr>
                <w:rFonts w:ascii="仿宋_GB2312" w:hAnsi="仿宋_GB2312" w:cs="仿宋_GB2312" w:eastAsia="仿宋_GB2312"/>
                <w:sz w:val="19"/>
                <w:color w:val="000000"/>
              </w:rPr>
              <w:t>（</w:t>
            </w:r>
            <w:r>
              <w:rPr>
                <w:rFonts w:ascii="仿宋_GB2312" w:hAnsi="仿宋_GB2312" w:cs="仿宋_GB2312" w:eastAsia="仿宋_GB2312"/>
                <w:sz w:val="19"/>
                <w:color w:val="000000"/>
              </w:rPr>
              <w:t>12）根据规划的具体内容，提出城市绿地系统与城市总体规划、土地利用总体规划之间的用地协调措施。</w:t>
            </w:r>
          </w:p>
          <w:p>
            <w:pPr>
              <w:pStyle w:val="null3"/>
            </w:pPr>
            <w:r>
              <w:rPr>
                <w:rFonts w:ascii="仿宋_GB2312" w:hAnsi="仿宋_GB2312" w:cs="仿宋_GB2312" w:eastAsia="仿宋_GB2312"/>
                <w:sz w:val="19"/>
                <w:color w:val="000000"/>
              </w:rPr>
              <w:t>二、成果要求</w:t>
            </w:r>
          </w:p>
          <w:p>
            <w:pPr>
              <w:pStyle w:val="null3"/>
              <w:jc w:val="both"/>
            </w:pPr>
            <w:r>
              <w:rPr>
                <w:rFonts w:ascii="仿宋_GB2312" w:hAnsi="仿宋_GB2312" w:cs="仿宋_GB2312" w:eastAsia="仿宋_GB2312"/>
                <w:sz w:val="19"/>
                <w:color w:val="000000"/>
              </w:rPr>
              <w:t>图文合并的研究报告纸质成果 6 套；电子光盘 2 份，包括详细汇报PPT，纸质成果电子版。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1.知识产权归属和处理方式： （1）知识产权归属：本项目产生的专利、商标、著作权等所有知识产权均归采购人，中标人需在知识产权产生后 15 个工作日内提交资料并协助办理相关手续。 （2）使用限制：中标人仅可在合同约定范围内使用相关知识产权及技术资料，如需用于其他目的，须提前 10 个工作日获采购人书面同意。 （3）侵权责任：中标人侵犯采购人或第三方知识产权，采购人有权要求立即停止侵权、消除影响、赔偿全部损失（含维权费用），并支付合同金额 20% 的违约金，情节严重可解除合同。 （4）技术资料管理：中标人提供的技术资料使用权归采购人，合同终止后 10 个工作日内，中标人需返还或按要求销毁资料，并提供证明。 （5）争议解决：因本条款产生争议，先协商；协商不成，向采购人所在地法院诉讼。</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2025-2035</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陕西省商洛市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由成交供应商向采购人递交验收通知书，经采购人确认后，组织中标人进行项目整体验收。验收合格后，填写政府采购项目验收单作为对本次服务的最终认可。</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提交最终成果文件，并通过相关部门评审通过</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成交通知书前，须向采购代理机构提供纸质版响应文件3套（1正2副），U盘2份（U盘需包括系统生成的全部已签章响应文件（PDF格式）、U盘标明供应商名称。）且提供的响应文件必须与在陕西省政府采购综合管理平台的项目电子化交易系统中提交的电子响应文件内容一致，纸质版响应文件必须装订成册签字盖章。2.成交供应商未按合同要求提供服务，采购人有权终止（或解除）合同，并对供应商违约行为进行追究。3.合同价款：合同总价一次性包死，不受市场价格变化因素的影响。除本合同总金额外，采购人不再支付任何其他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为具有独立承担民事责任能力的法人或其他组织或自然人，并提供法人或者其他组织合法有效的统一社会信用代码的营业执照等证明文件，事业单位应提供事业单位法人证书，自然人应提供身份证明文件； 2）具有履行合同所必需的设备和专业技术能力（提供书面声明）； 3）有依法缴纳税收和社会保障资金的良好记录税收缴纳证明：提供响应文件提交截止时间前一年内连续三个月已缴纳的纳税证明或完税证明（包含增值税、企业所得税至少一种),依法免税的供应商应提供相关证明文件；社保缴纳证明：提供响应文件提交截止时间前一年内连续三个月已缴存的社会保障资金缴费证明或参保证明，依法不需要缴纳社会保障资金的供应商应提供相关证明文件； 4）参加政府采购活动前三年内，在经营活动中没有重大违法记录（提供书面声明）；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的经审计的财务报告（成立时间至提交响应文件截止时间不足一年的可提供成立后任意时段的资产负债表），或本年度基本开户银行出具的资信证明（附开户许可证或基本存款账户信息）。</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供应商须具有城乡规划编制乙级及以上资质。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拟派项目负责人具有规划或园林专业中级及以上职称。</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法定代表人直接参加磋商的，须出具法定代表人身份证明书及身份证；法定代表人 授权代表参加磋商的，须出具法定代表人授权委托书及授权代表身份证。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供应商不得为“中国执行信息公开网”（ http://zxgk.court.gov.cn/shixin/）失信 被执行人和“信用中国(www.creditchina.gov.cn)”中列入重大税收违法失信主体 名单的供应商，不得为“中国政府采购网(www.ccgp.gov.cn)” 政府采购严重违法 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响应有效期不少于性磋商文件要求，否则其响应文件按无效处理。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磋商报价未高于磋商文件公布的预算金额或最高限价。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响应文件的完整性审查</w:t>
            </w:r>
          </w:p>
        </w:tc>
        <w:tc>
          <w:tcPr>
            <w:tcW w:type="dxa" w:w="3322"/>
          </w:tcPr>
          <w:p>
            <w:pPr>
              <w:pStyle w:val="null3"/>
            </w:pPr>
            <w:r>
              <w:rPr>
                <w:rFonts w:ascii="仿宋_GB2312" w:hAnsi="仿宋_GB2312" w:cs="仿宋_GB2312" w:eastAsia="仿宋_GB2312"/>
              </w:rPr>
              <w:t>是否按照磋商文件要求的格式编写。响应文件的签署、加盖印章是否有效。</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供应商应提交的相关资格证明材料.pdf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出现不符合法律、法规和磋商文件中规定的其他实质性要求的情况，响应文件作为无效处理。</w:t>
            </w:r>
          </w:p>
        </w:tc>
        <w:tc>
          <w:tcPr>
            <w:tcW w:type="dxa" w:w="1661"/>
          </w:tcPr>
          <w:p>
            <w:pPr>
              <w:pStyle w:val="null3"/>
            </w:pPr>
            <w:r>
              <w:rPr>
                <w:rFonts w:ascii="仿宋_GB2312" w:hAnsi="仿宋_GB2312" w:cs="仿宋_GB2312" w:eastAsia="仿宋_GB2312"/>
              </w:rPr>
              <w:t>响应文件封面 中小企业声明函 残疾人福利性单位声明函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对项目背景的理解</w:t>
            </w:r>
          </w:p>
        </w:tc>
        <w:tc>
          <w:tcPr>
            <w:tcW w:type="dxa" w:w="2492"/>
          </w:tcPr>
          <w:p>
            <w:pPr>
              <w:pStyle w:val="null3"/>
            </w:pPr>
            <w:r>
              <w:rPr>
                <w:rFonts w:ascii="仿宋_GB2312" w:hAnsi="仿宋_GB2312" w:cs="仿宋_GB2312" w:eastAsia="仿宋_GB2312"/>
              </w:rPr>
              <w:t>供应商需针对本项目编制项目背景政策、项目编制意义及现状问题研究分析。内容包含但 不限于：①项目编制意义；②背景政策研究；③现状分析；④存在的问题。上述内容完整 详细且满足竞争性磋商文件要求得 12 分，每缺失一项扣 3 分，每有一处内容瑕疵的（如内容不明确、分析不符合实际等因素）扣（0-1.5]分，扣完为止。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供应商针对本项目编制规划方案，内容包含但不限于：①规划指导思想；②规划原则；③ 规划目标及发展愿景；④规划编制工作程序及技术路线；⑤规划策略等进行分析。上述内 容完整详细且满足竞争性磋商文件要求得 25分，每缺失一项扣 5 分，每有一处内容瑕疵 的（如内容不明确、分析不符合实际等因素）扣（0-2 . 5]分，扣完为止。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项目进度安排内容包含但不限于：①制定工期安排、②工作任务完成的时限；以上内容完整、符合项目要求 的得4分；每缺失一项扣2 分，每有一处内容瑕疵的（如内容不明确、 分析不符合实际等因素）扣（0-1]分，扣完为止。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保障措施至少包括：①组织保障；②投入保障；③人员保障；④售后服务。满足以上全部 评定方向且操作性强的得8分，每缺失一项扣2分，每有一处内容瑕疵的（如内容不明确、 分析不符合实际等因素）扣（0-1]分，扣完为止。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服务承诺内容包含但不限于：①保证设计质量、②配合项目实施、提供优质服务；以上内 容完整、符合项目要求的得 4分；每缺失一项扣2分，每有一处内容瑕疵的（如内容不明 确、分析不符合实际等因素）扣（0-1]分，扣完为止。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拟派项目负责人具有注册城市（或城乡）规划师执业资格（须注册在本单位）的得3分， 同时具有规划类专业高级工程师及以上职称的加5分，本项最多得分8分。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其他团队成员（ 除项目负责人外 ）</w:t>
            </w:r>
          </w:p>
        </w:tc>
        <w:tc>
          <w:tcPr>
            <w:tcW w:type="dxa" w:w="2492"/>
          </w:tcPr>
          <w:p>
            <w:pPr>
              <w:pStyle w:val="null3"/>
            </w:pPr>
            <w:r>
              <w:rPr>
                <w:rFonts w:ascii="仿宋_GB2312" w:hAnsi="仿宋_GB2312" w:cs="仿宋_GB2312" w:eastAsia="仿宋_GB2312"/>
              </w:rPr>
              <w:t>①规划专业负责人：具有注册城市（或城乡）规划师执业资格（须注册在本单位）的得3 分，同时具有规划相关专业中级工程师职称的加3分，具有规划类专业高级工程师及以上 职称的加5分，本项最多得分8分； ②园林专业负责人：具有园林绿化类专业中级工程师 职称得2分，具有园林绿化类专业高级及以上职称得4分，同时具有注册城市（或城乡）规 划师执业资格（须注册在本单位）的加4分，本项最多得分8分； ③项目组成员：每有 1 名具有规划相关专业中级及以上职称的得 2分，具有注册城市（或城乡）规划师执业资格 （须注册在本单位）加3分，本项最多得 7分。 注：①以上人员不重复计分；②以上人员 需提供有效证书复印件并加供应商公章，不满足不得分；③需提供本单位为其缴纳的本年度内任意连续3个月社保参保缴费情况证明或其他在职证明。</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 2022 年 1 月 1 日至今专项规划类似项目业绩（以签订时间为准），每提供 1 个得 2 分，最多得 6 分。（提供合同协议书或成交（中标）通知书）复印件并加盖供应商公章。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以满足磋商文件要求且最终报价最低的报价为评审基准价，其价格分为满分。其他供应商 的价格分统一按照下列公式计算： 报价得分= (评审基准价／最终报价)×10 。 注：大于最高限价的报价为无效报价。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